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E6A" w:rsidRPr="00DA1E6A" w:rsidRDefault="00DA1E6A" w:rsidP="00DA1E6A">
      <w:pPr>
        <w:ind w:firstLine="0"/>
        <w:jc w:val="center"/>
        <w:rPr>
          <w:rFonts w:eastAsiaTheme="minorHAnsi"/>
          <w:b/>
          <w:bCs/>
          <w:szCs w:val="28"/>
          <w:lang w:val="uk-UA" w:eastAsia="en-US"/>
        </w:rPr>
      </w:pPr>
      <w:r w:rsidRPr="00DA1E6A">
        <w:rPr>
          <w:rFonts w:eastAsiaTheme="minorHAnsi"/>
          <w:b/>
          <w:bCs/>
          <w:szCs w:val="28"/>
          <w:lang w:val="uk-UA" w:eastAsia="en-US"/>
        </w:rPr>
        <w:t>АНОТАЦІЯ</w:t>
      </w:r>
    </w:p>
    <w:p w:rsidR="00DA1E6A" w:rsidRPr="00DA1E6A" w:rsidRDefault="00DA1E6A" w:rsidP="00DA1E6A">
      <w:pPr>
        <w:rPr>
          <w:szCs w:val="28"/>
          <w:lang w:val="uk-UA"/>
        </w:rPr>
      </w:pPr>
      <w:r w:rsidRPr="00DA1E6A">
        <w:rPr>
          <w:bCs/>
          <w:i/>
          <w:szCs w:val="28"/>
          <w:lang w:val="uk-UA"/>
        </w:rPr>
        <w:t>Орзіх В.М.</w:t>
      </w:r>
      <w:r w:rsidRPr="00DA1E6A">
        <w:rPr>
          <w:b/>
          <w:bCs/>
          <w:i/>
          <w:szCs w:val="28"/>
          <w:lang w:val="uk-UA"/>
        </w:rPr>
        <w:t xml:space="preserve"> </w:t>
      </w:r>
      <w:r w:rsidRPr="00DA1E6A">
        <w:rPr>
          <w:bCs/>
          <w:szCs w:val="28"/>
          <w:lang w:val="uk-UA"/>
        </w:rPr>
        <w:t>Застосування нотаріусами аналогії закону та аналогії права</w:t>
      </w:r>
      <w:bookmarkStart w:id="0" w:name="_GoBack"/>
      <w:bookmarkEnd w:id="0"/>
      <w:r w:rsidRPr="00DA1E6A">
        <w:rPr>
          <w:bCs/>
          <w:szCs w:val="28"/>
          <w:lang w:val="uk-UA"/>
        </w:rPr>
        <w:t xml:space="preserve">. </w:t>
      </w:r>
      <w:r w:rsidRPr="00DA1E6A">
        <w:rPr>
          <w:szCs w:val="28"/>
          <w:lang w:val="uk-UA"/>
        </w:rPr>
        <w:t>– Кваліфікаційна наукова праця на правах рукопису.</w:t>
      </w:r>
    </w:p>
    <w:p w:rsidR="00DA1E6A" w:rsidRPr="00DA1E6A" w:rsidRDefault="00DA1E6A" w:rsidP="00DA1E6A">
      <w:pPr>
        <w:rPr>
          <w:szCs w:val="28"/>
          <w:lang w:val="uk-UA"/>
        </w:rPr>
      </w:pPr>
      <w:r w:rsidRPr="00DA1E6A">
        <w:rPr>
          <w:szCs w:val="28"/>
          <w:lang w:val="uk-UA"/>
        </w:rPr>
        <w:t>Дисертація на здобуття наукового ступеня доктора філософії за спеціальністю 081 «Право». – Національний університет «Одеська юридична академія», Міністерство освіти і науки України, Одеса, 2021.</w:t>
      </w:r>
    </w:p>
    <w:p w:rsidR="00DA1E6A" w:rsidRPr="00DA1E6A" w:rsidRDefault="00DA1E6A" w:rsidP="00DA1E6A">
      <w:pPr>
        <w:rPr>
          <w:szCs w:val="28"/>
          <w:lang w:val="uk-UA"/>
        </w:rPr>
      </w:pPr>
      <w:r w:rsidRPr="00DA1E6A">
        <w:rPr>
          <w:szCs w:val="28"/>
          <w:lang w:val="uk-UA"/>
        </w:rPr>
        <w:t xml:space="preserve">Дисертація є першим у </w:t>
      </w:r>
      <w:r w:rsidRPr="00DA1E6A">
        <w:rPr>
          <w:spacing w:val="-3"/>
          <w:szCs w:val="28"/>
          <w:lang w:val="uk-UA"/>
        </w:rPr>
        <w:t xml:space="preserve">науці </w:t>
      </w:r>
      <w:r w:rsidRPr="00DA1E6A">
        <w:rPr>
          <w:szCs w:val="28"/>
          <w:lang w:val="uk-UA"/>
        </w:rPr>
        <w:t xml:space="preserve">цивільного права </w:t>
      </w:r>
      <w:r w:rsidRPr="00DA1E6A">
        <w:rPr>
          <w:spacing w:val="-3"/>
          <w:szCs w:val="28"/>
          <w:lang w:val="uk-UA"/>
        </w:rPr>
        <w:t xml:space="preserve">України </w:t>
      </w:r>
      <w:r w:rsidRPr="00DA1E6A">
        <w:rPr>
          <w:szCs w:val="28"/>
          <w:lang w:val="uk-UA"/>
        </w:rPr>
        <w:t>спеціальним комплексним дослідженням правового статусу нотаріуса як суб’єкта застосування аналогії в цивільному праві України.</w:t>
      </w:r>
    </w:p>
    <w:p w:rsidR="00DA1E6A" w:rsidRPr="00DA1E6A" w:rsidRDefault="00DA1E6A" w:rsidP="00DA1E6A">
      <w:pPr>
        <w:rPr>
          <w:szCs w:val="28"/>
          <w:lang w:val="uk-UA"/>
        </w:rPr>
      </w:pPr>
      <w:r w:rsidRPr="00DA1E6A">
        <w:rPr>
          <w:szCs w:val="28"/>
          <w:lang w:val="uk-UA"/>
        </w:rPr>
        <w:t xml:space="preserve">У дисертації проаналізовані визначення поняття «правозастосування» в цивільному праві та законодавстві </w:t>
      </w:r>
      <w:r w:rsidRPr="00DA1E6A">
        <w:rPr>
          <w:spacing w:val="-3"/>
          <w:szCs w:val="28"/>
          <w:lang w:val="uk-UA"/>
        </w:rPr>
        <w:t xml:space="preserve">України. </w:t>
      </w:r>
      <w:r w:rsidRPr="00DA1E6A">
        <w:rPr>
          <w:szCs w:val="28"/>
          <w:lang w:val="uk-UA"/>
        </w:rPr>
        <w:t>Встановлено, що правозастосування являє собою особливу форму реалізації права, яка на певному етапі акумулює й інші форми реалізації права, визначаючи таким чином свій особливий та універсальний владний характер. З’ясовано, що механізм правозастосування є діяльністю уповноважених суб’єктів, які за допомогою сукупності юридичних засобів впливу на суспільні відносини, виконують поставленні завдання задля настання відповідного результату. Дія механізму правозастосування починається за наявності юридичного факту, правомочності і об'єкта правового впливу.</w:t>
      </w:r>
    </w:p>
    <w:p w:rsidR="00DA1E6A" w:rsidRPr="00DA1E6A" w:rsidRDefault="00DA1E6A" w:rsidP="00DA1E6A">
      <w:pPr>
        <w:rPr>
          <w:szCs w:val="28"/>
          <w:lang w:val="uk-UA"/>
        </w:rPr>
      </w:pPr>
      <w:r w:rsidRPr="00DA1E6A">
        <w:rPr>
          <w:szCs w:val="28"/>
          <w:lang w:val="uk-UA"/>
        </w:rPr>
        <w:t xml:space="preserve">З’ясовано, що невід’ємним складовим елементом структури правозастосування є метод правозастосування, який характеризує діяльність суб’єкта правозастосування та спосіб вирішення поставлених завдань. Виділяють два основних методи правозастосування: імперативний та диспозитивний. </w:t>
      </w:r>
    </w:p>
    <w:p w:rsidR="00DA1E6A" w:rsidRPr="00DA1E6A" w:rsidRDefault="00DA1E6A" w:rsidP="00DA1E6A">
      <w:pPr>
        <w:rPr>
          <w:szCs w:val="28"/>
          <w:lang w:val="uk-UA"/>
        </w:rPr>
      </w:pPr>
      <w:r w:rsidRPr="00DA1E6A">
        <w:rPr>
          <w:szCs w:val="28"/>
          <w:lang w:val="uk-UA"/>
        </w:rPr>
        <w:t>Встановлено, що завершальним етапом процесу правозастосування є ухвалення відповідного рішення – акта застосування норм права, який безпосередньо акумулює обставини конкретної справи та норму права, яка регулює спірні правовідносини та формує відповідні висновки.</w:t>
      </w:r>
    </w:p>
    <w:p w:rsidR="00DA1E6A" w:rsidRPr="00DA1E6A" w:rsidRDefault="00DA1E6A" w:rsidP="00DA1E6A">
      <w:pPr>
        <w:rPr>
          <w:szCs w:val="28"/>
          <w:lang w:val="uk-UA"/>
        </w:rPr>
      </w:pPr>
      <w:r w:rsidRPr="00DA1E6A">
        <w:rPr>
          <w:szCs w:val="28"/>
          <w:lang w:val="uk-UA"/>
        </w:rPr>
        <w:t xml:space="preserve">З’ясовано, що однією з особливостей акта правозастосування як правого явища є його здатність усувати перешкоди та недоліки законодавства </w:t>
      </w:r>
      <w:r w:rsidRPr="00DA1E6A">
        <w:rPr>
          <w:szCs w:val="28"/>
          <w:lang w:val="uk-UA"/>
        </w:rPr>
        <w:lastRenderedPageBreak/>
        <w:t>в процесі правозастосування, в результаті чого забезпечується найефективніше досягнення поставлених завдань суб’єктом правозастосування.</w:t>
      </w:r>
    </w:p>
    <w:p w:rsidR="00DA1E6A" w:rsidRPr="00DA1E6A" w:rsidRDefault="00DA1E6A" w:rsidP="00DA1E6A">
      <w:pPr>
        <w:contextualSpacing/>
        <w:rPr>
          <w:szCs w:val="28"/>
          <w:lang w:val="uk-UA" w:eastAsia="en-US"/>
        </w:rPr>
      </w:pPr>
      <w:r w:rsidRPr="00DA1E6A">
        <w:rPr>
          <w:szCs w:val="28"/>
          <w:lang w:val="uk-UA" w:eastAsia="en-US"/>
        </w:rPr>
        <w:t>Визначено, що суб’єкти правозастосування це спеціально уповноважені особи (органи, посадові особи), наділені відповідним колом владних повноважень на вирішення конкретної життєвої ситуації в процесі застосування правових норм та ухвалення відповідного рішення за результатами правозастосовчого процесу.</w:t>
      </w:r>
    </w:p>
    <w:p w:rsidR="00DA1E6A" w:rsidRPr="00DA1E6A" w:rsidRDefault="00DA1E6A" w:rsidP="00DA1E6A">
      <w:pPr>
        <w:rPr>
          <w:szCs w:val="28"/>
          <w:lang w:val="uk-UA"/>
        </w:rPr>
      </w:pPr>
      <w:r w:rsidRPr="00DA1E6A">
        <w:rPr>
          <w:szCs w:val="28"/>
          <w:lang w:val="uk-UA"/>
        </w:rPr>
        <w:t>Досліджено, що стаття 3 Закону України «Про нотаріат» визначає н</w:t>
      </w:r>
      <w:r w:rsidRPr="00DA1E6A">
        <w:rPr>
          <w:szCs w:val="28"/>
          <w:shd w:val="clear" w:color="auto" w:fill="FFFFFF"/>
          <w:lang w:val="uk-UA"/>
        </w:rPr>
        <w:t>отаріуса як уповноважену державою фізичну особу, яка здійснює нотаріальну діяльність у державній нотаріальній конторі, державному нотаріальному архіві або незалежну професійну нотаріальну діяльність, зокрема посвідчує права, а також факти, що мають юридичне значення, та вчиняє інші нотаріальні дії, передбачені законом, з метою надання їм юридичної вірогідності</w:t>
      </w:r>
    </w:p>
    <w:p w:rsidR="00DA1E6A" w:rsidRPr="00DA1E6A" w:rsidRDefault="00DA1E6A" w:rsidP="00DA1E6A">
      <w:pPr>
        <w:rPr>
          <w:szCs w:val="28"/>
          <w:shd w:val="clear" w:color="auto" w:fill="FFFFFF"/>
          <w:lang w:val="uk-UA"/>
        </w:rPr>
      </w:pPr>
      <w:r w:rsidRPr="00DA1E6A">
        <w:rPr>
          <w:szCs w:val="28"/>
          <w:lang w:val="uk-UA"/>
        </w:rPr>
        <w:t xml:space="preserve">В контексті законодавчого визначення встановлено, що </w:t>
      </w:r>
      <w:r w:rsidRPr="00DA1E6A">
        <w:rPr>
          <w:szCs w:val="28"/>
          <w:shd w:val="clear" w:color="auto" w:fill="FFFFFF"/>
          <w:lang w:val="uk-UA"/>
        </w:rPr>
        <w:t>нотаріус наділений державою визначеним переліком повноважень на вчинення відповідних дій та вирішення конкретних ситуацій, тобто є суб’єктом правозастосування, який, в тому числі з врахуванням особливостей конкретної ситуації, уповноважений вирішувати відповідні питання які належать до сфери його компетенції.</w:t>
      </w:r>
    </w:p>
    <w:p w:rsidR="00DA1E6A" w:rsidRPr="00DA1E6A" w:rsidRDefault="00DA1E6A" w:rsidP="00DA1E6A">
      <w:pPr>
        <w:rPr>
          <w:szCs w:val="28"/>
          <w:shd w:val="clear" w:color="auto" w:fill="FFFFFF"/>
          <w:lang w:val="uk-UA"/>
        </w:rPr>
      </w:pPr>
      <w:r w:rsidRPr="00DA1E6A">
        <w:rPr>
          <w:szCs w:val="28"/>
          <w:lang w:val="uk-UA"/>
        </w:rPr>
        <w:t xml:space="preserve">З’ясовано, що </w:t>
      </w:r>
      <w:r w:rsidRPr="00DA1E6A">
        <w:rPr>
          <w:szCs w:val="28"/>
          <w:shd w:val="clear" w:color="auto" w:fill="FFFFFF"/>
          <w:lang w:val="uk-UA"/>
        </w:rPr>
        <w:t>законом надано право нотаріусу на вчинення додаткових дій щодо отримання відомостей, необхідних для вчинення нотаріальної дії. Тобто, нотаріус в процесі вчинення відповідних нотаріальних дій наділений компетенцією щодо витребування необхідних матеріалів та інформації, задля встановлення обставин конкретної справи та прийняття правильного рішення.</w:t>
      </w:r>
    </w:p>
    <w:p w:rsidR="00DA1E6A" w:rsidRPr="00DA1E6A" w:rsidRDefault="00DA1E6A" w:rsidP="00DA1E6A">
      <w:pPr>
        <w:shd w:val="clear" w:color="auto" w:fill="FFFFFF"/>
        <w:ind w:firstLine="450"/>
        <w:rPr>
          <w:szCs w:val="28"/>
          <w:lang w:val="uk-UA"/>
        </w:rPr>
      </w:pPr>
      <w:r w:rsidRPr="00DA1E6A">
        <w:rPr>
          <w:szCs w:val="28"/>
          <w:lang w:val="uk-UA"/>
        </w:rPr>
        <w:t xml:space="preserve">Проаналізовано положення </w:t>
      </w:r>
      <w:r w:rsidRPr="00DA1E6A">
        <w:rPr>
          <w:szCs w:val="28"/>
          <w:shd w:val="clear" w:color="auto" w:fill="FFFFFF"/>
          <w:lang w:val="uk-UA"/>
        </w:rPr>
        <w:t xml:space="preserve">статті 44 Закону України «Про нотаріат», відповідно до якої у разі наявності сумнівів щодо обсягу цивільної дієздатності фізичної особи, яка звернулася за вчиненням нотаріальної дії, </w:t>
      </w:r>
      <w:r w:rsidRPr="00DA1E6A">
        <w:rPr>
          <w:szCs w:val="28"/>
          <w:shd w:val="clear" w:color="auto" w:fill="FFFFFF"/>
          <w:lang w:val="uk-UA"/>
        </w:rPr>
        <w:lastRenderedPageBreak/>
        <w:t>нотаріус зобов’язаний звернутися до органу опіки та піклування за місцем проживання відповідної фізичної особи для встановлення факту відсутності опіки або піклування над такою фізичною особою. Крім того, у</w:t>
      </w:r>
      <w:r w:rsidRPr="00DA1E6A">
        <w:rPr>
          <w:szCs w:val="28"/>
          <w:lang w:val="uk-UA"/>
        </w:rPr>
        <w:t xml:space="preserve"> разі наявності сумнівів щодо уповноваженого представника, а також його цивільної дієздатності та правоздатності нотаріус має право зробити запит до відповідної фізичної чи юридичної особи.</w:t>
      </w:r>
      <w:bookmarkStart w:id="1" w:name="n497"/>
      <w:bookmarkEnd w:id="1"/>
      <w:r w:rsidRPr="00DA1E6A">
        <w:rPr>
          <w:szCs w:val="28"/>
          <w:lang w:val="uk-UA"/>
        </w:rPr>
        <w:t xml:space="preserve"> Нотаріус зобов’язаний встановити дійсні наміри кожної із сторін до вчинення правочину, який він посвідчує, а також відсутність у сторін заперечень щодо кожної з умов правочину</w:t>
      </w:r>
      <w:bookmarkStart w:id="2" w:name="n498"/>
      <w:bookmarkEnd w:id="2"/>
      <w:r w:rsidRPr="00DA1E6A">
        <w:rPr>
          <w:szCs w:val="28"/>
          <w:lang w:val="uk-UA"/>
        </w:rPr>
        <w:t>, що свідчить про те, що законодавець наділяє нотаріуса ширшим колом повноважень, аніж лише дотримання та виконання закону.</w:t>
      </w:r>
    </w:p>
    <w:p w:rsidR="00DA1E6A" w:rsidRPr="00DA1E6A" w:rsidRDefault="00DA1E6A" w:rsidP="00DA1E6A">
      <w:pPr>
        <w:rPr>
          <w:szCs w:val="28"/>
          <w:lang w:val="uk-UA"/>
        </w:rPr>
      </w:pPr>
      <w:r w:rsidRPr="00DA1E6A">
        <w:rPr>
          <w:szCs w:val="28"/>
          <w:lang w:val="uk-UA"/>
        </w:rPr>
        <w:t>Визначено, що діяльність нотаріуса прямо пов’язана з процесом правозастосування, в результаті чого нотаріус є суб’єктом правозастосування, який наділений законом відповідним об’ємом прав та обов’язків.</w:t>
      </w:r>
    </w:p>
    <w:p w:rsidR="00DA1E6A" w:rsidRPr="00DA1E6A" w:rsidRDefault="00DA1E6A" w:rsidP="00DA1E6A">
      <w:pPr>
        <w:rPr>
          <w:szCs w:val="28"/>
          <w:lang w:val="uk-UA"/>
        </w:rPr>
      </w:pPr>
      <w:r w:rsidRPr="00DA1E6A">
        <w:rPr>
          <w:szCs w:val="28"/>
          <w:lang w:val="uk-UA"/>
        </w:rPr>
        <w:t>Досліджені погляди вчених щодо наявності/відсутності прогалин в праві. Зокрема, прихильники безпрогальності права вважають, що правом є лише те, що написано в тексті закону: всі діяння або заборонені, або не забороняються, або підпадають під закон, чи не підпадають. При цьому, нормативізм розглядає право як замкнену систему норм належного характеру, які пізнаються та поповнюються з самих себе, повністю відірваних від реальних суспільних відносин і ні в якій мірі не пов'язаних з проявом волі законодавця. Одночасно проаналізовані наукові позиції, з точки зору яких встановлена система правил поведінки за своєю природою вже має прогалину, оскільки в широкому сенсі, норма права має чітко встановлені рамки з моменту її встановлення та не здатна в подальшому оперативно трансформуватися за вимогою, а лише через встановлений механізм (шляхом доповнення, зміни, виключення, розширення, заміни тощо).</w:t>
      </w:r>
    </w:p>
    <w:p w:rsidR="00DA1E6A" w:rsidRPr="00DA1E6A" w:rsidRDefault="00DA1E6A" w:rsidP="00DA1E6A">
      <w:pPr>
        <w:rPr>
          <w:szCs w:val="28"/>
          <w:lang w:val="uk-UA"/>
        </w:rPr>
      </w:pPr>
      <w:r w:rsidRPr="00DA1E6A">
        <w:rPr>
          <w:szCs w:val="28"/>
          <w:lang w:val="uk-UA"/>
        </w:rPr>
        <w:t xml:space="preserve">В контексті дисертаційного дослідження зосереджена увага саме на способах подолання прогалин в праві. Проаналізовані такі способи як </w:t>
      </w:r>
      <w:r w:rsidRPr="00DA1E6A">
        <w:rPr>
          <w:szCs w:val="28"/>
          <w:lang w:val="uk-UA"/>
        </w:rPr>
        <w:lastRenderedPageBreak/>
        <w:t>аналогія, субсидіарне застосування норм законодавства, конкретизація, тлумачення правових норм тощо.</w:t>
      </w:r>
    </w:p>
    <w:p w:rsidR="00DA1E6A" w:rsidRPr="00DA1E6A" w:rsidRDefault="00DA1E6A" w:rsidP="00DA1E6A">
      <w:pPr>
        <w:rPr>
          <w:szCs w:val="28"/>
          <w:lang w:val="uk-UA"/>
        </w:rPr>
      </w:pPr>
      <w:r w:rsidRPr="00DA1E6A">
        <w:rPr>
          <w:szCs w:val="28"/>
          <w:lang w:val="uk-UA"/>
        </w:rPr>
        <w:t>Визначено, що аналогія означає застосування норми права, яка регулює подібні, схожі за змістом правовідносини, з дотриманням відповідних умов, зокрема, відсутності протиріччя загальним засадам галузі права, норма якої використовується за аналогією, тій галузі, яка прямо не врегульовує спірне питання. При цьому аналогія закону означає застосування норми права, яка міститься в іншому законодавчому акті, в той час як аналогія права є ширшим поняттям та обумовлює пошук вирішення конкретної ситуації не в законодавчій, а в правовій площині через призму загальних засад права.</w:t>
      </w:r>
    </w:p>
    <w:p w:rsidR="00DA1E6A" w:rsidRPr="00DA1E6A" w:rsidRDefault="00DA1E6A" w:rsidP="00DA1E6A">
      <w:pPr>
        <w:rPr>
          <w:szCs w:val="28"/>
          <w:lang w:val="uk-UA"/>
        </w:rPr>
      </w:pPr>
      <w:r w:rsidRPr="00DA1E6A">
        <w:rPr>
          <w:szCs w:val="28"/>
          <w:lang w:val="uk-UA"/>
        </w:rPr>
        <w:t>Встановлено, що субсидіарне застосування норм передбачає використання положень суміжного правового інституту або спорідненої галузі.</w:t>
      </w:r>
    </w:p>
    <w:p w:rsidR="00DA1E6A" w:rsidRPr="00DA1E6A" w:rsidRDefault="00DA1E6A" w:rsidP="00DA1E6A">
      <w:pPr>
        <w:ind w:left="40" w:right="40" w:firstLine="840"/>
        <w:rPr>
          <w:szCs w:val="28"/>
          <w:lang w:val="uk-UA"/>
        </w:rPr>
      </w:pPr>
      <w:r w:rsidRPr="00DA1E6A">
        <w:rPr>
          <w:szCs w:val="28"/>
          <w:lang w:val="uk-UA"/>
        </w:rPr>
        <w:t>Проведено розмежування аналогії права та субсидіарного застосування норм та з’ясовано, що аналогія застосовується якщо в законодавчій площині або відсутнє вирішення конкретної спірної ситуації, або взагалі відсутнє врегулювання спірних правовідносини. Умовою субсидіарного застосування норм є те, що спірна ситуація (правовідносини) врегульована законодавцем, однак в межах іншої галузі права.</w:t>
      </w:r>
    </w:p>
    <w:p w:rsidR="00DA1E6A" w:rsidRPr="00DA1E6A" w:rsidRDefault="00DA1E6A" w:rsidP="00DA1E6A">
      <w:pPr>
        <w:contextualSpacing/>
        <w:rPr>
          <w:szCs w:val="28"/>
          <w:lang w:val="uk-UA"/>
        </w:rPr>
      </w:pPr>
      <w:r w:rsidRPr="00DA1E6A">
        <w:rPr>
          <w:szCs w:val="28"/>
          <w:lang w:val="uk-UA"/>
        </w:rPr>
        <w:t>Визначено, що процес тлумачення норм права полягає в з’ясуванні дійсної суті правової норми, істинної волі законодавця щодо порядку та способу врегулювання правовідносин чи вирішення того чи іншого спірного питання. Отже, на відміну від аналогії, тлумачення передбачає наявність встановленої правової норми.</w:t>
      </w:r>
    </w:p>
    <w:p w:rsidR="00DA1E6A" w:rsidRPr="00DA1E6A" w:rsidRDefault="00DA1E6A" w:rsidP="00DA1E6A">
      <w:pPr>
        <w:contextualSpacing/>
        <w:rPr>
          <w:szCs w:val="28"/>
          <w:lang w:val="uk-UA"/>
        </w:rPr>
      </w:pPr>
      <w:r w:rsidRPr="00DA1E6A">
        <w:rPr>
          <w:szCs w:val="28"/>
          <w:lang w:val="uk-UA"/>
        </w:rPr>
        <w:t>Конкретизація, також, застосовується за наявності відповідної правової норми, яка регулює певні правовідносини, за умови, що зміст та суть цієї правової норми є зрозумілими. Суб’єкт правозастосування повинен правильно застосувати норму права, в контексті специфіки відповідних правовідносин, таким чином, конкретизуючи зміст правової норми.</w:t>
      </w:r>
    </w:p>
    <w:p w:rsidR="00DA1E6A" w:rsidRPr="00DA1E6A" w:rsidRDefault="00DA1E6A" w:rsidP="00DA1E6A">
      <w:pPr>
        <w:rPr>
          <w:szCs w:val="28"/>
          <w:lang w:val="uk-UA"/>
        </w:rPr>
      </w:pPr>
      <w:r w:rsidRPr="00DA1E6A">
        <w:rPr>
          <w:szCs w:val="28"/>
          <w:lang w:val="uk-UA"/>
        </w:rPr>
        <w:lastRenderedPageBreak/>
        <w:t xml:space="preserve">Досліджені нормативно-правові підстави застосування аналогії. Зосереджена увага на статті 8 ЦК України, яка містить пряму вказівку на застосування аналогії закону й аналогії права. </w:t>
      </w:r>
    </w:p>
    <w:p w:rsidR="00DA1E6A" w:rsidRPr="00DA1E6A" w:rsidRDefault="00DA1E6A" w:rsidP="00DA1E6A">
      <w:pPr>
        <w:rPr>
          <w:szCs w:val="28"/>
          <w:lang w:val="uk-UA"/>
        </w:rPr>
      </w:pPr>
      <w:r w:rsidRPr="00DA1E6A">
        <w:rPr>
          <w:szCs w:val="28"/>
          <w:lang w:val="uk-UA"/>
        </w:rPr>
        <w:t>Досліджено механізм застосування аналогії та сформульовано його складові елементи, зокрема, законодавча база, яка уповноважує суб’єкта на застосування аналогії; наявність спірної ситуації, пошук нормативно-правової бази,обрання способів вирішення спірної ситуації, застосування схожої норми права до спірних правовідносин; видання обґрунтованого акту.</w:t>
      </w:r>
    </w:p>
    <w:p w:rsidR="00DA1E6A" w:rsidRPr="00DA1E6A" w:rsidRDefault="00DA1E6A" w:rsidP="00DA1E6A">
      <w:pPr>
        <w:rPr>
          <w:szCs w:val="28"/>
          <w:lang w:val="uk-UA"/>
        </w:rPr>
      </w:pPr>
      <w:r w:rsidRPr="00DA1E6A">
        <w:rPr>
          <w:szCs w:val="28"/>
          <w:lang w:val="uk-UA"/>
        </w:rPr>
        <w:t xml:space="preserve">Проаналізовані наукові позиції щодо суб’єктів, уповноважених застосовувати аналогію та з’ясовано, що вчені розподіляються на дві групи. Перша вважає, що аналогію можуть застосовувати лише суди в своїй діяльності. Друга схиляється до того, що всі суб’єкти правозастосування мають право в своїй діяльності застосовувати аналогію. </w:t>
      </w:r>
    </w:p>
    <w:p w:rsidR="00DA1E6A" w:rsidRPr="00DA1E6A" w:rsidRDefault="00DA1E6A" w:rsidP="00DA1E6A">
      <w:pPr>
        <w:rPr>
          <w:szCs w:val="28"/>
          <w:lang w:val="uk-UA"/>
        </w:rPr>
      </w:pPr>
      <w:r w:rsidRPr="00DA1E6A">
        <w:rPr>
          <w:szCs w:val="28"/>
          <w:lang w:val="uk-UA"/>
        </w:rPr>
        <w:t>Сформульована позиція, за якою правозастосування передбачає наявність стадій: встановлення фактичних обставин справи, юридичну кваліфікацію правовідносин та прийняття відповідного рішення. Відповідно цей процес полягає у визначенні наявності/відсутності відповідного права чи інтересу, щодо якого звернулись особи, та настання відповідних процесуальних та матеріальних наслідків (обрання алгоритму вирішення, нормативної бази, прийняття рішення, виконання цього рішення тощо). Такими повноваженнями наділені не лише судові органи, а й інші суб’єкти правозастосування, в зв’язку з чим є доцільним застосування аналогії такими суб’єктами.</w:t>
      </w:r>
    </w:p>
    <w:p w:rsidR="00DA1E6A" w:rsidRPr="00DA1E6A" w:rsidRDefault="00DA1E6A" w:rsidP="00DA1E6A">
      <w:pPr>
        <w:rPr>
          <w:rFonts w:eastAsia="Calibri"/>
          <w:szCs w:val="28"/>
          <w:lang w:val="uk-UA"/>
        </w:rPr>
      </w:pPr>
      <w:r w:rsidRPr="00DA1E6A">
        <w:rPr>
          <w:szCs w:val="28"/>
          <w:lang w:val="uk-UA"/>
        </w:rPr>
        <w:t xml:space="preserve">В контексті статті 18 ЦК України визначено, що </w:t>
      </w:r>
      <w:r w:rsidRPr="00DA1E6A">
        <w:rPr>
          <w:szCs w:val="28"/>
          <w:shd w:val="clear" w:color="auto" w:fill="FFFFFF"/>
          <w:lang w:val="uk-UA"/>
        </w:rPr>
        <w:t>нотаріус є активним фігурою на правовій арені та, в межах наданих йому законом повноважень, вчиняє необхідні дії з метою захисту прав та законних інтересів особи.</w:t>
      </w:r>
      <w:r w:rsidRPr="00DA1E6A">
        <w:rPr>
          <w:szCs w:val="28"/>
          <w:lang w:val="uk-UA"/>
        </w:rPr>
        <w:t xml:space="preserve"> Н</w:t>
      </w:r>
      <w:r w:rsidRPr="00DA1E6A">
        <w:rPr>
          <w:rFonts w:eastAsia="Calibri"/>
          <w:szCs w:val="28"/>
          <w:lang w:val="uk-UA"/>
        </w:rPr>
        <w:t xml:space="preserve">отаріус як суб’єкт правозастосування, наділений законом відповідним колом повноважень на вчинення нотаріальних дій, які можуть полягати як в суто формальних процедурах, так і вимагати активної участі при вчиненні дій, направлених на захист цивільних прав особи. </w:t>
      </w:r>
    </w:p>
    <w:p w:rsidR="00DA1E6A" w:rsidRPr="00DA1E6A" w:rsidRDefault="00DA1E6A" w:rsidP="00DA1E6A">
      <w:pPr>
        <w:rPr>
          <w:szCs w:val="28"/>
          <w:lang w:val="uk-UA"/>
        </w:rPr>
      </w:pPr>
      <w:r w:rsidRPr="00DA1E6A">
        <w:rPr>
          <w:szCs w:val="28"/>
          <w:lang w:val="uk-UA"/>
        </w:rPr>
        <w:lastRenderedPageBreak/>
        <w:t>Відзначено, що нотаріус як суб’єкт правозастосування в своїй діяльності має справу з недосконалостями юридичного механізму, що ставить перед ним завдання пошуку оптимального шляху їх подолання.</w:t>
      </w:r>
    </w:p>
    <w:p w:rsidR="00DA1E6A" w:rsidRPr="00DA1E6A" w:rsidRDefault="00DA1E6A" w:rsidP="00DA1E6A">
      <w:pPr>
        <w:contextualSpacing/>
        <w:rPr>
          <w:szCs w:val="28"/>
          <w:lang w:val="uk-UA"/>
        </w:rPr>
      </w:pPr>
      <w:r w:rsidRPr="00DA1E6A">
        <w:rPr>
          <w:szCs w:val="28"/>
          <w:lang w:val="uk-UA"/>
        </w:rPr>
        <w:t>На підставі аналізу практичних ситуацій сформульована позиція про те, що нотаріус, не допускаючи тотального формалізму може застосовувати аналогію законодавства в своїй діяльності. Положеннями цивільного законодавства передбачається повноваження суб’єктів правозастосування використовувати аналогію в своїй діяльності. Законодавчі обмеження застосування аналогії нотаріусом відсутні. Разом з тим, межі застосування аналогії нотаріусом не повинні виходити за рамки, наданих йому повноважень та прав.</w:t>
      </w:r>
    </w:p>
    <w:p w:rsidR="00DA1E6A" w:rsidRPr="00DA1E6A" w:rsidRDefault="00DA1E6A" w:rsidP="00DA1E6A">
      <w:pPr>
        <w:contextualSpacing/>
        <w:rPr>
          <w:szCs w:val="28"/>
          <w:lang w:val="uk-UA"/>
        </w:rPr>
      </w:pPr>
      <w:r w:rsidRPr="00DA1E6A">
        <w:rPr>
          <w:szCs w:val="28"/>
          <w:lang w:val="uk-UA"/>
        </w:rPr>
        <w:t xml:space="preserve">Обґрунтовано </w:t>
      </w:r>
      <w:r w:rsidRPr="00DA1E6A">
        <w:rPr>
          <w:rFonts w:eastAsia="Calibri"/>
          <w:szCs w:val="28"/>
          <w:lang w:val="uk-UA"/>
        </w:rPr>
        <w:t>внесення змін до законодавства, шляхом доповнення статті 4 Закону України «Про нотаріат» абзацом п’ятим: «</w:t>
      </w:r>
      <w:r w:rsidRPr="00DA1E6A">
        <w:rPr>
          <w:rFonts w:eastAsia="Calibri"/>
          <w:i/>
          <w:szCs w:val="28"/>
          <w:lang w:val="uk-UA"/>
        </w:rPr>
        <w:t>Я</w:t>
      </w:r>
      <w:r w:rsidRPr="00DA1E6A">
        <w:rPr>
          <w:i/>
          <w:szCs w:val="28"/>
          <w:shd w:val="clear" w:color="auto" w:fill="FFFFFF"/>
          <w:lang w:val="uk-UA"/>
        </w:rPr>
        <w:t>кщо певні відносини прямо не врегульовані законом нотаріус має право застосувати аналогію закону та використати закон, що регулює подібні відносини. У випадку відсутності такого закону, нотаріус керується загальними засадами відповідного законодавства тобто має право застосувати аналогію права.</w:t>
      </w:r>
      <w:r w:rsidRPr="00DA1E6A">
        <w:rPr>
          <w:szCs w:val="28"/>
          <w:shd w:val="clear" w:color="auto" w:fill="FFFFFF"/>
          <w:lang w:val="uk-UA"/>
        </w:rPr>
        <w:t>».</w:t>
      </w:r>
    </w:p>
    <w:p w:rsidR="00DA1E6A" w:rsidRPr="00DA1E6A" w:rsidRDefault="00DA1E6A" w:rsidP="00DA1E6A">
      <w:pPr>
        <w:rPr>
          <w:szCs w:val="28"/>
          <w:lang w:val="uk-UA"/>
        </w:rPr>
      </w:pPr>
      <w:r w:rsidRPr="00DA1E6A">
        <w:rPr>
          <w:b/>
          <w:bCs/>
          <w:i/>
          <w:szCs w:val="28"/>
          <w:lang w:val="uk-UA"/>
        </w:rPr>
        <w:t xml:space="preserve">Ключові слова: </w:t>
      </w:r>
      <w:r w:rsidRPr="00DA1E6A">
        <w:rPr>
          <w:szCs w:val="28"/>
          <w:lang w:val="uk-UA"/>
        </w:rPr>
        <w:t>нотаріус, нотаріат, правозастосування, суб’єкт правозастосування, механізм правозастосування, прогалини, аналогія, аналогія закону, аналогія права, механізм застосування аналогії.</w:t>
      </w:r>
    </w:p>
    <w:p w:rsidR="00DA1E6A" w:rsidRPr="00DA1E6A" w:rsidRDefault="00DA1E6A" w:rsidP="00DA1E6A">
      <w:pPr>
        <w:rPr>
          <w:szCs w:val="28"/>
          <w:lang w:val="uk-UA"/>
        </w:rPr>
      </w:pPr>
    </w:p>
    <w:p w:rsidR="00DA1E6A" w:rsidRPr="00DA1E6A" w:rsidRDefault="00DA1E6A" w:rsidP="00DA1E6A">
      <w:pPr>
        <w:ind w:firstLine="0"/>
        <w:jc w:val="center"/>
        <w:rPr>
          <w:rFonts w:eastAsia="Calibri"/>
          <w:b/>
          <w:szCs w:val="28"/>
          <w:lang w:eastAsia="en-US"/>
        </w:rPr>
      </w:pPr>
      <w:r w:rsidRPr="00DA1E6A">
        <w:rPr>
          <w:rFonts w:eastAsia="Calibri"/>
          <w:b/>
          <w:szCs w:val="28"/>
          <w:lang w:eastAsia="en-US"/>
        </w:rPr>
        <w:t>ABSTRACT</w:t>
      </w:r>
    </w:p>
    <w:p w:rsidR="00DA1E6A" w:rsidRPr="00DA1E6A" w:rsidRDefault="00DA1E6A" w:rsidP="00DA1E6A">
      <w:pPr>
        <w:ind w:firstLine="567"/>
        <w:rPr>
          <w:rFonts w:eastAsia="Calibri"/>
          <w:szCs w:val="28"/>
          <w:lang w:val="uk-UA" w:eastAsia="en-US"/>
        </w:rPr>
      </w:pPr>
      <w:r w:rsidRPr="00DA1E6A">
        <w:rPr>
          <w:rFonts w:eastAsia="Calibri"/>
          <w:i/>
          <w:szCs w:val="28"/>
          <w:lang w:eastAsia="en-US"/>
        </w:rPr>
        <w:t>Orzikh V</w:t>
      </w:r>
      <w:r w:rsidRPr="00DA1E6A">
        <w:rPr>
          <w:rFonts w:eastAsia="Calibri"/>
          <w:i/>
          <w:szCs w:val="28"/>
          <w:lang w:val="en-US" w:eastAsia="en-US"/>
        </w:rPr>
        <w:t>.</w:t>
      </w:r>
      <w:r w:rsidRPr="00DA1E6A">
        <w:rPr>
          <w:rFonts w:eastAsia="Calibri"/>
          <w:i/>
          <w:szCs w:val="28"/>
          <w:lang w:eastAsia="en-US"/>
        </w:rPr>
        <w:t>M.</w:t>
      </w:r>
      <w:r w:rsidRPr="00DA1E6A">
        <w:rPr>
          <w:rFonts w:eastAsia="Calibri"/>
          <w:b/>
          <w:szCs w:val="28"/>
          <w:lang w:val="uk-UA" w:eastAsia="en-US"/>
        </w:rPr>
        <w:t xml:space="preserve"> </w:t>
      </w:r>
      <w:r w:rsidRPr="00DA1E6A">
        <w:rPr>
          <w:rFonts w:eastAsia="Calibri"/>
          <w:szCs w:val="28"/>
          <w:lang w:eastAsia="en-US"/>
        </w:rPr>
        <w:t xml:space="preserve">Application by notaries of the analogy by legislation and analogy by law. – Qualification scientific work, manuscript copyright.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Thesis for a Ph.D. degree in specialty 081 </w:t>
      </w:r>
      <w:r w:rsidRPr="00DA1E6A">
        <w:rPr>
          <w:rFonts w:eastAsia="Calibri"/>
          <w:szCs w:val="28"/>
          <w:lang w:val="uk-UA" w:eastAsia="en-US"/>
        </w:rPr>
        <w:t>«</w:t>
      </w:r>
      <w:r w:rsidRPr="00DA1E6A">
        <w:rPr>
          <w:rFonts w:eastAsia="Calibri"/>
          <w:szCs w:val="28"/>
          <w:lang w:eastAsia="en-US"/>
        </w:rPr>
        <w:t>Law</w:t>
      </w:r>
      <w:r w:rsidRPr="00DA1E6A">
        <w:rPr>
          <w:rFonts w:eastAsia="Calibri"/>
          <w:szCs w:val="28"/>
          <w:lang w:val="uk-UA" w:eastAsia="en-US"/>
        </w:rPr>
        <w:t>»</w:t>
      </w:r>
      <w:r w:rsidRPr="00DA1E6A">
        <w:rPr>
          <w:rFonts w:eastAsia="Calibri"/>
          <w:szCs w:val="28"/>
          <w:lang w:eastAsia="en-US"/>
        </w:rPr>
        <w:t xml:space="preserve">. – National University “Odessa Law Academy”, Odesa, 2021.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The dissertation is the first complex research of the legal status of the notary as a subject of application of analogy in the civil law of Ukraine. </w:t>
      </w:r>
    </w:p>
    <w:p w:rsidR="00DA1E6A" w:rsidRPr="00DA1E6A" w:rsidRDefault="00DA1E6A" w:rsidP="00DA1E6A">
      <w:pPr>
        <w:ind w:firstLine="567"/>
        <w:rPr>
          <w:rFonts w:eastAsia="Calibri"/>
          <w:szCs w:val="28"/>
          <w:lang w:eastAsia="en-US"/>
        </w:rPr>
      </w:pPr>
      <w:r w:rsidRPr="00DA1E6A">
        <w:rPr>
          <w:rFonts w:eastAsia="Calibri"/>
          <w:szCs w:val="28"/>
          <w:lang w:eastAsia="en-US"/>
        </w:rPr>
        <w:lastRenderedPageBreak/>
        <w:t>In the dissertation analyzed the definitions of the concept of "application of</w:t>
      </w:r>
      <w:r w:rsidRPr="00DA1E6A">
        <w:rPr>
          <w:rFonts w:eastAsia="Calibri"/>
          <w:szCs w:val="28"/>
          <w:lang w:val="uk-UA" w:eastAsia="en-US"/>
        </w:rPr>
        <w:t xml:space="preserve"> </w:t>
      </w:r>
      <w:r w:rsidRPr="00DA1E6A">
        <w:rPr>
          <w:rFonts w:eastAsia="Calibri"/>
          <w:szCs w:val="28"/>
          <w:lang w:eastAsia="en-US"/>
        </w:rPr>
        <w:t>law" in civil law and legislation of Ukraine. It is established that application of law</w:t>
      </w:r>
      <w:r w:rsidRPr="00DA1E6A">
        <w:rPr>
          <w:rFonts w:eastAsia="Calibri"/>
          <w:szCs w:val="28"/>
          <w:lang w:val="uk-UA" w:eastAsia="en-US"/>
        </w:rPr>
        <w:t xml:space="preserve"> </w:t>
      </w:r>
      <w:r w:rsidRPr="00DA1E6A">
        <w:rPr>
          <w:rFonts w:eastAsia="Calibri"/>
          <w:szCs w:val="28"/>
          <w:lang w:eastAsia="en-US"/>
        </w:rPr>
        <w:t xml:space="preserve">is a special form of realization of law, which at a certain stage accumulates other forms of application of law, thus determining its special and universal imperative nature. It was found that the mechanism of application of law is the activity of authorized subjects, which with the help of a set of legal means to influence social relations, perform the task in order to achieve the appropriate result. The effect of the application of law mechanism starts in the presence of the legal fact, authority and object of legal influence.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was found that the method of the application of law is the intrinsic part of the structure of application of law, which characterizes the activities of the subject which authorized to apply law and the manner of solving the tasks. There are two main methods of the application of law: imperative and dispositive. </w:t>
      </w:r>
    </w:p>
    <w:p w:rsidR="00DA1E6A" w:rsidRPr="00DA1E6A" w:rsidRDefault="00DA1E6A" w:rsidP="00DA1E6A">
      <w:pPr>
        <w:ind w:firstLine="567"/>
        <w:rPr>
          <w:rFonts w:eastAsia="Calibri"/>
          <w:szCs w:val="28"/>
          <w:lang w:eastAsia="en-US"/>
        </w:rPr>
      </w:pPr>
      <w:r w:rsidRPr="00DA1E6A">
        <w:rPr>
          <w:rFonts w:eastAsia="Calibri"/>
          <w:szCs w:val="28"/>
          <w:lang w:eastAsia="en-US"/>
        </w:rPr>
        <w:t>It is established that the final stage of the application of law is the making the final</w:t>
      </w:r>
      <w:r w:rsidRPr="00DA1E6A">
        <w:rPr>
          <w:rFonts w:eastAsia="Calibri"/>
          <w:szCs w:val="28"/>
          <w:lang w:val="uk-UA" w:eastAsia="en-US"/>
        </w:rPr>
        <w:t xml:space="preserve"> </w:t>
      </w:r>
      <w:r w:rsidRPr="00DA1E6A">
        <w:rPr>
          <w:rFonts w:eastAsia="Calibri"/>
          <w:szCs w:val="28"/>
          <w:lang w:eastAsia="en-US"/>
        </w:rPr>
        <w:t xml:space="preserve">decision which objectifies in the act of the application of law, which directly accumulates the circumstances of a particular casus and legal norm, which regulates the disputed relationships and forms </w:t>
      </w:r>
      <w:r w:rsidRPr="00DA1E6A">
        <w:rPr>
          <w:rFonts w:eastAsia="Calibri"/>
          <w:szCs w:val="28"/>
          <w:lang w:val="en-US" w:eastAsia="en-US"/>
        </w:rPr>
        <w:t>relevant</w:t>
      </w:r>
      <w:r w:rsidRPr="00DA1E6A">
        <w:rPr>
          <w:rFonts w:eastAsia="Calibri"/>
          <w:szCs w:val="28"/>
          <w:lang w:eastAsia="en-US"/>
        </w:rPr>
        <w:t xml:space="preserve"> conclusions. </w:t>
      </w:r>
    </w:p>
    <w:p w:rsidR="00DA1E6A" w:rsidRPr="00DA1E6A" w:rsidRDefault="00DA1E6A" w:rsidP="00DA1E6A">
      <w:pPr>
        <w:ind w:firstLine="567"/>
        <w:rPr>
          <w:rFonts w:eastAsia="Calibri"/>
          <w:szCs w:val="28"/>
          <w:lang w:eastAsia="en-US"/>
        </w:rPr>
      </w:pPr>
      <w:r w:rsidRPr="00DA1E6A">
        <w:rPr>
          <w:rFonts w:eastAsia="Calibri"/>
          <w:szCs w:val="28"/>
          <w:lang w:eastAsia="en-US"/>
        </w:rPr>
        <w:t>It was found that one of the features of the act of the application of law</w:t>
      </w:r>
      <w:r w:rsidRPr="00DA1E6A">
        <w:rPr>
          <w:rFonts w:eastAsia="Calibri"/>
          <w:szCs w:val="28"/>
          <w:lang w:val="uk-UA" w:eastAsia="en-US"/>
        </w:rPr>
        <w:t xml:space="preserve"> </w:t>
      </w:r>
      <w:r w:rsidRPr="00DA1E6A">
        <w:rPr>
          <w:rFonts w:eastAsia="Calibri"/>
          <w:szCs w:val="28"/>
          <w:lang w:eastAsia="en-US"/>
        </w:rPr>
        <w:t>as a legal phenomenon is its ability to eliminate obstacles and shortcomings of the legislation</w:t>
      </w:r>
      <w:r w:rsidRPr="00DA1E6A">
        <w:rPr>
          <w:rFonts w:eastAsia="Calibri"/>
          <w:szCs w:val="28"/>
          <w:lang w:val="uk-UA" w:eastAsia="en-US"/>
        </w:rPr>
        <w:t xml:space="preserve"> </w:t>
      </w:r>
      <w:r w:rsidRPr="00DA1E6A">
        <w:rPr>
          <w:rFonts w:eastAsia="Calibri"/>
          <w:szCs w:val="28"/>
          <w:lang w:eastAsia="en-US"/>
        </w:rPr>
        <w:t>during the process of application of law, which leads to the most effective achievement of the tasks by the subject, which apply the law.</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is determined that the subjects, which authorized to apply law are specially authorized persons (bodies, officials), who empowered with the certain range of authorities to resolve a specific casus in the process of applying legal norms and making decisions based on the results of the process of application of law. </w:t>
      </w:r>
    </w:p>
    <w:p w:rsidR="00DA1E6A" w:rsidRPr="00DA1E6A" w:rsidRDefault="00DA1E6A" w:rsidP="00DA1E6A">
      <w:pPr>
        <w:ind w:firstLine="567"/>
        <w:rPr>
          <w:rFonts w:eastAsia="Calibri"/>
          <w:szCs w:val="28"/>
          <w:lang w:eastAsia="en-US"/>
        </w:rPr>
      </w:pPr>
      <w:r w:rsidRPr="00DA1E6A">
        <w:rPr>
          <w:rFonts w:eastAsia="Calibri"/>
          <w:szCs w:val="28"/>
          <w:lang w:eastAsia="en-US"/>
        </w:rPr>
        <w:t>It is investigated that according to the Article 3 of the Law of Ukraine "On Notariat" defines a notary as a state-authorized individual who performs notarial activity in a state notary office, state notarial archive or independent professional notarial activity, in particular certifies rights and of legally significant facts and performs other notarial acts provided by law in order to give them legal credibility.</w:t>
      </w:r>
    </w:p>
    <w:p w:rsidR="00DA1E6A" w:rsidRPr="00DA1E6A" w:rsidRDefault="00DA1E6A" w:rsidP="00DA1E6A">
      <w:pPr>
        <w:ind w:firstLine="567"/>
        <w:rPr>
          <w:rFonts w:eastAsia="Calibri"/>
          <w:szCs w:val="28"/>
          <w:lang w:eastAsia="en-US"/>
        </w:rPr>
      </w:pPr>
      <w:r w:rsidRPr="00DA1E6A">
        <w:rPr>
          <w:rFonts w:eastAsia="Calibri"/>
          <w:szCs w:val="28"/>
          <w:lang w:eastAsia="en-US"/>
        </w:rPr>
        <w:lastRenderedPageBreak/>
        <w:t xml:space="preserve"> In the context of the legislative definition, it is established that the notary is endowed by the state with a certain list of powers to take appropriate action and resolve specific situations (casus), which means</w:t>
      </w:r>
      <w:r w:rsidRPr="00DA1E6A">
        <w:rPr>
          <w:rFonts w:eastAsia="Calibri"/>
          <w:szCs w:val="28"/>
          <w:lang w:val="uk-UA" w:eastAsia="en-US"/>
        </w:rPr>
        <w:t xml:space="preserve"> </w:t>
      </w:r>
      <w:r w:rsidRPr="00DA1E6A">
        <w:rPr>
          <w:rFonts w:eastAsia="Calibri"/>
          <w:szCs w:val="28"/>
          <w:lang w:eastAsia="en-US"/>
        </w:rPr>
        <w:t xml:space="preserve">that notaries are those who authorized to apply law.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was found that the law gives the notary the right to take additional action to obtain necessary information to perform a notarial act. Notary in the process of performing notarial acts is endowed to request necessary documents and information in order to find out all circumstances of a particular case in order to make correct decision. </w:t>
      </w:r>
    </w:p>
    <w:p w:rsidR="00DA1E6A" w:rsidRPr="00DA1E6A" w:rsidRDefault="00DA1E6A" w:rsidP="00DA1E6A">
      <w:pPr>
        <w:ind w:firstLine="567"/>
        <w:rPr>
          <w:rFonts w:eastAsia="Calibri"/>
          <w:szCs w:val="28"/>
          <w:lang w:val="en-US" w:eastAsia="en-US"/>
        </w:rPr>
      </w:pPr>
      <w:r w:rsidRPr="00DA1E6A">
        <w:rPr>
          <w:rFonts w:eastAsia="Calibri"/>
          <w:szCs w:val="28"/>
          <w:lang w:eastAsia="en-US"/>
        </w:rPr>
        <w:t>The provisions of Article 44 of the Law of Ukraine "On Notariat" were analyzed, according to which in case of doubts about the scope of civil capacity of a natural person who asked to perform a notarial act, notary must apply to the guardianship authority at the place of residence of the person</w:t>
      </w:r>
      <w:r w:rsidRPr="00DA1E6A">
        <w:rPr>
          <w:rFonts w:eastAsia="Calibri"/>
          <w:szCs w:val="28"/>
          <w:lang w:val="uk-UA" w:eastAsia="en-US"/>
        </w:rPr>
        <w:t xml:space="preserve"> </w:t>
      </w:r>
      <w:r w:rsidRPr="00DA1E6A">
        <w:rPr>
          <w:rFonts w:eastAsia="Calibri"/>
          <w:szCs w:val="28"/>
          <w:lang w:eastAsia="en-US"/>
        </w:rPr>
        <w:t>in order to find out whether this person is under guardianship or custody. In addition, in case of doubt about the authorized representative, as well as his civil capacity, the notary has the right to make a request to the relevant natural or legal person. The notary is obliged to find out real intentions of each party before the transaction, which he is going tonotarize, as well as the absence of objections to the parties to each of the terms of the transaction, which indicates that the legislator gives the notary a wider range of powers than just observe and perform the law.</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is determined that the activity of a notary is directly related to the law enforcement process, as a result of which the notary is a subject which authorized to apply law, which is endowed by law with the certain scope of rights and obligations.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Researchers' views on the presence / absence of gaps in the law have been studied. In particular, proponents of the absence of gaps in the law believe that the law is only what is written in the text of the law: all acts are either prohibited, or not prohibited, or fall under the law, or do not fall. At the same time, normativism considers law as a closed system of norms of a proper nature, which are known and refills from themselves, completely detached from real social relations and in no </w:t>
      </w:r>
      <w:r w:rsidRPr="00DA1E6A">
        <w:rPr>
          <w:rFonts w:eastAsia="Calibri"/>
          <w:szCs w:val="28"/>
          <w:lang w:eastAsia="en-US"/>
        </w:rPr>
        <w:lastRenderedPageBreak/>
        <w:t>way related to the manifestation of the will of the legislator. At the same time, the analyzed scientific positions, according to which the established system of rules of conduct by its nature already has a gap, because in a broad sense, legal norm has a clear framework since its established and is not able to transform by the wish, but only through a certain mechanism (by supplementing, changing, deleting, expanding, replacing, etc.).</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In the scope of the research, attention was paid to the overcoming of gaps in the law. Were analyzed such methods as analogy, subsidiary application of legal norms, concretization, interpretation of legal norms, etc.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is determined that analogy means the application of </w:t>
      </w:r>
      <w:r w:rsidRPr="00DA1E6A">
        <w:rPr>
          <w:rFonts w:eastAsia="Calibri"/>
          <w:szCs w:val="28"/>
          <w:lang w:val="en-US" w:eastAsia="en-US"/>
        </w:rPr>
        <w:t>the legal norm</w:t>
      </w:r>
      <w:r w:rsidRPr="00DA1E6A">
        <w:rPr>
          <w:rFonts w:eastAsia="Calibri"/>
          <w:szCs w:val="28"/>
          <w:lang w:eastAsia="en-US"/>
        </w:rPr>
        <w:t xml:space="preserve"> that regulates similar in content legal relationship, with the observation of the certain conditions, in particular, no contradiction to the general principles of law, legal norm which is used by analogy in those branches (fields) of law that does not directly resolve the dispute. In this case, the analogy by legislation (analogialegis) means the application of the legal norm contained in another piece of legislation, while the analogy by law (analogiaiuris) is a broader concept and determines the search for a solution not in the legislation but in the legal field through the prism of general principles of law.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is established that the subsidiary application of the norms presupposes the use of the provisions of a related legal institution or a related branch.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A distinction is made between the analogy of law and subsidiary application of norms and it is clarified that the analogy is applied if in the legislation there is no solution to a specific disputed situation, or there is no settlement of the disputed legal relationship at all. The condition for the subsidiary application of the norms is that the disputed situation (legal relationship) is regulated by the legislator, but within another branch of law.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is determined that the process of interpretation of legal norms consists in clarifying the true essence of a legal norm, the true will of the legislator regarding the procedure and method of settling legal relations or resolving a controversial </w:t>
      </w:r>
      <w:r w:rsidRPr="00DA1E6A">
        <w:rPr>
          <w:rFonts w:eastAsia="Calibri"/>
          <w:szCs w:val="28"/>
          <w:lang w:eastAsia="en-US"/>
        </w:rPr>
        <w:lastRenderedPageBreak/>
        <w:t xml:space="preserve">issue. Thus, in contrast to the analogy, the interpretation assumes the existence of an established legal norm.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Concretization is also applied in the presence of the relevant legal norm that regulates certain legal relations, provided that the content and essence of this legal norm are clear. The subject which authorized to apply law must correctly apply the legal norm, in the context of certain legal relationship, thus specifying the content of the legal norm. </w:t>
      </w:r>
    </w:p>
    <w:p w:rsidR="00DA1E6A" w:rsidRPr="00DA1E6A" w:rsidRDefault="00DA1E6A" w:rsidP="00DA1E6A">
      <w:pPr>
        <w:ind w:firstLine="567"/>
        <w:rPr>
          <w:rFonts w:eastAsia="Calibri"/>
          <w:szCs w:val="28"/>
          <w:lang w:eastAsia="en-US"/>
        </w:rPr>
      </w:pPr>
      <w:r w:rsidRPr="00DA1E6A">
        <w:rPr>
          <w:rFonts w:eastAsia="Calibri"/>
          <w:szCs w:val="28"/>
          <w:lang w:val="en-US" w:eastAsia="en-US"/>
        </w:rPr>
        <w:t>L</w:t>
      </w:r>
      <w:r w:rsidRPr="00DA1E6A">
        <w:rPr>
          <w:rFonts w:eastAsia="Calibri"/>
          <w:szCs w:val="28"/>
          <w:lang w:eastAsia="en-US"/>
        </w:rPr>
        <w:t>egal basis of application of analogy was investigated. Attention was focused on Article 8 of the Civil Code of Ukraine, which contains a direct reference to the application of the analogy o</w:t>
      </w:r>
      <w:r w:rsidRPr="00DA1E6A">
        <w:rPr>
          <w:rFonts w:eastAsia="Calibri"/>
          <w:szCs w:val="28"/>
          <w:lang w:val="en-US" w:eastAsia="en-US"/>
        </w:rPr>
        <w:t>f legislation</w:t>
      </w:r>
      <w:r w:rsidRPr="00DA1E6A">
        <w:rPr>
          <w:rFonts w:eastAsia="Calibri"/>
          <w:szCs w:val="28"/>
          <w:lang w:eastAsia="en-US"/>
        </w:rPr>
        <w:t xml:space="preserve"> and analogy of law.</w:t>
      </w:r>
    </w:p>
    <w:p w:rsidR="00DA1E6A" w:rsidRPr="00DA1E6A" w:rsidRDefault="00DA1E6A" w:rsidP="00DA1E6A">
      <w:pPr>
        <w:ind w:firstLine="567"/>
        <w:rPr>
          <w:rFonts w:eastAsia="Calibri"/>
          <w:szCs w:val="28"/>
          <w:lang w:eastAsia="en-US"/>
        </w:rPr>
      </w:pPr>
      <w:r w:rsidRPr="00DA1E6A">
        <w:rPr>
          <w:rFonts w:eastAsia="Calibri"/>
          <w:szCs w:val="28"/>
          <w:lang w:eastAsia="en-US"/>
        </w:rPr>
        <w:t>The mechanism of application of analogy was investigated and its constituent elements were formulated, in particular, the legislative base which authorizes the subject to use</w:t>
      </w:r>
      <w:r w:rsidRPr="00DA1E6A">
        <w:rPr>
          <w:rFonts w:eastAsia="Calibri"/>
          <w:szCs w:val="28"/>
          <w:lang w:val="uk-UA" w:eastAsia="en-US"/>
        </w:rPr>
        <w:t xml:space="preserve"> </w:t>
      </w:r>
      <w:r w:rsidRPr="00DA1E6A">
        <w:rPr>
          <w:rFonts w:eastAsia="Calibri"/>
          <w:szCs w:val="28"/>
          <w:lang w:eastAsia="en-US"/>
        </w:rPr>
        <w:t>the analogy within the process of application of law; the presence of a disputed situation, the search for the legal framework, the choice of ways to resolve the disputed situation, the application of a similar rule of law to the disputed legal relationship; issuance of a reasoned act.</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The scientific positions on the subjects authorized to apply analogy were analyzed and it was found that scientists are divided into two groups. The first believes that the analogy can be used only by courts in their activities. The second is that all law enforcement agencies have the right to use analogy in their activities.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Position is formulated according to which application of law presupposes the existence of stages: establishment of the factual circumstances of the case, legal qualification of legal relations and adoption of the relevant decision. Accordingly, this process consists in determining the presence / absence of the relevant right or interest in respect of which the persons applied, and the occurrence of relevant procedural and material consequences (choice of decision algorithm, regulatory framework, decision making, implementation of this decision, etc.). Such powers are vested not only in the judiciary but also in other subjects who are empowered to apply law, and it is therefore appropriate to apply the analogy to such subjects. </w:t>
      </w:r>
    </w:p>
    <w:p w:rsidR="00DA1E6A" w:rsidRPr="00DA1E6A" w:rsidRDefault="00DA1E6A" w:rsidP="00DA1E6A">
      <w:pPr>
        <w:ind w:firstLine="567"/>
        <w:rPr>
          <w:rFonts w:eastAsia="Calibri"/>
          <w:szCs w:val="28"/>
          <w:lang w:eastAsia="en-US"/>
        </w:rPr>
      </w:pPr>
      <w:r w:rsidRPr="00DA1E6A">
        <w:rPr>
          <w:rFonts w:eastAsia="Calibri"/>
          <w:szCs w:val="28"/>
          <w:lang w:eastAsia="en-US"/>
        </w:rPr>
        <w:lastRenderedPageBreak/>
        <w:t xml:space="preserve">In the context of Article 18 of the Civil Code of Ukraine, it is determined that a notary is an active figure in the legal arena and, within the scope granted powers, takes the necessary actions to protect the rights and legitimate interests of persons. A notary as a subject who apply law and endowed with the appropriate range of powers to perform notarial acts, which may consist of both purely formal procedures and require active participation in actions aimed at protecting the civil rights of the individual.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It is noted that the notary as a subject who authorized to apply law in his work deals with the imperfections of the legal mechanism, which puts before him the task of finding the best way to overcome them. </w:t>
      </w:r>
    </w:p>
    <w:p w:rsidR="00DA1E6A" w:rsidRPr="00DA1E6A" w:rsidRDefault="00DA1E6A" w:rsidP="00DA1E6A">
      <w:pPr>
        <w:ind w:firstLine="567"/>
        <w:rPr>
          <w:rFonts w:eastAsia="Calibri"/>
          <w:szCs w:val="28"/>
          <w:lang w:eastAsia="en-US"/>
        </w:rPr>
      </w:pPr>
      <w:r w:rsidRPr="00DA1E6A">
        <w:rPr>
          <w:rFonts w:eastAsia="Calibri"/>
          <w:szCs w:val="28"/>
          <w:lang w:eastAsia="en-US"/>
        </w:rPr>
        <w:t xml:space="preserve">On the basis of the analysis of practical situations the position is formulated that the notary, without allowing total formalism can apply analogy of the legislation in the activity. The provisions of civil law provide for the power of law enforcement agencies to use analogy in their activities. There are no legal restrictions on the use of the analogy by a notary. However, the limits of application of the analogy by a notary should not go beyond the powers and rights granted to him. </w:t>
      </w:r>
    </w:p>
    <w:p w:rsidR="00DA1E6A" w:rsidRPr="00DA1E6A" w:rsidRDefault="00DA1E6A" w:rsidP="00DA1E6A">
      <w:pPr>
        <w:ind w:firstLine="567"/>
        <w:rPr>
          <w:rFonts w:eastAsia="Calibri"/>
          <w:szCs w:val="28"/>
          <w:lang w:eastAsia="en-US"/>
        </w:rPr>
      </w:pPr>
      <w:r w:rsidRPr="00DA1E6A">
        <w:rPr>
          <w:rFonts w:eastAsia="Calibri"/>
          <w:szCs w:val="28"/>
          <w:lang w:eastAsia="en-US"/>
        </w:rPr>
        <w:t>It is justified to amend the legislation by supplementing Article 4 of the Law of Ukraine "On Notariat" with the fifth paragraph: "</w:t>
      </w:r>
      <w:r w:rsidRPr="00DA1E6A">
        <w:rPr>
          <w:rFonts w:eastAsia="Calibri"/>
          <w:i/>
          <w:szCs w:val="28"/>
          <w:lang w:eastAsia="en-US"/>
        </w:rPr>
        <w:t>If certain relations are not directly regulated by law, the notary has the right to apply the analogy bylegislation and use the legislation governing such relations. In the absence of such a legislation, the notary is guided by the general principles of the relevant legislation, thus has the right to apply the analogy by law</w:t>
      </w:r>
      <w:r w:rsidRPr="00DA1E6A">
        <w:rPr>
          <w:rFonts w:eastAsia="Calibri"/>
          <w:szCs w:val="28"/>
          <w:lang w:eastAsia="en-US"/>
        </w:rPr>
        <w:t>".</w:t>
      </w:r>
    </w:p>
    <w:p w:rsidR="00DA1E6A" w:rsidRPr="00DA1E6A" w:rsidRDefault="00DA1E6A" w:rsidP="00DA1E6A">
      <w:pPr>
        <w:ind w:firstLine="567"/>
        <w:rPr>
          <w:rFonts w:eastAsia="Calibri"/>
          <w:szCs w:val="28"/>
          <w:lang w:val="en-US" w:eastAsia="en-US"/>
        </w:rPr>
      </w:pPr>
      <w:r w:rsidRPr="00DA1E6A">
        <w:rPr>
          <w:rFonts w:eastAsia="Calibri"/>
          <w:b/>
          <w:szCs w:val="28"/>
          <w:lang w:eastAsia="en-US"/>
        </w:rPr>
        <w:t>Key words:</w:t>
      </w:r>
      <w:r w:rsidRPr="00DA1E6A">
        <w:rPr>
          <w:rFonts w:eastAsia="Calibri"/>
          <w:szCs w:val="28"/>
          <w:lang w:eastAsia="en-US"/>
        </w:rPr>
        <w:t xml:space="preserve"> notary, notary, application of law, subject who authorized to apply law, mechanism of the application of law, legal gaps, analogy bylegislation, analogy by law, mechanism of the application</w:t>
      </w:r>
      <w:r w:rsidRPr="00DA1E6A">
        <w:rPr>
          <w:rFonts w:eastAsia="Calibri"/>
          <w:szCs w:val="28"/>
          <w:lang w:val="uk-UA" w:eastAsia="en-US"/>
        </w:rPr>
        <w:t xml:space="preserve"> </w:t>
      </w:r>
      <w:r w:rsidRPr="00DA1E6A">
        <w:rPr>
          <w:rFonts w:eastAsia="Calibri"/>
          <w:szCs w:val="28"/>
          <w:lang w:eastAsia="en-US"/>
        </w:rPr>
        <w:t>of analogy.</w:t>
      </w:r>
    </w:p>
    <w:p w:rsidR="00DA1E6A" w:rsidRPr="00DA1E6A" w:rsidRDefault="00DA1E6A" w:rsidP="00DA1E6A">
      <w:pPr>
        <w:rPr>
          <w:szCs w:val="28"/>
          <w:lang w:val="uk-UA"/>
        </w:rPr>
      </w:pPr>
    </w:p>
    <w:p w:rsidR="00DA1E6A" w:rsidRPr="00DA1E6A" w:rsidRDefault="00DA1E6A" w:rsidP="00DA1E6A">
      <w:pPr>
        <w:tabs>
          <w:tab w:val="left" w:pos="1276"/>
        </w:tabs>
        <w:ind w:firstLine="0"/>
        <w:jc w:val="center"/>
        <w:rPr>
          <w:color w:val="000000"/>
          <w:szCs w:val="28"/>
          <w:lang w:val="uk-UA"/>
        </w:rPr>
      </w:pPr>
      <w:r w:rsidRPr="00DA1E6A">
        <w:rPr>
          <w:b/>
          <w:color w:val="000000"/>
          <w:szCs w:val="28"/>
          <w:lang w:val="uk-UA"/>
        </w:rPr>
        <w:t>СПИСОК ПУБЛІКАЦІЙ ЗДОБУВАЧА:</w:t>
      </w:r>
    </w:p>
    <w:p w:rsidR="00DA1E6A" w:rsidRPr="00DA1E6A" w:rsidRDefault="00DA1E6A" w:rsidP="00DA1E6A">
      <w:pPr>
        <w:ind w:firstLine="0"/>
        <w:jc w:val="center"/>
        <w:rPr>
          <w:color w:val="000000"/>
          <w:szCs w:val="28"/>
          <w:lang w:val="uk-UA"/>
        </w:rPr>
      </w:pPr>
      <w:r w:rsidRPr="00DA1E6A">
        <w:rPr>
          <w:i/>
          <w:color w:val="000000"/>
          <w:szCs w:val="28"/>
          <w:lang w:val="uk-UA"/>
        </w:rPr>
        <w:t>Наукові праці, в яких опубліковані основні наукові результати дисертації:</w:t>
      </w:r>
    </w:p>
    <w:p w:rsidR="00DA1E6A" w:rsidRPr="00DA1E6A" w:rsidRDefault="00DA1E6A" w:rsidP="00DA1E6A">
      <w:pPr>
        <w:numPr>
          <w:ilvl w:val="0"/>
          <w:numId w:val="5"/>
        </w:numPr>
        <w:tabs>
          <w:tab w:val="left" w:pos="851"/>
          <w:tab w:val="left" w:pos="1134"/>
        </w:tabs>
        <w:ind w:left="0" w:firstLine="851"/>
        <w:contextualSpacing/>
        <w:rPr>
          <w:rFonts w:eastAsiaTheme="minorEastAsia"/>
          <w:color w:val="000000"/>
          <w:szCs w:val="28"/>
          <w:shd w:val="clear" w:color="auto" w:fill="FFFFFF"/>
          <w:lang w:val="uk-UA"/>
        </w:rPr>
      </w:pPr>
      <w:r w:rsidRPr="00DA1E6A">
        <w:rPr>
          <w:rFonts w:eastAsiaTheme="minorEastAsia"/>
          <w:color w:val="000000"/>
          <w:szCs w:val="28"/>
          <w:shd w:val="clear" w:color="auto" w:fill="FFFFFF"/>
          <w:lang w:val="uk-UA"/>
        </w:rPr>
        <w:lastRenderedPageBreak/>
        <w:t xml:space="preserve">Орзіх В. М. Нотаріус як суб’єкт застосування аналогії. </w:t>
      </w:r>
      <w:r w:rsidRPr="00DA1E6A">
        <w:rPr>
          <w:rFonts w:eastAsiaTheme="minorEastAsia"/>
          <w:i/>
          <w:color w:val="000000"/>
          <w:szCs w:val="28"/>
          <w:shd w:val="clear" w:color="auto" w:fill="FFFFFF"/>
          <w:lang w:val="uk-UA"/>
        </w:rPr>
        <w:t>Право і суспільство.</w:t>
      </w:r>
      <w:r w:rsidRPr="00DA1E6A">
        <w:rPr>
          <w:rFonts w:eastAsiaTheme="minorEastAsia"/>
          <w:color w:val="000000"/>
          <w:szCs w:val="28"/>
          <w:shd w:val="clear" w:color="auto" w:fill="FFFFFF"/>
          <w:lang w:val="uk-UA"/>
        </w:rPr>
        <w:t xml:space="preserve"> № 2. 2017. С. 87–90. </w:t>
      </w:r>
    </w:p>
    <w:p w:rsidR="00DA1E6A" w:rsidRPr="00DA1E6A" w:rsidRDefault="00DA1E6A" w:rsidP="00DA1E6A">
      <w:pPr>
        <w:numPr>
          <w:ilvl w:val="0"/>
          <w:numId w:val="5"/>
        </w:numPr>
        <w:tabs>
          <w:tab w:val="left" w:pos="851"/>
          <w:tab w:val="left" w:pos="1134"/>
        </w:tabs>
        <w:ind w:left="0" w:firstLine="851"/>
        <w:contextualSpacing/>
        <w:rPr>
          <w:rFonts w:eastAsiaTheme="minorEastAsia"/>
          <w:color w:val="000000"/>
          <w:szCs w:val="28"/>
          <w:shd w:val="clear" w:color="auto" w:fill="FFFFFF"/>
          <w:lang w:val="uk-UA"/>
        </w:rPr>
      </w:pPr>
      <w:r w:rsidRPr="00DA1E6A">
        <w:rPr>
          <w:rFonts w:eastAsiaTheme="minorEastAsia"/>
          <w:color w:val="000000"/>
          <w:szCs w:val="28"/>
          <w:shd w:val="clear" w:color="auto" w:fill="FFFFFF"/>
          <w:lang w:val="uk-UA"/>
        </w:rPr>
        <w:t xml:space="preserve">Орзіх В. М. Прогалини в цивільному праві України та причини їх виникнення. </w:t>
      </w:r>
      <w:r w:rsidRPr="00DA1E6A">
        <w:rPr>
          <w:rFonts w:eastAsiaTheme="minorEastAsia"/>
          <w:i/>
          <w:color w:val="000000"/>
          <w:szCs w:val="28"/>
          <w:shd w:val="clear" w:color="auto" w:fill="FFFFFF"/>
          <w:lang w:val="uk-UA"/>
        </w:rPr>
        <w:t>Підприємництво, господарство і право.</w:t>
      </w:r>
      <w:r w:rsidRPr="00DA1E6A">
        <w:rPr>
          <w:rFonts w:eastAsiaTheme="minorEastAsia"/>
          <w:color w:val="000000"/>
          <w:szCs w:val="28"/>
          <w:shd w:val="clear" w:color="auto" w:fill="FFFFFF"/>
          <w:lang w:val="uk-UA"/>
        </w:rPr>
        <w:t xml:space="preserve"> № 9. 2017. С. 34</w:t>
      </w:r>
      <w:r w:rsidRPr="00DA1E6A">
        <w:rPr>
          <w:rFonts w:eastAsiaTheme="minorEastAsia"/>
          <w:color w:val="000000"/>
          <w:szCs w:val="28"/>
          <w:shd w:val="clear" w:color="auto" w:fill="FFFFFF"/>
          <w:lang w:val="en-US"/>
        </w:rPr>
        <w:t>–</w:t>
      </w:r>
      <w:r w:rsidRPr="00DA1E6A">
        <w:rPr>
          <w:rFonts w:eastAsiaTheme="minorEastAsia"/>
          <w:color w:val="000000"/>
          <w:szCs w:val="28"/>
          <w:shd w:val="clear" w:color="auto" w:fill="FFFFFF"/>
          <w:lang w:val="uk-UA"/>
        </w:rPr>
        <w:t>37.</w:t>
      </w:r>
    </w:p>
    <w:p w:rsidR="00DA1E6A" w:rsidRPr="00DA1E6A" w:rsidRDefault="00DA1E6A" w:rsidP="00DA1E6A">
      <w:pPr>
        <w:numPr>
          <w:ilvl w:val="0"/>
          <w:numId w:val="5"/>
        </w:numPr>
        <w:tabs>
          <w:tab w:val="left" w:pos="1134"/>
        </w:tabs>
        <w:ind w:left="0" w:firstLine="851"/>
        <w:rPr>
          <w:color w:val="000000"/>
          <w:szCs w:val="28"/>
          <w:shd w:val="clear" w:color="auto" w:fill="FFFFFF"/>
          <w:lang w:val="uk-UA"/>
        </w:rPr>
      </w:pPr>
      <w:r w:rsidRPr="00DA1E6A">
        <w:rPr>
          <w:color w:val="000000"/>
          <w:szCs w:val="28"/>
          <w:shd w:val="clear" w:color="auto" w:fill="FFFFFF"/>
        </w:rPr>
        <w:t xml:space="preserve">Орзіх В. М. Поняття аналогії закону й аналогії права в цивільному праві України. </w:t>
      </w:r>
      <w:r w:rsidRPr="00DA1E6A">
        <w:rPr>
          <w:i/>
          <w:color w:val="000000"/>
          <w:szCs w:val="28"/>
          <w:shd w:val="clear" w:color="auto" w:fill="FFFFFF"/>
        </w:rPr>
        <w:t>Науковий вісник Ужгородського національного університету.</w:t>
      </w:r>
      <w:r w:rsidRPr="00DA1E6A">
        <w:rPr>
          <w:color w:val="000000"/>
          <w:szCs w:val="28"/>
          <w:shd w:val="clear" w:color="auto" w:fill="FFFFFF"/>
        </w:rPr>
        <w:t xml:space="preserve"> Сер</w:t>
      </w:r>
      <w:r w:rsidRPr="00DA1E6A">
        <w:rPr>
          <w:color w:val="000000"/>
          <w:szCs w:val="28"/>
          <w:shd w:val="clear" w:color="auto" w:fill="FFFFFF"/>
          <w:lang w:val="uk-UA"/>
        </w:rPr>
        <w:t>і</w:t>
      </w:r>
      <w:r w:rsidRPr="00DA1E6A">
        <w:rPr>
          <w:color w:val="000000"/>
          <w:szCs w:val="28"/>
          <w:shd w:val="clear" w:color="auto" w:fill="FFFFFF"/>
        </w:rPr>
        <w:t xml:space="preserve">я Право. Вип. 54. </w:t>
      </w:r>
      <w:r w:rsidRPr="00DA1E6A">
        <w:rPr>
          <w:color w:val="000000"/>
          <w:szCs w:val="28"/>
          <w:shd w:val="clear" w:color="auto" w:fill="FFFFFF"/>
          <w:lang w:val="en-US"/>
        </w:rPr>
        <w:t xml:space="preserve">Т. 1. </w:t>
      </w:r>
      <w:r w:rsidRPr="00DA1E6A">
        <w:rPr>
          <w:color w:val="000000"/>
          <w:szCs w:val="28"/>
          <w:shd w:val="clear" w:color="auto" w:fill="FFFFFF"/>
        </w:rPr>
        <w:t>2019. С. 83–86.</w:t>
      </w:r>
    </w:p>
    <w:p w:rsidR="00DA1E6A" w:rsidRPr="00DA1E6A" w:rsidRDefault="00DA1E6A" w:rsidP="00DA1E6A">
      <w:pPr>
        <w:numPr>
          <w:ilvl w:val="0"/>
          <w:numId w:val="5"/>
        </w:numPr>
        <w:tabs>
          <w:tab w:val="left" w:pos="1134"/>
        </w:tabs>
        <w:ind w:left="0" w:firstLine="851"/>
        <w:rPr>
          <w:color w:val="000000"/>
          <w:szCs w:val="28"/>
          <w:shd w:val="clear" w:color="auto" w:fill="FFFFFF"/>
          <w:lang w:val="uk-UA"/>
        </w:rPr>
      </w:pPr>
      <w:r w:rsidRPr="00DA1E6A">
        <w:rPr>
          <w:color w:val="000000"/>
          <w:szCs w:val="28"/>
          <w:shd w:val="clear" w:color="auto" w:fill="FFFFFF"/>
        </w:rPr>
        <w:t>Орзіх В.</w:t>
      </w:r>
      <w:r w:rsidRPr="00DA1E6A">
        <w:rPr>
          <w:color w:val="000000"/>
          <w:szCs w:val="28"/>
          <w:shd w:val="clear" w:color="auto" w:fill="FFFFFF"/>
          <w:lang w:val="uk-UA"/>
        </w:rPr>
        <w:t xml:space="preserve"> М.</w:t>
      </w:r>
      <w:r w:rsidRPr="00DA1E6A">
        <w:rPr>
          <w:color w:val="000000"/>
          <w:szCs w:val="28"/>
          <w:shd w:val="clear" w:color="auto" w:fill="FFFFFF"/>
        </w:rPr>
        <w:t xml:space="preserve"> Умови та механізм</w:t>
      </w:r>
      <w:r w:rsidRPr="00DA1E6A">
        <w:rPr>
          <w:color w:val="000000"/>
          <w:szCs w:val="28"/>
          <w:shd w:val="clear" w:color="auto" w:fill="FFFFFF"/>
          <w:lang w:val="uk-UA"/>
        </w:rPr>
        <w:t xml:space="preserve"> </w:t>
      </w:r>
      <w:r w:rsidRPr="00DA1E6A">
        <w:rPr>
          <w:color w:val="000000"/>
          <w:szCs w:val="28"/>
          <w:shd w:val="clear" w:color="auto" w:fill="FFFFFF"/>
        </w:rPr>
        <w:t>застосування</w:t>
      </w:r>
      <w:r w:rsidRPr="00DA1E6A">
        <w:rPr>
          <w:color w:val="000000"/>
          <w:szCs w:val="28"/>
          <w:shd w:val="clear" w:color="auto" w:fill="FFFFFF"/>
          <w:lang w:val="uk-UA"/>
        </w:rPr>
        <w:t xml:space="preserve"> </w:t>
      </w:r>
      <w:r w:rsidRPr="00DA1E6A">
        <w:rPr>
          <w:color w:val="000000"/>
          <w:szCs w:val="28"/>
          <w:shd w:val="clear" w:color="auto" w:fill="FFFFFF"/>
        </w:rPr>
        <w:t>аналогії закону та аналогії права в цивільному</w:t>
      </w:r>
      <w:r w:rsidRPr="00DA1E6A">
        <w:rPr>
          <w:color w:val="000000"/>
          <w:szCs w:val="28"/>
          <w:shd w:val="clear" w:color="auto" w:fill="FFFFFF"/>
          <w:lang w:val="uk-UA"/>
        </w:rPr>
        <w:t xml:space="preserve"> </w:t>
      </w:r>
      <w:r w:rsidRPr="00DA1E6A">
        <w:rPr>
          <w:color w:val="000000"/>
          <w:szCs w:val="28"/>
          <w:shd w:val="clear" w:color="auto" w:fill="FFFFFF"/>
        </w:rPr>
        <w:t xml:space="preserve">правіУкраїни. </w:t>
      </w:r>
      <w:r w:rsidRPr="00DA1E6A">
        <w:rPr>
          <w:i/>
          <w:color w:val="000000"/>
          <w:szCs w:val="28"/>
          <w:shd w:val="clear" w:color="auto" w:fill="FFFFFF"/>
          <w:lang w:val="uk-UA"/>
        </w:rPr>
        <w:t>National law journal: theory and practice.</w:t>
      </w:r>
      <w:r w:rsidRPr="00DA1E6A">
        <w:rPr>
          <w:color w:val="000000"/>
          <w:szCs w:val="28"/>
          <w:shd w:val="clear" w:color="auto" w:fill="FFFFFF"/>
          <w:lang w:val="uk-UA"/>
        </w:rPr>
        <w:t xml:space="preserve"> </w:t>
      </w:r>
      <w:r w:rsidRPr="00DA1E6A">
        <w:rPr>
          <w:color w:val="000000"/>
          <w:szCs w:val="28"/>
          <w:shd w:val="clear" w:color="auto" w:fill="FFFFFF"/>
        </w:rPr>
        <w:t>№ 1. 2019. С. 144–147.</w:t>
      </w:r>
    </w:p>
    <w:p w:rsidR="00DA1E6A" w:rsidRPr="00DA1E6A" w:rsidRDefault="00DA1E6A" w:rsidP="00DA1E6A">
      <w:pPr>
        <w:numPr>
          <w:ilvl w:val="0"/>
          <w:numId w:val="5"/>
        </w:numPr>
        <w:tabs>
          <w:tab w:val="left" w:pos="851"/>
          <w:tab w:val="left" w:pos="1134"/>
        </w:tabs>
        <w:ind w:left="0" w:firstLine="851"/>
        <w:contextualSpacing/>
        <w:rPr>
          <w:rFonts w:eastAsiaTheme="minorEastAsia"/>
          <w:color w:val="000000"/>
          <w:szCs w:val="28"/>
          <w:shd w:val="clear" w:color="auto" w:fill="FFFFFF"/>
          <w:lang w:val="uk-UA"/>
        </w:rPr>
      </w:pPr>
      <w:r w:rsidRPr="00DA1E6A">
        <w:rPr>
          <w:rFonts w:eastAsiaTheme="minorEastAsia"/>
          <w:color w:val="000000"/>
          <w:szCs w:val="28"/>
          <w:shd w:val="clear" w:color="auto" w:fill="FFFFFF"/>
          <w:lang w:val="uk-UA"/>
        </w:rPr>
        <w:t>Orzikh V. Theory and practice of application by notary the analogia legis and analogia iuris</w:t>
      </w:r>
      <w:r w:rsidRPr="00DA1E6A">
        <w:rPr>
          <w:rFonts w:eastAsiaTheme="minorEastAsia"/>
          <w:color w:val="000000"/>
          <w:szCs w:val="28"/>
          <w:shd w:val="clear" w:color="auto" w:fill="FFFFFF"/>
          <w:lang w:val="en-US"/>
        </w:rPr>
        <w:t>.</w:t>
      </w:r>
      <w:r w:rsidRPr="00DA1E6A">
        <w:rPr>
          <w:rFonts w:eastAsiaTheme="minorEastAsia"/>
          <w:color w:val="000000"/>
          <w:szCs w:val="28"/>
          <w:shd w:val="clear" w:color="auto" w:fill="FFFFFF"/>
          <w:lang w:val="uk-UA"/>
        </w:rPr>
        <w:t xml:space="preserve"> </w:t>
      </w:r>
      <w:r w:rsidRPr="00DA1E6A">
        <w:rPr>
          <w:rFonts w:eastAsiaTheme="minorEastAsia"/>
          <w:i/>
          <w:color w:val="000000"/>
          <w:szCs w:val="28"/>
          <w:shd w:val="clear" w:color="auto" w:fill="FFFFFF"/>
          <w:lang w:val="uk-UA"/>
        </w:rPr>
        <w:t>Knowledge, Education, Law, Management.</w:t>
      </w:r>
      <w:r w:rsidRPr="00DA1E6A">
        <w:rPr>
          <w:rFonts w:eastAsiaTheme="minorEastAsia"/>
          <w:color w:val="000000"/>
          <w:szCs w:val="28"/>
          <w:shd w:val="clear" w:color="auto" w:fill="FFFFFF"/>
          <w:lang w:val="uk-UA"/>
        </w:rPr>
        <w:t xml:space="preserve"> № 1 (37). </w:t>
      </w:r>
      <w:r w:rsidRPr="00DA1E6A">
        <w:rPr>
          <w:rFonts w:eastAsiaTheme="minorEastAsia"/>
          <w:color w:val="000000"/>
          <w:szCs w:val="28"/>
          <w:shd w:val="clear" w:color="auto" w:fill="FFFFFF"/>
          <w:lang w:val="en-US"/>
        </w:rPr>
        <w:t>V</w:t>
      </w:r>
      <w:r w:rsidRPr="00DA1E6A">
        <w:rPr>
          <w:rFonts w:eastAsiaTheme="minorEastAsia"/>
          <w:color w:val="000000"/>
          <w:szCs w:val="28"/>
          <w:shd w:val="clear" w:color="auto" w:fill="FFFFFF"/>
          <w:lang w:val="uk-UA"/>
        </w:rPr>
        <w:t>ol.</w:t>
      </w:r>
      <w:r w:rsidRPr="00DA1E6A">
        <w:rPr>
          <w:rFonts w:eastAsiaTheme="minorEastAsia"/>
          <w:color w:val="000000"/>
          <w:szCs w:val="28"/>
          <w:shd w:val="clear" w:color="auto" w:fill="FFFFFF"/>
          <w:lang w:val="en-US"/>
        </w:rPr>
        <w:t> </w:t>
      </w:r>
      <w:r w:rsidRPr="00DA1E6A">
        <w:rPr>
          <w:rFonts w:eastAsiaTheme="minorEastAsia"/>
          <w:color w:val="000000"/>
          <w:szCs w:val="28"/>
          <w:shd w:val="clear" w:color="auto" w:fill="FFFFFF"/>
          <w:lang w:val="uk-UA"/>
        </w:rPr>
        <w:t>2</w:t>
      </w:r>
      <w:r w:rsidRPr="00DA1E6A">
        <w:rPr>
          <w:rFonts w:eastAsiaTheme="minorEastAsia"/>
          <w:color w:val="000000"/>
          <w:szCs w:val="28"/>
          <w:shd w:val="clear" w:color="auto" w:fill="FFFFFF"/>
          <w:lang w:val="en-US"/>
        </w:rPr>
        <w:t xml:space="preserve">. </w:t>
      </w:r>
      <w:r w:rsidRPr="00DA1E6A">
        <w:rPr>
          <w:rFonts w:eastAsiaTheme="minorEastAsia"/>
          <w:color w:val="000000"/>
          <w:szCs w:val="28"/>
          <w:shd w:val="clear" w:color="auto" w:fill="FFFFFF"/>
          <w:lang w:val="uk-UA"/>
        </w:rPr>
        <w:t>2021. С. 157</w:t>
      </w:r>
      <w:r w:rsidRPr="00DA1E6A">
        <w:rPr>
          <w:rFonts w:eastAsiaTheme="minorEastAsia"/>
          <w:color w:val="000000"/>
          <w:szCs w:val="28"/>
          <w:shd w:val="clear" w:color="auto" w:fill="FFFFFF"/>
          <w:lang w:val="en-US"/>
        </w:rPr>
        <w:t>–</w:t>
      </w:r>
      <w:r w:rsidRPr="00DA1E6A">
        <w:rPr>
          <w:rFonts w:eastAsiaTheme="minorEastAsia"/>
          <w:color w:val="000000"/>
          <w:szCs w:val="28"/>
          <w:shd w:val="clear" w:color="auto" w:fill="FFFFFF"/>
          <w:lang w:val="uk-UA"/>
        </w:rPr>
        <w:t>163.</w:t>
      </w:r>
    </w:p>
    <w:p w:rsidR="00DA1E6A" w:rsidRPr="00DA1E6A" w:rsidRDefault="00DA1E6A" w:rsidP="00DA1E6A">
      <w:pPr>
        <w:shd w:val="clear" w:color="auto" w:fill="FFFFFF"/>
        <w:tabs>
          <w:tab w:val="left" w:pos="1134"/>
          <w:tab w:val="left" w:pos="1260"/>
        </w:tabs>
        <w:ind w:firstLine="851"/>
        <w:jc w:val="center"/>
        <w:rPr>
          <w:i/>
          <w:color w:val="000000"/>
          <w:szCs w:val="28"/>
          <w:lang w:val="uk-UA"/>
        </w:rPr>
      </w:pPr>
    </w:p>
    <w:p w:rsidR="00DA1E6A" w:rsidRPr="00DA1E6A" w:rsidRDefault="00DA1E6A" w:rsidP="00DA1E6A">
      <w:pPr>
        <w:shd w:val="clear" w:color="auto" w:fill="FFFFFF"/>
        <w:tabs>
          <w:tab w:val="left" w:pos="1134"/>
          <w:tab w:val="left" w:pos="1260"/>
        </w:tabs>
        <w:ind w:firstLine="0"/>
        <w:jc w:val="center"/>
        <w:rPr>
          <w:i/>
          <w:color w:val="000000"/>
          <w:szCs w:val="28"/>
        </w:rPr>
      </w:pPr>
      <w:r w:rsidRPr="00DA1E6A">
        <w:rPr>
          <w:i/>
          <w:color w:val="000000"/>
          <w:szCs w:val="28"/>
          <w:lang w:val="uk-UA"/>
        </w:rPr>
        <w:t>Наукові праці, які засвідчують апробацію матеріалів дисертації:</w:t>
      </w:r>
    </w:p>
    <w:p w:rsidR="00DA1E6A" w:rsidRPr="00DA1E6A" w:rsidRDefault="00DA1E6A" w:rsidP="00DA1E6A">
      <w:pPr>
        <w:shd w:val="clear" w:color="auto" w:fill="FFFFFF"/>
        <w:tabs>
          <w:tab w:val="left" w:pos="1134"/>
          <w:tab w:val="left" w:pos="1260"/>
        </w:tabs>
        <w:ind w:firstLine="851"/>
        <w:rPr>
          <w:szCs w:val="28"/>
        </w:rPr>
      </w:pPr>
      <w:r w:rsidRPr="00DA1E6A">
        <w:rPr>
          <w:szCs w:val="28"/>
        </w:rPr>
        <w:t xml:space="preserve">6. </w:t>
      </w:r>
      <w:r w:rsidRPr="00DA1E6A">
        <w:rPr>
          <w:szCs w:val="28"/>
          <w:lang w:val="uk-UA"/>
        </w:rPr>
        <w:t xml:space="preserve">Орзіх В. М. Застосування аналогії нотаріусом: практичний аспект. </w:t>
      </w:r>
      <w:r w:rsidRPr="00DA1E6A">
        <w:rPr>
          <w:i/>
          <w:szCs w:val="28"/>
          <w:lang w:val="uk-UA"/>
        </w:rPr>
        <w:t>Кодифікація та рекодифікація цивільного законодавства в Україні: досвід і перспективи: мат. Міжн. наук.-практ. конф. «Римське право і сучасність»</w:t>
      </w:r>
      <w:r w:rsidRPr="00DA1E6A">
        <w:rPr>
          <w:szCs w:val="28"/>
          <w:lang w:val="uk-UA"/>
        </w:rPr>
        <w:t xml:space="preserve"> (25 червеня 2021 року). Одеса: Фенікс, 2021.</w:t>
      </w:r>
    </w:p>
    <w:p w:rsidR="00DA1E6A" w:rsidRPr="00DA1E6A" w:rsidRDefault="00DA1E6A" w:rsidP="00DA1E6A">
      <w:pPr>
        <w:shd w:val="clear" w:color="auto" w:fill="FFFFFF"/>
        <w:tabs>
          <w:tab w:val="left" w:pos="1134"/>
          <w:tab w:val="left" w:pos="1260"/>
        </w:tabs>
        <w:ind w:firstLine="851"/>
        <w:jc w:val="center"/>
        <w:rPr>
          <w:i/>
          <w:color w:val="000000"/>
          <w:szCs w:val="28"/>
          <w:lang w:val="uk-UA"/>
        </w:rPr>
      </w:pPr>
    </w:p>
    <w:p w:rsidR="00DA1E6A" w:rsidRPr="00DA1E6A" w:rsidRDefault="00DA1E6A" w:rsidP="00DA1E6A">
      <w:pPr>
        <w:shd w:val="clear" w:color="auto" w:fill="FFFFFF"/>
        <w:tabs>
          <w:tab w:val="left" w:pos="1134"/>
          <w:tab w:val="left" w:pos="1260"/>
        </w:tabs>
        <w:ind w:firstLine="0"/>
        <w:jc w:val="center"/>
        <w:rPr>
          <w:szCs w:val="28"/>
        </w:rPr>
      </w:pPr>
      <w:r w:rsidRPr="00DA1E6A">
        <w:rPr>
          <w:i/>
          <w:color w:val="000000"/>
          <w:szCs w:val="28"/>
          <w:lang w:val="uk-UA"/>
        </w:rPr>
        <w:t xml:space="preserve">Наукові праці, які </w:t>
      </w:r>
      <w:r w:rsidRPr="00DA1E6A">
        <w:rPr>
          <w:i/>
          <w:color w:val="000000"/>
          <w:szCs w:val="28"/>
        </w:rPr>
        <w:t xml:space="preserve">додатково відображають наукові результати </w:t>
      </w:r>
      <w:r w:rsidRPr="00DA1E6A">
        <w:rPr>
          <w:i/>
          <w:color w:val="000000"/>
          <w:szCs w:val="28"/>
          <w:lang w:val="uk-UA"/>
        </w:rPr>
        <w:t>дисертації:</w:t>
      </w:r>
    </w:p>
    <w:p w:rsidR="00DA1E6A" w:rsidRPr="00DA1E6A" w:rsidRDefault="00DA1E6A" w:rsidP="00DA1E6A">
      <w:pPr>
        <w:tabs>
          <w:tab w:val="left" w:pos="851"/>
          <w:tab w:val="left" w:pos="1134"/>
        </w:tabs>
        <w:ind w:firstLine="851"/>
        <w:rPr>
          <w:color w:val="000000"/>
          <w:szCs w:val="28"/>
          <w:shd w:val="clear" w:color="auto" w:fill="FFFFFF"/>
          <w:lang w:val="uk-UA"/>
        </w:rPr>
      </w:pPr>
      <w:r w:rsidRPr="00DA1E6A">
        <w:rPr>
          <w:color w:val="000000"/>
          <w:szCs w:val="28"/>
          <w:lang w:val="uk-UA"/>
        </w:rPr>
        <w:t>7. Орзіх В., Шевченко В., Орзіх Ю. Деякі зміни в організації і діяльності нотаріату України в умовах його реформування.</w:t>
      </w:r>
      <w:r w:rsidRPr="00DA1E6A">
        <w:rPr>
          <w:color w:val="000000"/>
          <w:szCs w:val="28"/>
          <w:shd w:val="clear" w:color="auto" w:fill="FFFFFF"/>
          <w:lang w:val="uk-UA"/>
        </w:rPr>
        <w:t xml:space="preserve"> </w:t>
      </w:r>
      <w:r w:rsidRPr="00DA1E6A">
        <w:rPr>
          <w:i/>
          <w:color w:val="000000"/>
          <w:szCs w:val="28"/>
          <w:shd w:val="clear" w:color="auto" w:fill="FFFFFF"/>
          <w:lang w:val="uk-UA"/>
        </w:rPr>
        <w:t>Юридичний вісник</w:t>
      </w:r>
      <w:r w:rsidRPr="00DA1E6A">
        <w:rPr>
          <w:color w:val="000000"/>
          <w:szCs w:val="28"/>
          <w:shd w:val="clear" w:color="auto" w:fill="FFFFFF"/>
          <w:lang w:val="uk-UA"/>
        </w:rPr>
        <w:t>. № 2. 2014. С. 86–92.</w:t>
      </w:r>
    </w:p>
    <w:p w:rsidR="00A45DB1" w:rsidRPr="00DA1E6A" w:rsidRDefault="00A45DB1" w:rsidP="00DA1E6A">
      <w:pPr>
        <w:rPr>
          <w:rStyle w:val="a5"/>
          <w:color w:val="auto"/>
          <w:szCs w:val="28"/>
          <w:u w:val="none"/>
        </w:rPr>
      </w:pPr>
    </w:p>
    <w:sectPr w:rsidR="00A45DB1" w:rsidRPr="00DA1E6A" w:rsidSect="00D97B8F">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3F28" w:rsidRDefault="00003F28" w:rsidP="000303D3">
      <w:pPr>
        <w:spacing w:line="240" w:lineRule="auto"/>
      </w:pPr>
      <w:r>
        <w:separator/>
      </w:r>
    </w:p>
  </w:endnote>
  <w:endnote w:type="continuationSeparator" w:id="1">
    <w:p w:rsidR="00003F28" w:rsidRDefault="00003F28" w:rsidP="000303D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3F28" w:rsidRDefault="00003F28" w:rsidP="000303D3">
      <w:pPr>
        <w:spacing w:line="240" w:lineRule="auto"/>
      </w:pPr>
      <w:r>
        <w:separator/>
      </w:r>
    </w:p>
  </w:footnote>
  <w:footnote w:type="continuationSeparator" w:id="1">
    <w:p w:rsidR="00003F28" w:rsidRDefault="00003F28" w:rsidP="000303D3">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70662"/>
    <w:multiLevelType w:val="hybridMultilevel"/>
    <w:tmpl w:val="2A265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7A45BA0"/>
    <w:multiLevelType w:val="hybridMultilevel"/>
    <w:tmpl w:val="78C0ED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6BB3FE4"/>
    <w:multiLevelType w:val="hybridMultilevel"/>
    <w:tmpl w:val="78C0EDD8"/>
    <w:lvl w:ilvl="0" w:tplc="0419000F">
      <w:start w:val="1"/>
      <w:numFmt w:val="decimal"/>
      <w:lvlText w:val="%1."/>
      <w:lvlJc w:val="left"/>
      <w:pPr>
        <w:ind w:left="9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75226208"/>
    <w:multiLevelType w:val="hybridMultilevel"/>
    <w:tmpl w:val="25106104"/>
    <w:lvl w:ilvl="0" w:tplc="42924876">
      <w:start w:val="1"/>
      <w:numFmt w:val="decimal"/>
      <w:lvlText w:val="%1."/>
      <w:lvlJc w:val="left"/>
      <w:pPr>
        <w:ind w:left="1429" w:hanging="360"/>
      </w:pPr>
      <w:rPr>
        <w:rFonts w:ascii="Times New Roman" w:hAnsi="Times New Roman" w:hint="default"/>
        <w:b w:val="0"/>
        <w:i w:val="0"/>
        <w:caps w:val="0"/>
        <w:strike w:val="0"/>
        <w:dstrike w:val="0"/>
        <w:vanish w:val="0"/>
        <w:spacing w:val="0"/>
        <w:w w:val="100"/>
        <w:kern w:val="28"/>
        <w:position w:val="0"/>
        <w:sz w:val="28"/>
        <w:szCs w:val="28"/>
        <w:vertAlign w:val="baseline"/>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0"/>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7123B6"/>
    <w:rsid w:val="00003F28"/>
    <w:rsid w:val="000244CA"/>
    <w:rsid w:val="000303D3"/>
    <w:rsid w:val="000D091A"/>
    <w:rsid w:val="001A0286"/>
    <w:rsid w:val="001F5006"/>
    <w:rsid w:val="002250A5"/>
    <w:rsid w:val="0027287D"/>
    <w:rsid w:val="00295458"/>
    <w:rsid w:val="002D6A99"/>
    <w:rsid w:val="002E38F3"/>
    <w:rsid w:val="002F3E6A"/>
    <w:rsid w:val="00334467"/>
    <w:rsid w:val="00435D84"/>
    <w:rsid w:val="004D4B0C"/>
    <w:rsid w:val="005662B0"/>
    <w:rsid w:val="00592671"/>
    <w:rsid w:val="00593436"/>
    <w:rsid w:val="006112AD"/>
    <w:rsid w:val="00662C20"/>
    <w:rsid w:val="007123B6"/>
    <w:rsid w:val="00744829"/>
    <w:rsid w:val="007F7E98"/>
    <w:rsid w:val="008C084F"/>
    <w:rsid w:val="008D4827"/>
    <w:rsid w:val="009E5323"/>
    <w:rsid w:val="00A45DB1"/>
    <w:rsid w:val="00A740B4"/>
    <w:rsid w:val="00AE09C2"/>
    <w:rsid w:val="00C23BEE"/>
    <w:rsid w:val="00C35906"/>
    <w:rsid w:val="00C5029E"/>
    <w:rsid w:val="00C97373"/>
    <w:rsid w:val="00D128C1"/>
    <w:rsid w:val="00D97B8F"/>
    <w:rsid w:val="00DA1E6A"/>
    <w:rsid w:val="00DA3BA1"/>
    <w:rsid w:val="00E3556A"/>
    <w:rsid w:val="00E8251E"/>
    <w:rsid w:val="00FB14C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23B6"/>
    <w:pPr>
      <w:spacing w:after="0" w:line="360" w:lineRule="auto"/>
      <w:ind w:firstLine="709"/>
      <w:jc w:val="both"/>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aliases w:val="Основной текст Знак2,Основной текст Знак1 Знак,Основной текст Знак Знак Знак,Основной текст Знак1 Знак Знак Знак,Основной текст Знак Знак Знак Знак Знак,Основной текст Знак1 Знак Знак Знак Знак Знак"/>
    <w:basedOn w:val="a"/>
    <w:link w:val="a4"/>
    <w:uiPriority w:val="99"/>
    <w:rsid w:val="007123B6"/>
    <w:pPr>
      <w:spacing w:after="120"/>
    </w:pPr>
  </w:style>
  <w:style w:type="character" w:customStyle="1" w:styleId="a4">
    <w:name w:val="Основной текст Знак"/>
    <w:aliases w:val="Основной текст Знак2 Знак,Основной текст Знак1 Знак Знак,Основной текст Знак Знак Знак Знак,Основной текст Знак1 Знак Знак Знак Знак,Основной текст Знак Знак Знак Знак Знак Знак,Основной текст Знак1 Знак Знак Знак Знак Знак Знак"/>
    <w:basedOn w:val="a0"/>
    <w:link w:val="a3"/>
    <w:uiPriority w:val="99"/>
    <w:rsid w:val="007123B6"/>
    <w:rPr>
      <w:rFonts w:ascii="Times New Roman" w:eastAsia="Times New Roman" w:hAnsi="Times New Roman" w:cs="Times New Roman"/>
      <w:sz w:val="28"/>
      <w:szCs w:val="24"/>
    </w:rPr>
  </w:style>
  <w:style w:type="character" w:styleId="a5">
    <w:name w:val="Hyperlink"/>
    <w:uiPriority w:val="99"/>
    <w:unhideWhenUsed/>
    <w:rsid w:val="007123B6"/>
    <w:rPr>
      <w:color w:val="0000FF"/>
      <w:u w:val="single"/>
    </w:rPr>
  </w:style>
  <w:style w:type="paragraph" w:styleId="a6">
    <w:name w:val="List Paragraph"/>
    <w:basedOn w:val="a"/>
    <w:uiPriority w:val="34"/>
    <w:qFormat/>
    <w:rsid w:val="00295458"/>
    <w:pPr>
      <w:spacing w:after="200" w:line="276" w:lineRule="auto"/>
      <w:ind w:left="720" w:firstLine="0"/>
      <w:contextualSpacing/>
      <w:jc w:val="left"/>
    </w:pPr>
    <w:rPr>
      <w:rFonts w:ascii="Calibri" w:hAnsi="Calibri"/>
      <w:sz w:val="22"/>
      <w:szCs w:val="22"/>
      <w:lang w:eastAsia="en-US"/>
    </w:rPr>
  </w:style>
  <w:style w:type="paragraph" w:customStyle="1" w:styleId="rvps2">
    <w:name w:val="rvps2"/>
    <w:basedOn w:val="a"/>
    <w:rsid w:val="00295458"/>
    <w:pPr>
      <w:spacing w:before="100" w:beforeAutospacing="1" w:after="100" w:afterAutospacing="1" w:line="240" w:lineRule="auto"/>
      <w:ind w:firstLine="0"/>
      <w:jc w:val="left"/>
    </w:pPr>
    <w:rPr>
      <w:sz w:val="24"/>
    </w:rPr>
  </w:style>
  <w:style w:type="paragraph" w:styleId="a7">
    <w:name w:val="footnote text"/>
    <w:basedOn w:val="a"/>
    <w:link w:val="a8"/>
    <w:uiPriority w:val="99"/>
    <w:unhideWhenUsed/>
    <w:rsid w:val="000303D3"/>
    <w:pPr>
      <w:spacing w:after="200" w:line="276" w:lineRule="auto"/>
      <w:ind w:firstLine="0"/>
      <w:jc w:val="left"/>
    </w:pPr>
    <w:rPr>
      <w:rFonts w:ascii="Calibri" w:eastAsia="Calibri" w:hAnsi="Calibri"/>
      <w:sz w:val="20"/>
      <w:szCs w:val="20"/>
      <w:lang w:val="uk-UA" w:eastAsia="en-US"/>
    </w:rPr>
  </w:style>
  <w:style w:type="character" w:customStyle="1" w:styleId="a8">
    <w:name w:val="Текст сноски Знак"/>
    <w:basedOn w:val="a0"/>
    <w:link w:val="a7"/>
    <w:uiPriority w:val="99"/>
    <w:rsid w:val="000303D3"/>
    <w:rPr>
      <w:rFonts w:ascii="Calibri" w:eastAsia="Calibri" w:hAnsi="Calibri" w:cs="Times New Roman"/>
      <w:sz w:val="20"/>
      <w:szCs w:val="20"/>
      <w:lang w:val="uk-UA"/>
    </w:rPr>
  </w:style>
  <w:style w:type="character" w:styleId="a9">
    <w:name w:val="footnote reference"/>
    <w:uiPriority w:val="99"/>
    <w:semiHidden/>
    <w:unhideWhenUsed/>
    <w:rsid w:val="000303D3"/>
    <w:rPr>
      <w:vertAlign w:val="superscript"/>
    </w:rPr>
  </w:style>
</w:styles>
</file>

<file path=word/webSettings.xml><?xml version="1.0" encoding="utf-8"?>
<w:webSettings xmlns:r="http://schemas.openxmlformats.org/officeDocument/2006/relationships" xmlns:w="http://schemas.openxmlformats.org/wordprocessingml/2006/main">
  <w:divs>
    <w:div w:id="99422786">
      <w:bodyDiv w:val="1"/>
      <w:marLeft w:val="0"/>
      <w:marRight w:val="0"/>
      <w:marTop w:val="0"/>
      <w:marBottom w:val="0"/>
      <w:divBdr>
        <w:top w:val="none" w:sz="0" w:space="0" w:color="auto"/>
        <w:left w:val="none" w:sz="0" w:space="0" w:color="auto"/>
        <w:bottom w:val="none" w:sz="0" w:space="0" w:color="auto"/>
        <w:right w:val="none" w:sz="0" w:space="0" w:color="auto"/>
      </w:divBdr>
    </w:div>
    <w:div w:id="350566350">
      <w:bodyDiv w:val="1"/>
      <w:marLeft w:val="0"/>
      <w:marRight w:val="0"/>
      <w:marTop w:val="0"/>
      <w:marBottom w:val="0"/>
      <w:divBdr>
        <w:top w:val="none" w:sz="0" w:space="0" w:color="auto"/>
        <w:left w:val="none" w:sz="0" w:space="0" w:color="auto"/>
        <w:bottom w:val="none" w:sz="0" w:space="0" w:color="auto"/>
        <w:right w:val="none" w:sz="0" w:space="0" w:color="auto"/>
      </w:divBdr>
    </w:div>
    <w:div w:id="377508066">
      <w:bodyDiv w:val="1"/>
      <w:marLeft w:val="0"/>
      <w:marRight w:val="0"/>
      <w:marTop w:val="0"/>
      <w:marBottom w:val="0"/>
      <w:divBdr>
        <w:top w:val="none" w:sz="0" w:space="0" w:color="auto"/>
        <w:left w:val="none" w:sz="0" w:space="0" w:color="auto"/>
        <w:bottom w:val="none" w:sz="0" w:space="0" w:color="auto"/>
        <w:right w:val="none" w:sz="0" w:space="0" w:color="auto"/>
      </w:divBdr>
    </w:div>
    <w:div w:id="767509570">
      <w:bodyDiv w:val="1"/>
      <w:marLeft w:val="0"/>
      <w:marRight w:val="0"/>
      <w:marTop w:val="0"/>
      <w:marBottom w:val="0"/>
      <w:divBdr>
        <w:top w:val="none" w:sz="0" w:space="0" w:color="auto"/>
        <w:left w:val="none" w:sz="0" w:space="0" w:color="auto"/>
        <w:bottom w:val="none" w:sz="0" w:space="0" w:color="auto"/>
        <w:right w:val="none" w:sz="0" w:space="0" w:color="auto"/>
      </w:divBdr>
    </w:div>
    <w:div w:id="1308241599">
      <w:bodyDiv w:val="1"/>
      <w:marLeft w:val="0"/>
      <w:marRight w:val="0"/>
      <w:marTop w:val="0"/>
      <w:marBottom w:val="0"/>
      <w:divBdr>
        <w:top w:val="none" w:sz="0" w:space="0" w:color="auto"/>
        <w:left w:val="none" w:sz="0" w:space="0" w:color="auto"/>
        <w:bottom w:val="none" w:sz="0" w:space="0" w:color="auto"/>
        <w:right w:val="none" w:sz="0" w:space="0" w:color="auto"/>
      </w:divBdr>
    </w:div>
    <w:div w:id="1550873032">
      <w:bodyDiv w:val="1"/>
      <w:marLeft w:val="0"/>
      <w:marRight w:val="0"/>
      <w:marTop w:val="0"/>
      <w:marBottom w:val="0"/>
      <w:divBdr>
        <w:top w:val="none" w:sz="0" w:space="0" w:color="auto"/>
        <w:left w:val="none" w:sz="0" w:space="0" w:color="auto"/>
        <w:bottom w:val="none" w:sz="0" w:space="0" w:color="auto"/>
        <w:right w:val="none" w:sz="0" w:space="0" w:color="auto"/>
      </w:divBdr>
    </w:div>
    <w:div w:id="1678773075">
      <w:bodyDiv w:val="1"/>
      <w:marLeft w:val="0"/>
      <w:marRight w:val="0"/>
      <w:marTop w:val="0"/>
      <w:marBottom w:val="0"/>
      <w:divBdr>
        <w:top w:val="none" w:sz="0" w:space="0" w:color="auto"/>
        <w:left w:val="none" w:sz="0" w:space="0" w:color="auto"/>
        <w:bottom w:val="none" w:sz="0" w:space="0" w:color="auto"/>
        <w:right w:val="none" w:sz="0" w:space="0" w:color="auto"/>
      </w:divBdr>
    </w:div>
    <w:div w:id="1742943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12</Pages>
  <Words>3504</Words>
  <Characters>19977</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23435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1</cp:lastModifiedBy>
  <cp:revision>5</cp:revision>
  <dcterms:created xsi:type="dcterms:W3CDTF">2021-09-28T16:12:00Z</dcterms:created>
  <dcterms:modified xsi:type="dcterms:W3CDTF">2021-09-29T13:39:00Z</dcterms:modified>
</cp:coreProperties>
</file>