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6275" w:rsidRPr="00F541AF" w:rsidRDefault="00076275" w:rsidP="00076275">
      <w:pPr>
        <w:spacing w:line="360" w:lineRule="auto"/>
        <w:jc w:val="center"/>
        <w:rPr>
          <w:rFonts w:eastAsia="Calibri" w:cstheme="minorBidi"/>
          <w:b/>
          <w:bCs/>
          <w:kern w:val="24"/>
          <w:sz w:val="36"/>
          <w:szCs w:val="36"/>
        </w:rPr>
      </w:pPr>
      <w:r w:rsidRPr="00F541AF">
        <w:rPr>
          <w:rFonts w:eastAsia="Calibri" w:cstheme="minorBidi"/>
          <w:b/>
          <w:bCs/>
          <w:kern w:val="24"/>
          <w:sz w:val="36"/>
          <w:szCs w:val="36"/>
        </w:rPr>
        <w:t>МІНІСТЕРСТВО ОСВІТИ І НАУКИ УКРАЇНИ</w:t>
      </w:r>
    </w:p>
    <w:p w:rsidR="00076275" w:rsidRPr="00F541AF" w:rsidRDefault="00076275" w:rsidP="00076275">
      <w:pPr>
        <w:spacing w:line="360" w:lineRule="auto"/>
        <w:jc w:val="center"/>
        <w:rPr>
          <w:rFonts w:eastAsia="Calibri" w:cstheme="minorBidi"/>
          <w:b/>
          <w:bCs/>
          <w:kern w:val="24"/>
          <w:szCs w:val="28"/>
        </w:rPr>
      </w:pPr>
      <w:r w:rsidRPr="00F541AF">
        <w:rPr>
          <w:rFonts w:eastAsia="Calibri" w:cstheme="minorBidi"/>
          <w:b/>
          <w:bCs/>
          <w:kern w:val="24"/>
          <w:szCs w:val="28"/>
        </w:rPr>
        <w:t>МІЖНАРОДНИЙ УНІВЕРСИТЕТ (УКРАЇНА)</w:t>
      </w:r>
    </w:p>
    <w:p w:rsidR="00076275" w:rsidRDefault="00076275" w:rsidP="00076275">
      <w:pPr>
        <w:spacing w:line="360" w:lineRule="auto"/>
        <w:jc w:val="center"/>
        <w:rPr>
          <w:rFonts w:eastAsia="Calibri" w:cstheme="minorBidi"/>
          <w:b/>
          <w:bCs/>
          <w:kern w:val="24"/>
          <w:szCs w:val="28"/>
        </w:rPr>
      </w:pPr>
    </w:p>
    <w:p w:rsidR="00076275" w:rsidRPr="00076275" w:rsidRDefault="00076275" w:rsidP="00076275">
      <w:pPr>
        <w:spacing w:line="360" w:lineRule="auto"/>
        <w:jc w:val="center"/>
        <w:rPr>
          <w:rFonts w:eastAsia="Calibri" w:cstheme="minorBidi"/>
          <w:b/>
          <w:bCs/>
          <w:kern w:val="24"/>
          <w:szCs w:val="28"/>
          <w:lang w:val="en-US"/>
        </w:rPr>
      </w:pPr>
      <w:r w:rsidRPr="00076275">
        <w:rPr>
          <w:rFonts w:eastAsia="Calibri" w:cstheme="minorBidi"/>
          <w:b/>
          <w:bCs/>
          <w:kern w:val="24"/>
          <w:szCs w:val="28"/>
          <w:lang w:val="en-US"/>
        </w:rPr>
        <w:t>ANDRES BELLO CATHOLIC UNIVERSITY (VENEZUELA)</w:t>
      </w:r>
    </w:p>
    <w:p w:rsidR="00076275" w:rsidRPr="00076275" w:rsidRDefault="00076275" w:rsidP="00076275">
      <w:pPr>
        <w:spacing w:line="360" w:lineRule="auto"/>
        <w:jc w:val="center"/>
        <w:rPr>
          <w:rFonts w:eastAsia="Calibri" w:cstheme="minorBidi"/>
          <w:b/>
          <w:bCs/>
          <w:kern w:val="24"/>
          <w:szCs w:val="28"/>
          <w:lang w:val="en-US"/>
        </w:rPr>
      </w:pPr>
      <w:r w:rsidRPr="00076275">
        <w:rPr>
          <w:rFonts w:eastAsia="Calibri" w:cstheme="minorBidi"/>
          <w:b/>
          <w:bCs/>
          <w:kern w:val="24"/>
          <w:szCs w:val="28"/>
          <w:lang w:val="en-US"/>
        </w:rPr>
        <w:t>UNIVERSITY OF MONTERREY (MEXICO)</w:t>
      </w:r>
    </w:p>
    <w:p w:rsidR="00076275" w:rsidRPr="00076275" w:rsidRDefault="00076275" w:rsidP="00076275">
      <w:pPr>
        <w:spacing w:line="360" w:lineRule="auto"/>
        <w:jc w:val="center"/>
        <w:rPr>
          <w:rFonts w:eastAsia="Calibri" w:cstheme="minorBidi"/>
          <w:b/>
          <w:bCs/>
          <w:kern w:val="24"/>
          <w:szCs w:val="28"/>
          <w:lang w:val="en-US"/>
        </w:rPr>
      </w:pPr>
      <w:r w:rsidRPr="00076275">
        <w:rPr>
          <w:rFonts w:eastAsia="Calibri" w:cstheme="minorBidi"/>
          <w:b/>
          <w:bCs/>
          <w:kern w:val="24"/>
          <w:szCs w:val="28"/>
          <w:lang w:val="en-US"/>
        </w:rPr>
        <w:t>UNIVERSITY OF SASKATCHEWAN (CANADA)</w:t>
      </w:r>
    </w:p>
    <w:p w:rsidR="00076275" w:rsidRPr="00F541AF" w:rsidRDefault="00076275" w:rsidP="00076275">
      <w:pPr>
        <w:spacing w:line="360" w:lineRule="auto"/>
        <w:jc w:val="center"/>
        <w:rPr>
          <w:rFonts w:eastAsia="Calibri" w:cstheme="minorBidi"/>
          <w:b/>
          <w:bCs/>
          <w:kern w:val="24"/>
          <w:szCs w:val="28"/>
        </w:rPr>
      </w:pPr>
      <w:r w:rsidRPr="00F541AF">
        <w:rPr>
          <w:rFonts w:eastAsia="Calibri" w:cstheme="minorBidi"/>
          <w:b/>
          <w:bCs/>
          <w:kern w:val="24"/>
          <w:szCs w:val="28"/>
        </w:rPr>
        <w:t>ДК «ПРОФЕСІЙНА ДІЯЛЬНІСТЬ ЮРИСТА»</w:t>
      </w:r>
    </w:p>
    <w:p w:rsidR="00076275" w:rsidRPr="00F541AF" w:rsidRDefault="00076275" w:rsidP="00076275">
      <w:pPr>
        <w:spacing w:line="360" w:lineRule="auto"/>
        <w:jc w:val="center"/>
        <w:rPr>
          <w:rFonts w:eastAsia="Calibri" w:cstheme="minorBidi"/>
          <w:b/>
          <w:bCs/>
          <w:kern w:val="24"/>
          <w:sz w:val="36"/>
          <w:szCs w:val="36"/>
        </w:rPr>
      </w:pPr>
    </w:p>
    <w:p w:rsidR="00076275" w:rsidRPr="00F541AF" w:rsidRDefault="00076275" w:rsidP="00076275">
      <w:pPr>
        <w:spacing w:line="360" w:lineRule="auto"/>
        <w:jc w:val="center"/>
        <w:rPr>
          <w:rFonts w:eastAsia="Calibri" w:cstheme="minorBidi"/>
          <w:b/>
          <w:bCs/>
          <w:kern w:val="24"/>
          <w:sz w:val="36"/>
          <w:szCs w:val="36"/>
        </w:rPr>
      </w:pPr>
    </w:p>
    <w:p w:rsidR="00076275" w:rsidRPr="00F541AF" w:rsidRDefault="00076275" w:rsidP="00076275">
      <w:pPr>
        <w:spacing w:line="360" w:lineRule="auto"/>
        <w:jc w:val="center"/>
        <w:rPr>
          <w:rFonts w:eastAsia="Calibri" w:cstheme="minorBidi"/>
          <w:b/>
          <w:bCs/>
          <w:kern w:val="24"/>
          <w:sz w:val="48"/>
          <w:szCs w:val="48"/>
        </w:rPr>
      </w:pPr>
      <w:r w:rsidRPr="00F541AF">
        <w:rPr>
          <w:rFonts w:eastAsia="Calibri" w:cstheme="minorBidi"/>
          <w:b/>
          <w:bCs/>
          <w:kern w:val="24"/>
          <w:sz w:val="48"/>
          <w:szCs w:val="48"/>
        </w:rPr>
        <w:t>Збірник матеріалів</w:t>
      </w:r>
    </w:p>
    <w:p w:rsidR="00076275" w:rsidRPr="00F541AF" w:rsidRDefault="00076275" w:rsidP="00076275">
      <w:pPr>
        <w:spacing w:line="360" w:lineRule="auto"/>
        <w:jc w:val="center"/>
        <w:rPr>
          <w:rFonts w:eastAsia="Calibri" w:cstheme="minorBidi"/>
          <w:b/>
          <w:bCs/>
          <w:kern w:val="24"/>
          <w:sz w:val="36"/>
          <w:szCs w:val="36"/>
        </w:rPr>
      </w:pPr>
    </w:p>
    <w:p w:rsidR="00076275" w:rsidRPr="00F541AF" w:rsidRDefault="00076275" w:rsidP="00076275">
      <w:pPr>
        <w:spacing w:line="360" w:lineRule="auto"/>
        <w:jc w:val="center"/>
        <w:rPr>
          <w:rFonts w:eastAsia="Calibri" w:cstheme="minorBidi"/>
          <w:b/>
          <w:bCs/>
          <w:kern w:val="24"/>
          <w:sz w:val="36"/>
          <w:szCs w:val="36"/>
        </w:rPr>
      </w:pPr>
      <w:r w:rsidRPr="00F541AF">
        <w:rPr>
          <w:rFonts w:eastAsia="Calibri" w:cstheme="minorBidi"/>
          <w:b/>
          <w:bCs/>
          <w:kern w:val="24"/>
          <w:sz w:val="36"/>
          <w:szCs w:val="36"/>
        </w:rPr>
        <w:t xml:space="preserve">Міжнародної науково-практичної конференції </w:t>
      </w:r>
    </w:p>
    <w:p w:rsidR="00076275" w:rsidRPr="00F541AF" w:rsidRDefault="00076275" w:rsidP="00076275">
      <w:pPr>
        <w:spacing w:line="360" w:lineRule="auto"/>
        <w:jc w:val="center"/>
        <w:rPr>
          <w:rFonts w:eastAsia="Calibri" w:cstheme="minorBidi"/>
          <w:b/>
          <w:bCs/>
          <w:kern w:val="24"/>
          <w:sz w:val="44"/>
          <w:szCs w:val="44"/>
        </w:rPr>
      </w:pPr>
      <w:r w:rsidRPr="00F541AF">
        <w:rPr>
          <w:rFonts w:eastAsia="Calibri" w:cstheme="minorBidi"/>
          <w:b/>
          <w:bCs/>
          <w:kern w:val="24"/>
          <w:sz w:val="36"/>
          <w:szCs w:val="36"/>
        </w:rPr>
        <w:t>«</w:t>
      </w:r>
      <w:r w:rsidRPr="00F541AF">
        <w:rPr>
          <w:rFonts w:eastAsia="Calibri" w:cstheme="minorBidi"/>
          <w:b/>
          <w:bCs/>
          <w:kern w:val="24"/>
          <w:sz w:val="44"/>
          <w:szCs w:val="44"/>
        </w:rPr>
        <w:t xml:space="preserve">Цілісність права та стійкість держави </w:t>
      </w:r>
    </w:p>
    <w:p w:rsidR="00076275" w:rsidRPr="00F541AF" w:rsidRDefault="00076275" w:rsidP="00076275">
      <w:pPr>
        <w:spacing w:line="360" w:lineRule="auto"/>
        <w:jc w:val="center"/>
        <w:rPr>
          <w:rFonts w:eastAsia="Calibri" w:cstheme="minorBidi"/>
          <w:b/>
          <w:bCs/>
          <w:kern w:val="24"/>
          <w:sz w:val="36"/>
          <w:szCs w:val="36"/>
        </w:rPr>
      </w:pPr>
      <w:r w:rsidRPr="00F541AF">
        <w:rPr>
          <w:rFonts w:eastAsia="Calibri" w:cstheme="minorBidi"/>
          <w:b/>
          <w:bCs/>
          <w:kern w:val="24"/>
          <w:sz w:val="44"/>
          <w:szCs w:val="44"/>
        </w:rPr>
        <w:t>в умовах сучасних викликів</w:t>
      </w:r>
      <w:r w:rsidRPr="00F541AF">
        <w:rPr>
          <w:rFonts w:eastAsia="Calibri" w:cstheme="minorBidi"/>
          <w:b/>
          <w:bCs/>
          <w:kern w:val="24"/>
          <w:sz w:val="36"/>
          <w:szCs w:val="36"/>
        </w:rPr>
        <w:t>»</w:t>
      </w:r>
    </w:p>
    <w:p w:rsidR="00076275" w:rsidRPr="00F541AF" w:rsidRDefault="00076275" w:rsidP="00076275">
      <w:pPr>
        <w:spacing w:line="360" w:lineRule="auto"/>
        <w:jc w:val="center"/>
        <w:rPr>
          <w:rFonts w:eastAsia="Calibri" w:cstheme="minorBidi"/>
          <w:b/>
          <w:bCs/>
          <w:kern w:val="24"/>
          <w:sz w:val="36"/>
          <w:szCs w:val="36"/>
        </w:rPr>
      </w:pPr>
      <w:r w:rsidRPr="00F541AF">
        <w:rPr>
          <w:rFonts w:eastAsia="Calibri" w:cstheme="minorBidi"/>
          <w:b/>
          <w:bCs/>
          <w:kern w:val="24"/>
          <w:sz w:val="36"/>
          <w:szCs w:val="36"/>
        </w:rPr>
        <w:t>20 березня 2026 року</w:t>
      </w:r>
    </w:p>
    <w:p w:rsidR="00076275" w:rsidRPr="00F541AF" w:rsidRDefault="00076275" w:rsidP="00076275">
      <w:pPr>
        <w:tabs>
          <w:tab w:val="left" w:pos="1035"/>
        </w:tabs>
        <w:spacing w:line="360" w:lineRule="auto"/>
        <w:jc w:val="center"/>
        <w:rPr>
          <w:rFonts w:eastAsia="Calibri" w:cstheme="minorBidi"/>
          <w:kern w:val="24"/>
          <w:sz w:val="21"/>
          <w:szCs w:val="21"/>
        </w:rPr>
      </w:pPr>
      <w:r w:rsidRPr="00F541AF">
        <w:rPr>
          <w:rFonts w:eastAsia="Calibri" w:cstheme="minorBidi"/>
          <w:kern w:val="24"/>
          <w:sz w:val="21"/>
          <w:szCs w:val="21"/>
        </w:rPr>
        <w:t>(Посвідчення № 329 про реєстрацію проведення заходу від 02 березня 2026 р.)</w:t>
      </w: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Pr="008B1F13" w:rsidRDefault="00076275" w:rsidP="00076275">
      <w:pPr>
        <w:tabs>
          <w:tab w:val="left" w:pos="1035"/>
        </w:tabs>
        <w:spacing w:line="360" w:lineRule="auto"/>
        <w:jc w:val="center"/>
        <w:rPr>
          <w:rFonts w:eastAsia="Calibri" w:cstheme="minorBidi"/>
          <w:b/>
          <w:bCs/>
          <w:kern w:val="24"/>
          <w:sz w:val="36"/>
          <w:szCs w:val="36"/>
        </w:rPr>
      </w:pPr>
    </w:p>
    <w:p w:rsidR="00076275" w:rsidRPr="008B1F13"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p>
    <w:p w:rsidR="00076275" w:rsidRPr="00F541AF" w:rsidRDefault="00076275" w:rsidP="00076275">
      <w:pPr>
        <w:tabs>
          <w:tab w:val="left" w:pos="1035"/>
        </w:tabs>
        <w:spacing w:line="360" w:lineRule="auto"/>
        <w:jc w:val="center"/>
        <w:rPr>
          <w:rFonts w:eastAsia="Calibri" w:cstheme="minorBidi"/>
          <w:b/>
          <w:bCs/>
          <w:kern w:val="24"/>
          <w:sz w:val="36"/>
          <w:szCs w:val="36"/>
        </w:rPr>
      </w:pPr>
      <w:r w:rsidRPr="00F541AF">
        <w:rPr>
          <w:rFonts w:eastAsia="Calibri" w:cstheme="minorBidi"/>
          <w:b/>
          <w:bCs/>
          <w:kern w:val="24"/>
          <w:sz w:val="36"/>
          <w:szCs w:val="36"/>
        </w:rPr>
        <w:t>Одеса – 2026</w:t>
      </w:r>
    </w:p>
    <w:p w:rsidR="00076275" w:rsidRPr="005B2444" w:rsidRDefault="00076275" w:rsidP="00076275">
      <w:pPr>
        <w:widowControl w:val="0"/>
        <w:tabs>
          <w:tab w:val="left" w:pos="360"/>
        </w:tabs>
        <w:rPr>
          <w:b/>
        </w:rPr>
      </w:pPr>
      <w:r w:rsidRPr="005B2444">
        <w:rPr>
          <w:b/>
          <w:highlight w:val="yellow"/>
        </w:rPr>
        <w:lastRenderedPageBreak/>
        <w:t>УДК ______________</w:t>
      </w:r>
    </w:p>
    <w:p w:rsidR="00076275" w:rsidRPr="005B2444" w:rsidRDefault="00076275" w:rsidP="00076275">
      <w:pPr>
        <w:widowControl w:val="0"/>
        <w:tabs>
          <w:tab w:val="left" w:pos="360"/>
        </w:tabs>
        <w:jc w:val="right"/>
        <w:rPr>
          <w:bCs/>
          <w:i/>
          <w:iCs/>
        </w:rPr>
      </w:pPr>
      <w:r w:rsidRPr="005B2444">
        <w:rPr>
          <w:bCs/>
          <w:i/>
          <w:iCs/>
        </w:rPr>
        <w:t xml:space="preserve">Друкується відповідно до рішення </w:t>
      </w:r>
    </w:p>
    <w:p w:rsidR="00076275" w:rsidRPr="005B2444" w:rsidRDefault="00076275" w:rsidP="00076275">
      <w:pPr>
        <w:widowControl w:val="0"/>
        <w:tabs>
          <w:tab w:val="left" w:pos="360"/>
        </w:tabs>
        <w:jc w:val="right"/>
        <w:rPr>
          <w:bCs/>
          <w:i/>
          <w:iCs/>
        </w:rPr>
      </w:pPr>
      <w:r w:rsidRPr="005B2444">
        <w:rPr>
          <w:bCs/>
          <w:i/>
          <w:iCs/>
        </w:rPr>
        <w:t>Вчено</w:t>
      </w:r>
      <w:proofErr w:type="gramStart"/>
      <w:r w:rsidRPr="005B2444">
        <w:rPr>
          <w:bCs/>
          <w:i/>
          <w:iCs/>
        </w:rPr>
        <w:t>ї Р</w:t>
      </w:r>
      <w:proofErr w:type="gramEnd"/>
      <w:r w:rsidRPr="005B2444">
        <w:rPr>
          <w:bCs/>
          <w:i/>
          <w:iCs/>
        </w:rPr>
        <w:t>ади Міжнародного університету</w:t>
      </w:r>
    </w:p>
    <w:p w:rsidR="00076275" w:rsidRPr="005B2444" w:rsidRDefault="00076275" w:rsidP="00076275">
      <w:pPr>
        <w:widowControl w:val="0"/>
        <w:tabs>
          <w:tab w:val="left" w:pos="360"/>
        </w:tabs>
        <w:jc w:val="right"/>
        <w:rPr>
          <w:bCs/>
          <w:i/>
          <w:iCs/>
        </w:rPr>
      </w:pPr>
      <w:r w:rsidRPr="005B2444">
        <w:rPr>
          <w:bCs/>
          <w:i/>
          <w:iCs/>
        </w:rPr>
        <w:t>Протокол №1</w:t>
      </w:r>
      <w:r>
        <w:rPr>
          <w:bCs/>
          <w:i/>
          <w:iCs/>
        </w:rPr>
        <w:t>0</w:t>
      </w:r>
      <w:r w:rsidRPr="005B2444">
        <w:rPr>
          <w:bCs/>
          <w:i/>
          <w:iCs/>
        </w:rPr>
        <w:t xml:space="preserve"> від 15.04.2026</w:t>
      </w:r>
    </w:p>
    <w:p w:rsidR="00076275" w:rsidRPr="005B2444" w:rsidRDefault="00076275" w:rsidP="00076275">
      <w:pPr>
        <w:widowControl w:val="0"/>
        <w:tabs>
          <w:tab w:val="left" w:pos="360"/>
        </w:tabs>
        <w:jc w:val="center"/>
        <w:rPr>
          <w:b/>
        </w:rPr>
      </w:pPr>
    </w:p>
    <w:p w:rsidR="00076275" w:rsidRPr="005B2444" w:rsidRDefault="00076275" w:rsidP="00076275">
      <w:pPr>
        <w:widowControl w:val="0"/>
        <w:tabs>
          <w:tab w:val="left" w:pos="360"/>
        </w:tabs>
        <w:jc w:val="center"/>
        <w:rPr>
          <w:b/>
        </w:rPr>
      </w:pPr>
      <w:r w:rsidRPr="005B2444">
        <w:rPr>
          <w:b/>
        </w:rPr>
        <w:t>ОРГАНІЗАЦІЙНИЙ КОМІТЕТ КОНФЕРЕНЦІЇ:</w:t>
      </w:r>
    </w:p>
    <w:p w:rsidR="00076275" w:rsidRPr="005B2444" w:rsidRDefault="00076275" w:rsidP="00076275">
      <w:pPr>
        <w:rPr>
          <w:b/>
        </w:rPr>
      </w:pPr>
      <w:r w:rsidRPr="005B2444">
        <w:rPr>
          <w:b/>
          <w:bCs/>
        </w:rPr>
        <w:t xml:space="preserve">Голова: </w:t>
      </w:r>
    </w:p>
    <w:p w:rsidR="00076275" w:rsidRPr="005B2444" w:rsidRDefault="00076275" w:rsidP="00076275">
      <w:pPr>
        <w:rPr>
          <w:iCs/>
        </w:rPr>
      </w:pPr>
      <w:r w:rsidRPr="005B2444">
        <w:rPr>
          <w:b/>
          <w:bCs/>
          <w:i/>
          <w:iCs/>
        </w:rPr>
        <w:t xml:space="preserve">Костянтин ГРОМОВЕНКО </w:t>
      </w:r>
      <w:r w:rsidRPr="005B2444">
        <w:rPr>
          <w:b/>
          <w:i/>
          <w:iCs/>
        </w:rPr>
        <w:t xml:space="preserve">– </w:t>
      </w:r>
      <w:r w:rsidRPr="005B2444">
        <w:rPr>
          <w:iCs/>
        </w:rPr>
        <w:t xml:space="preserve">д.ю.н., професор, ректор Міжнародного  університету. </w:t>
      </w:r>
    </w:p>
    <w:p w:rsidR="00076275" w:rsidRPr="005B2444" w:rsidRDefault="00076275" w:rsidP="00076275">
      <w:pPr>
        <w:rPr>
          <w:b/>
          <w:bCs/>
          <w:iCs/>
        </w:rPr>
      </w:pPr>
      <w:r w:rsidRPr="005B2444">
        <w:rPr>
          <w:b/>
          <w:bCs/>
          <w:iCs/>
        </w:rPr>
        <w:t>Перший заступник голови:</w:t>
      </w:r>
    </w:p>
    <w:p w:rsidR="00076275" w:rsidRPr="005B2444" w:rsidRDefault="00076275" w:rsidP="00076275">
      <w:pPr>
        <w:rPr>
          <w:iCs/>
        </w:rPr>
      </w:pPr>
      <w:r w:rsidRPr="005B2444">
        <w:rPr>
          <w:b/>
          <w:bCs/>
          <w:i/>
          <w:iCs/>
        </w:rPr>
        <w:t xml:space="preserve">Василь ЛЕФТЕРОВ </w:t>
      </w:r>
      <w:r w:rsidRPr="005B2444">
        <w:rPr>
          <w:b/>
          <w:i/>
          <w:iCs/>
        </w:rPr>
        <w:t xml:space="preserve">– </w:t>
      </w:r>
      <w:r w:rsidRPr="005B2444">
        <w:rPr>
          <w:iCs/>
        </w:rPr>
        <w:t>д</w:t>
      </w:r>
      <w:proofErr w:type="gramStart"/>
      <w:r w:rsidRPr="005B2444">
        <w:rPr>
          <w:iCs/>
        </w:rPr>
        <w:t>.п</w:t>
      </w:r>
      <w:proofErr w:type="gramEnd"/>
      <w:r w:rsidRPr="005B2444">
        <w:rPr>
          <w:iCs/>
        </w:rPr>
        <w:t>сихол.н., професор, перший проректор Міжнародного  університету;</w:t>
      </w:r>
    </w:p>
    <w:p w:rsidR="00076275" w:rsidRPr="005B2444" w:rsidRDefault="00076275" w:rsidP="00076275">
      <w:pPr>
        <w:rPr>
          <w:b/>
          <w:bCs/>
          <w:iCs/>
        </w:rPr>
      </w:pPr>
      <w:r w:rsidRPr="005B2444">
        <w:rPr>
          <w:b/>
          <w:bCs/>
          <w:iCs/>
        </w:rPr>
        <w:t>Заступники голови:</w:t>
      </w:r>
    </w:p>
    <w:p w:rsidR="00076275" w:rsidRPr="005B2444" w:rsidRDefault="00076275" w:rsidP="00076275">
      <w:r w:rsidRPr="005B2444">
        <w:rPr>
          <w:b/>
          <w:i/>
        </w:rPr>
        <w:t>Вікторія БЕДАН</w:t>
      </w:r>
      <w:r w:rsidRPr="005B2444">
        <w:t xml:space="preserve"> – канд. психол. н., доцент, начальник відділу аспірантури та науково-дослідної роботи;</w:t>
      </w:r>
    </w:p>
    <w:p w:rsidR="00076275" w:rsidRPr="005B2444" w:rsidRDefault="00076275" w:rsidP="00076275">
      <w:r w:rsidRPr="005B2444">
        <w:rPr>
          <w:b/>
          <w:i/>
        </w:rPr>
        <w:t xml:space="preserve">Яна ТИЦЬКА </w:t>
      </w:r>
      <w:r w:rsidRPr="005B2444">
        <w:t>– д.ю.н., доцент, декан факультету права та економіки Міжнародного університету;</w:t>
      </w:r>
    </w:p>
    <w:p w:rsidR="00076275" w:rsidRPr="005B2444" w:rsidRDefault="00076275" w:rsidP="00076275">
      <w:pPr>
        <w:widowControl w:val="0"/>
      </w:pPr>
      <w:r w:rsidRPr="005B2444">
        <w:rPr>
          <w:b/>
          <w:bCs/>
        </w:rPr>
        <w:t>Юлія ШАРАПАНОВСЬКА</w:t>
      </w:r>
      <w:r w:rsidRPr="005B2444">
        <w:t xml:space="preserve"> – доктор філософії, Директор Фахового коледжу Міжнародного Університету.</w:t>
      </w:r>
    </w:p>
    <w:p w:rsidR="00076275" w:rsidRPr="005B2444" w:rsidRDefault="00076275" w:rsidP="00076275"/>
    <w:p w:rsidR="00076275" w:rsidRPr="005B2444" w:rsidRDefault="00076275" w:rsidP="00076275">
      <w:pPr>
        <w:widowControl w:val="0"/>
        <w:rPr>
          <w:b/>
        </w:rPr>
      </w:pPr>
      <w:r w:rsidRPr="005B2444">
        <w:rPr>
          <w:b/>
        </w:rPr>
        <w:t>Члени оргкомітету:</w:t>
      </w:r>
    </w:p>
    <w:p w:rsidR="00076275" w:rsidRPr="005B2444" w:rsidRDefault="00076275" w:rsidP="00076275">
      <w:pPr>
        <w:tabs>
          <w:tab w:val="left" w:pos="2534"/>
        </w:tabs>
        <w:rPr>
          <w:b/>
          <w:i/>
        </w:rPr>
      </w:pPr>
      <w:r w:rsidRPr="005B2444">
        <w:rPr>
          <w:b/>
          <w:i/>
        </w:rPr>
        <w:t xml:space="preserve">Лариса ДІДЕНКО </w:t>
      </w:r>
      <w:r w:rsidRPr="005B2444">
        <w:t>– д.ю.н., професор, завідувач кафедри цивільно-правових дисциплін та статистики;</w:t>
      </w:r>
    </w:p>
    <w:p w:rsidR="00076275" w:rsidRPr="005B2444" w:rsidRDefault="00076275" w:rsidP="00076275">
      <w:r w:rsidRPr="005B2444">
        <w:rPr>
          <w:b/>
          <w:i/>
        </w:rPr>
        <w:t>Денис МАНЬКО</w:t>
      </w:r>
      <w:r w:rsidRPr="005B2444">
        <w:t xml:space="preserve"> – д.ю.н., професор, завідувач кафедри державно-правових дисциплін Міжнародного університету;</w:t>
      </w:r>
    </w:p>
    <w:p w:rsidR="00076275" w:rsidRDefault="00076275" w:rsidP="00076275">
      <w:pPr>
        <w:tabs>
          <w:tab w:val="left" w:pos="2534"/>
        </w:tabs>
      </w:pPr>
      <w:r w:rsidRPr="005B2444">
        <w:rPr>
          <w:b/>
          <w:bCs/>
          <w:i/>
          <w:iCs/>
        </w:rPr>
        <w:t>Катерина  НЕСТЕРОВА</w:t>
      </w:r>
      <w:r w:rsidRPr="005B2444">
        <w:t xml:space="preserve"> – к.е.н., доцент, завідувачка кафедри економіки і міжнародних економічних відносин</w:t>
      </w:r>
      <w:r>
        <w:t>;</w:t>
      </w:r>
    </w:p>
    <w:p w:rsidR="00076275" w:rsidRPr="005B2444" w:rsidRDefault="00076275" w:rsidP="00076275">
      <w:pPr>
        <w:tabs>
          <w:tab w:val="left" w:pos="2534"/>
        </w:tabs>
      </w:pPr>
      <w:r w:rsidRPr="005B2444">
        <w:rPr>
          <w:b/>
          <w:i/>
        </w:rPr>
        <w:t>Олена ПАСЕЧНИК</w:t>
      </w:r>
      <w:r w:rsidRPr="005B2444">
        <w:t xml:space="preserve"> – завідувачка кафедрою морського та </w:t>
      </w:r>
      <w:proofErr w:type="gramStart"/>
      <w:r w:rsidRPr="005B2444">
        <w:t>м</w:t>
      </w:r>
      <w:proofErr w:type="gramEnd"/>
      <w:r w:rsidRPr="005B2444">
        <w:t>іжнародного права Міжнародного  університету, д.ю.н., професор;</w:t>
      </w:r>
    </w:p>
    <w:p w:rsidR="00076275" w:rsidRPr="005B2444" w:rsidRDefault="00076275" w:rsidP="00076275">
      <w:pPr>
        <w:tabs>
          <w:tab w:val="left" w:pos="2534"/>
        </w:tabs>
      </w:pPr>
      <w:r w:rsidRPr="005B2444">
        <w:rPr>
          <w:b/>
          <w:i/>
        </w:rPr>
        <w:t xml:space="preserve">Олександр ПОДОБНИЙ </w:t>
      </w:r>
      <w:r w:rsidRPr="005B2444">
        <w:t>– д.ю.н., професор, завідувач кафедри кримінального права, процесу та криміналістики</w:t>
      </w:r>
      <w:r>
        <w:t>.</w:t>
      </w:r>
    </w:p>
    <w:p w:rsidR="00076275" w:rsidRPr="005B2444" w:rsidRDefault="00076275" w:rsidP="00076275">
      <w:pPr>
        <w:tabs>
          <w:tab w:val="left" w:pos="2534"/>
        </w:tabs>
      </w:pPr>
      <w:r w:rsidRPr="005B2444">
        <w:t>.</w:t>
      </w:r>
    </w:p>
    <w:p w:rsidR="00076275" w:rsidRPr="005B2444" w:rsidRDefault="00076275" w:rsidP="00076275">
      <w:pPr>
        <w:tabs>
          <w:tab w:val="left" w:pos="2534"/>
        </w:tabs>
      </w:pPr>
    </w:p>
    <w:p w:rsidR="00076275" w:rsidRDefault="00076275" w:rsidP="00076275">
      <w:pPr>
        <w:widowControl w:val="0"/>
        <w:ind w:firstLine="708"/>
        <w:rPr>
          <w:b/>
          <w:lang w:val="en-US"/>
        </w:rPr>
      </w:pPr>
    </w:p>
    <w:p w:rsidR="00076275" w:rsidRPr="005B2444" w:rsidRDefault="00076275" w:rsidP="00076275">
      <w:pPr>
        <w:widowControl w:val="0"/>
        <w:ind w:firstLine="708"/>
        <w:rPr>
          <w:bCs/>
        </w:rPr>
      </w:pPr>
      <w:proofErr w:type="gramStart"/>
      <w:r w:rsidRPr="005B2444">
        <w:rPr>
          <w:b/>
        </w:rPr>
        <w:t>Ц</w:t>
      </w:r>
      <w:proofErr w:type="gramEnd"/>
      <w:r w:rsidRPr="005B2444">
        <w:rPr>
          <w:b/>
        </w:rPr>
        <w:t xml:space="preserve">ілісність права та стійкість держави в умовах сучасних викликів : </w:t>
      </w:r>
      <w:r w:rsidRPr="005B2444">
        <w:rPr>
          <w:bCs/>
        </w:rPr>
        <w:t xml:space="preserve">міжнародна науково-практична конференція (20 березня 2026 року), м. Одеса. </w:t>
      </w:r>
      <w:r w:rsidRPr="008B1F13">
        <w:rPr>
          <w:bCs/>
        </w:rPr>
        <w:t>[Електронне видання]</w:t>
      </w:r>
      <w:r>
        <w:rPr>
          <w:bCs/>
        </w:rPr>
        <w:t xml:space="preserve"> / </w:t>
      </w:r>
      <w:r w:rsidRPr="005B2444">
        <w:rPr>
          <w:bCs/>
        </w:rPr>
        <w:t>Міжнар. гуман. ун-т. – Одеса</w:t>
      </w:r>
      <w:proofErr w:type="gramStart"/>
      <w:r w:rsidRPr="005B2444">
        <w:rPr>
          <w:bCs/>
        </w:rPr>
        <w:t xml:space="preserve"> :</w:t>
      </w:r>
      <w:proofErr w:type="gramEnd"/>
      <w:r w:rsidRPr="005B2444">
        <w:rPr>
          <w:bCs/>
        </w:rPr>
        <w:t xml:space="preserve"> Фенікс, 2026. – 220 с. – </w:t>
      </w:r>
      <w:r w:rsidRPr="008B1F13">
        <w:rPr>
          <w:bCs/>
        </w:rPr>
        <w:t>Режим доступу: https:</w:t>
      </w:r>
      <w:r w:rsidR="008B1F13" w:rsidRPr="008B1F13">
        <w:rPr>
          <w:rFonts w:ascii="Segoe UI" w:hAnsi="Segoe UI" w:cs="Segoe UI"/>
          <w:color w:val="343A40"/>
          <w:sz w:val="19"/>
          <w:szCs w:val="19"/>
          <w:shd w:val="clear" w:color="auto" w:fill="FFFFFF"/>
        </w:rPr>
        <w:t xml:space="preserve"> </w:t>
      </w:r>
      <w:r w:rsidR="008B1F13" w:rsidRPr="008B1F13">
        <w:rPr>
          <w:shd w:val="clear" w:color="auto" w:fill="FFFFFF"/>
        </w:rPr>
        <w:t>https://hdl.handle.net/11300/32649</w:t>
      </w:r>
    </w:p>
    <w:p w:rsidR="00076275" w:rsidRPr="005B2444" w:rsidRDefault="00076275" w:rsidP="00076275">
      <w:pPr>
        <w:widowControl w:val="0"/>
        <w:rPr>
          <w:bCs/>
        </w:rPr>
      </w:pPr>
    </w:p>
    <w:p w:rsidR="00076275" w:rsidRPr="00283A8A" w:rsidRDefault="00076275" w:rsidP="00076275">
      <w:pPr>
        <w:widowControl w:val="0"/>
        <w:ind w:firstLine="708"/>
        <w:rPr>
          <w:bCs/>
        </w:rPr>
      </w:pPr>
    </w:p>
    <w:p w:rsidR="00076275" w:rsidRPr="00283A8A" w:rsidRDefault="00076275" w:rsidP="00076275">
      <w:pPr>
        <w:widowControl w:val="0"/>
        <w:ind w:firstLine="708"/>
        <w:rPr>
          <w:bCs/>
        </w:rPr>
      </w:pPr>
    </w:p>
    <w:p w:rsidR="00076275" w:rsidRPr="00283A8A" w:rsidRDefault="00076275" w:rsidP="00076275">
      <w:pPr>
        <w:widowControl w:val="0"/>
        <w:ind w:firstLine="708"/>
        <w:rPr>
          <w:bCs/>
        </w:rPr>
      </w:pPr>
    </w:p>
    <w:p w:rsidR="00076275" w:rsidRPr="008B1F13" w:rsidRDefault="00076275" w:rsidP="00076275">
      <w:pPr>
        <w:widowControl w:val="0"/>
        <w:ind w:firstLine="708"/>
        <w:rPr>
          <w:bCs/>
        </w:rPr>
      </w:pPr>
      <w:r w:rsidRPr="005B2444">
        <w:rPr>
          <w:bCs/>
        </w:rPr>
        <w:t>Збірник</w:t>
      </w:r>
      <w:r w:rsidRPr="008B1F13">
        <w:rPr>
          <w:bCs/>
        </w:rPr>
        <w:t xml:space="preserve"> </w:t>
      </w:r>
      <w:r w:rsidRPr="005B2444">
        <w:rPr>
          <w:bCs/>
        </w:rPr>
        <w:t>доповідей</w:t>
      </w:r>
      <w:r w:rsidRPr="008B1F13">
        <w:rPr>
          <w:bCs/>
        </w:rPr>
        <w:t xml:space="preserve"> </w:t>
      </w:r>
      <w:r w:rsidRPr="005B2444">
        <w:rPr>
          <w:bCs/>
        </w:rPr>
        <w:t>репрезентує</w:t>
      </w:r>
      <w:r w:rsidRPr="008B1F13">
        <w:rPr>
          <w:bCs/>
        </w:rPr>
        <w:t xml:space="preserve"> </w:t>
      </w:r>
      <w:r w:rsidRPr="005B2444">
        <w:rPr>
          <w:bCs/>
        </w:rPr>
        <w:t>комплекс</w:t>
      </w:r>
      <w:r w:rsidRPr="008B1F13">
        <w:rPr>
          <w:bCs/>
        </w:rPr>
        <w:t xml:space="preserve"> </w:t>
      </w:r>
      <w:r w:rsidRPr="005B2444">
        <w:rPr>
          <w:bCs/>
        </w:rPr>
        <w:t>сучасних</w:t>
      </w:r>
      <w:r w:rsidRPr="008B1F13">
        <w:rPr>
          <w:bCs/>
        </w:rPr>
        <w:t xml:space="preserve"> </w:t>
      </w:r>
      <w:r w:rsidRPr="005B2444">
        <w:rPr>
          <w:bCs/>
        </w:rPr>
        <w:t>наукових</w:t>
      </w:r>
      <w:r w:rsidRPr="008B1F13">
        <w:rPr>
          <w:bCs/>
        </w:rPr>
        <w:t xml:space="preserve"> </w:t>
      </w:r>
      <w:proofErr w:type="gramStart"/>
      <w:r w:rsidRPr="005B2444">
        <w:rPr>
          <w:bCs/>
        </w:rPr>
        <w:t>п</w:t>
      </w:r>
      <w:proofErr w:type="gramEnd"/>
      <w:r w:rsidRPr="005B2444">
        <w:rPr>
          <w:bCs/>
        </w:rPr>
        <w:t>ідходів</w:t>
      </w:r>
      <w:r w:rsidRPr="008B1F13">
        <w:rPr>
          <w:bCs/>
        </w:rPr>
        <w:t xml:space="preserve"> </w:t>
      </w:r>
      <w:r w:rsidRPr="005B2444">
        <w:rPr>
          <w:bCs/>
        </w:rPr>
        <w:t>до</w:t>
      </w:r>
      <w:r w:rsidRPr="008B1F13">
        <w:rPr>
          <w:bCs/>
        </w:rPr>
        <w:t xml:space="preserve"> </w:t>
      </w:r>
      <w:r w:rsidRPr="005B2444">
        <w:rPr>
          <w:bCs/>
        </w:rPr>
        <w:t>осмислення</w:t>
      </w:r>
      <w:r w:rsidRPr="008B1F13">
        <w:rPr>
          <w:bCs/>
        </w:rPr>
        <w:t xml:space="preserve"> </w:t>
      </w:r>
      <w:r w:rsidRPr="005B2444">
        <w:rPr>
          <w:bCs/>
        </w:rPr>
        <w:t>доктринальних</w:t>
      </w:r>
      <w:r w:rsidRPr="008B1F13">
        <w:rPr>
          <w:bCs/>
        </w:rPr>
        <w:t xml:space="preserve">, </w:t>
      </w:r>
      <w:r w:rsidRPr="005B2444">
        <w:rPr>
          <w:bCs/>
        </w:rPr>
        <w:t>нормативних</w:t>
      </w:r>
      <w:r w:rsidRPr="008B1F13">
        <w:rPr>
          <w:bCs/>
        </w:rPr>
        <w:t xml:space="preserve"> </w:t>
      </w:r>
      <w:r w:rsidRPr="005B2444">
        <w:rPr>
          <w:bCs/>
        </w:rPr>
        <w:t>та</w:t>
      </w:r>
      <w:r w:rsidRPr="008B1F13">
        <w:rPr>
          <w:bCs/>
        </w:rPr>
        <w:t xml:space="preserve"> </w:t>
      </w:r>
      <w:r w:rsidRPr="005B2444">
        <w:rPr>
          <w:bCs/>
        </w:rPr>
        <w:t>прикладних</w:t>
      </w:r>
      <w:r w:rsidRPr="008B1F13">
        <w:rPr>
          <w:bCs/>
        </w:rPr>
        <w:t xml:space="preserve"> </w:t>
      </w:r>
      <w:r w:rsidRPr="005B2444">
        <w:rPr>
          <w:bCs/>
        </w:rPr>
        <w:t>аспектів</w:t>
      </w:r>
      <w:r w:rsidRPr="008B1F13">
        <w:rPr>
          <w:bCs/>
        </w:rPr>
        <w:t xml:space="preserve"> </w:t>
      </w:r>
      <w:r w:rsidRPr="005B2444">
        <w:rPr>
          <w:bCs/>
        </w:rPr>
        <w:t>забезпечення</w:t>
      </w:r>
      <w:r w:rsidRPr="008B1F13">
        <w:rPr>
          <w:bCs/>
        </w:rPr>
        <w:t xml:space="preserve"> </w:t>
      </w:r>
      <w:r w:rsidRPr="005B2444">
        <w:rPr>
          <w:bCs/>
        </w:rPr>
        <w:t>цілісності</w:t>
      </w:r>
      <w:r w:rsidRPr="008B1F13">
        <w:rPr>
          <w:bCs/>
        </w:rPr>
        <w:t xml:space="preserve"> </w:t>
      </w:r>
      <w:r w:rsidRPr="005B2444">
        <w:rPr>
          <w:bCs/>
        </w:rPr>
        <w:t>права</w:t>
      </w:r>
      <w:r w:rsidRPr="008B1F13">
        <w:rPr>
          <w:bCs/>
        </w:rPr>
        <w:t xml:space="preserve"> </w:t>
      </w:r>
      <w:r w:rsidRPr="005B2444">
        <w:rPr>
          <w:bCs/>
        </w:rPr>
        <w:t>як</w:t>
      </w:r>
      <w:r w:rsidRPr="008B1F13">
        <w:rPr>
          <w:bCs/>
        </w:rPr>
        <w:t xml:space="preserve"> </w:t>
      </w:r>
      <w:r w:rsidRPr="005B2444">
        <w:rPr>
          <w:bCs/>
        </w:rPr>
        <w:t>фундаментальної</w:t>
      </w:r>
      <w:r w:rsidRPr="008B1F13">
        <w:rPr>
          <w:bCs/>
        </w:rPr>
        <w:t xml:space="preserve"> </w:t>
      </w:r>
      <w:r w:rsidRPr="005B2444">
        <w:rPr>
          <w:bCs/>
        </w:rPr>
        <w:t>умови</w:t>
      </w:r>
      <w:r w:rsidRPr="008B1F13">
        <w:rPr>
          <w:bCs/>
        </w:rPr>
        <w:t xml:space="preserve"> </w:t>
      </w:r>
      <w:r w:rsidRPr="005B2444">
        <w:rPr>
          <w:bCs/>
        </w:rPr>
        <w:t>стабільності</w:t>
      </w:r>
      <w:r w:rsidRPr="008B1F13">
        <w:rPr>
          <w:bCs/>
        </w:rPr>
        <w:t xml:space="preserve"> </w:t>
      </w:r>
      <w:r w:rsidRPr="005B2444">
        <w:rPr>
          <w:bCs/>
        </w:rPr>
        <w:t>держави</w:t>
      </w:r>
      <w:r w:rsidRPr="008B1F13">
        <w:rPr>
          <w:bCs/>
        </w:rPr>
        <w:t xml:space="preserve">, </w:t>
      </w:r>
      <w:r w:rsidRPr="005B2444">
        <w:rPr>
          <w:bCs/>
        </w:rPr>
        <w:t>зокрема</w:t>
      </w:r>
      <w:r w:rsidRPr="008B1F13">
        <w:rPr>
          <w:bCs/>
        </w:rPr>
        <w:t xml:space="preserve"> </w:t>
      </w:r>
      <w:r w:rsidRPr="005B2444">
        <w:rPr>
          <w:bCs/>
        </w:rPr>
        <w:t>через</w:t>
      </w:r>
      <w:r w:rsidRPr="008B1F13">
        <w:rPr>
          <w:bCs/>
        </w:rPr>
        <w:t xml:space="preserve"> </w:t>
      </w:r>
      <w:r w:rsidRPr="005B2444">
        <w:rPr>
          <w:bCs/>
        </w:rPr>
        <w:t>призму</w:t>
      </w:r>
      <w:r w:rsidRPr="008B1F13">
        <w:rPr>
          <w:bCs/>
        </w:rPr>
        <w:t xml:space="preserve"> </w:t>
      </w:r>
      <w:r w:rsidRPr="005B2444">
        <w:rPr>
          <w:bCs/>
        </w:rPr>
        <w:t>принципів</w:t>
      </w:r>
      <w:r w:rsidRPr="008B1F13">
        <w:rPr>
          <w:bCs/>
        </w:rPr>
        <w:t xml:space="preserve"> </w:t>
      </w:r>
      <w:r w:rsidRPr="005B2444">
        <w:rPr>
          <w:bCs/>
        </w:rPr>
        <w:t>верховенства</w:t>
      </w:r>
      <w:r w:rsidRPr="008B1F13">
        <w:rPr>
          <w:bCs/>
        </w:rPr>
        <w:t xml:space="preserve"> </w:t>
      </w:r>
      <w:r w:rsidRPr="005B2444">
        <w:rPr>
          <w:bCs/>
        </w:rPr>
        <w:t>права</w:t>
      </w:r>
      <w:r w:rsidRPr="008B1F13">
        <w:rPr>
          <w:bCs/>
        </w:rPr>
        <w:t xml:space="preserve">, </w:t>
      </w:r>
      <w:r w:rsidRPr="005B2444">
        <w:rPr>
          <w:bCs/>
        </w:rPr>
        <w:t>правової</w:t>
      </w:r>
      <w:r w:rsidRPr="008B1F13">
        <w:rPr>
          <w:bCs/>
        </w:rPr>
        <w:t xml:space="preserve"> </w:t>
      </w:r>
      <w:r w:rsidRPr="005B2444">
        <w:rPr>
          <w:bCs/>
        </w:rPr>
        <w:t>визначеності</w:t>
      </w:r>
      <w:r w:rsidRPr="008B1F13">
        <w:rPr>
          <w:bCs/>
        </w:rPr>
        <w:t xml:space="preserve">, </w:t>
      </w:r>
      <w:r w:rsidRPr="005B2444">
        <w:rPr>
          <w:bCs/>
        </w:rPr>
        <w:t>справедливості</w:t>
      </w:r>
      <w:r w:rsidRPr="008B1F13">
        <w:rPr>
          <w:bCs/>
        </w:rPr>
        <w:t xml:space="preserve"> </w:t>
      </w:r>
      <w:r w:rsidRPr="005B2444">
        <w:rPr>
          <w:bCs/>
        </w:rPr>
        <w:t>та</w:t>
      </w:r>
      <w:r w:rsidRPr="008B1F13">
        <w:rPr>
          <w:bCs/>
        </w:rPr>
        <w:t xml:space="preserve"> </w:t>
      </w:r>
      <w:r w:rsidRPr="005B2444">
        <w:rPr>
          <w:bCs/>
        </w:rPr>
        <w:t>ефективності</w:t>
      </w:r>
      <w:r w:rsidRPr="008B1F13">
        <w:rPr>
          <w:bCs/>
        </w:rPr>
        <w:t xml:space="preserve"> </w:t>
      </w:r>
      <w:r w:rsidRPr="005B2444">
        <w:rPr>
          <w:bCs/>
        </w:rPr>
        <w:t>публічного</w:t>
      </w:r>
      <w:r w:rsidRPr="008B1F13">
        <w:rPr>
          <w:bCs/>
        </w:rPr>
        <w:t xml:space="preserve"> </w:t>
      </w:r>
      <w:r w:rsidRPr="005B2444">
        <w:rPr>
          <w:bCs/>
        </w:rPr>
        <w:t>управління</w:t>
      </w:r>
      <w:r w:rsidRPr="008B1F13">
        <w:rPr>
          <w:bCs/>
        </w:rPr>
        <w:t>.</w:t>
      </w:r>
    </w:p>
    <w:p w:rsidR="00076275" w:rsidRPr="005B2444" w:rsidRDefault="00076275" w:rsidP="00076275">
      <w:pPr>
        <w:widowControl w:val="0"/>
        <w:rPr>
          <w:bCs/>
        </w:rPr>
      </w:pPr>
      <w:r w:rsidRPr="008B1F13">
        <w:rPr>
          <w:bCs/>
        </w:rPr>
        <w:tab/>
      </w:r>
      <w:r w:rsidRPr="005B2444">
        <w:rPr>
          <w:bCs/>
        </w:rPr>
        <w:t>У доповідях учасників розкрито актуальні проблеми правового регулювання в умовах цифрової трансформації, розвитку інформаційного суспільства та повоєнного відновлення України. Збірник становить науковий і практичний інтерес для дослідників, викладачів, аспірантів, правників-практиків і представників органів публічної влади, зацікавлених у розвитку сучасної правової доктрини та формуванні ефективної правової політики.</w:t>
      </w:r>
    </w:p>
    <w:p w:rsidR="00076275" w:rsidRPr="008B1F13" w:rsidRDefault="00076275" w:rsidP="00076275">
      <w:pPr>
        <w:tabs>
          <w:tab w:val="left" w:pos="2534"/>
        </w:tabs>
        <w:jc w:val="right"/>
        <w:rPr>
          <w:highlight w:val="yellow"/>
        </w:rPr>
      </w:pPr>
    </w:p>
    <w:p w:rsidR="00076275" w:rsidRPr="008B1F13" w:rsidRDefault="00076275" w:rsidP="00076275">
      <w:pPr>
        <w:tabs>
          <w:tab w:val="left" w:pos="2534"/>
        </w:tabs>
        <w:jc w:val="right"/>
        <w:rPr>
          <w:highlight w:val="yellow"/>
        </w:rPr>
      </w:pPr>
    </w:p>
    <w:p w:rsidR="00076275" w:rsidRDefault="00076275" w:rsidP="00076275">
      <w:pPr>
        <w:tabs>
          <w:tab w:val="left" w:pos="2534"/>
        </w:tabs>
        <w:jc w:val="right"/>
      </w:pPr>
      <w:r w:rsidRPr="005B2444">
        <w:rPr>
          <w:highlight w:val="yellow"/>
        </w:rPr>
        <w:t>УДК________</w:t>
      </w:r>
    </w:p>
    <w:p w:rsidR="00076275" w:rsidRPr="005B2444" w:rsidRDefault="00076275" w:rsidP="00076275">
      <w:pPr>
        <w:tabs>
          <w:tab w:val="left" w:pos="2534"/>
        </w:tabs>
      </w:pPr>
      <w:r w:rsidRPr="005B2444">
        <w:rPr>
          <w:highlight w:val="yellow"/>
        </w:rPr>
        <w:t>ISBN _______________________</w:t>
      </w:r>
    </w:p>
    <w:p w:rsidR="00076275" w:rsidRDefault="00076275" w:rsidP="00076275">
      <w:pPr>
        <w:tabs>
          <w:tab w:val="left" w:pos="2534"/>
        </w:tabs>
        <w:jc w:val="right"/>
      </w:pPr>
      <w:r w:rsidRPr="005B2444">
        <w:lastRenderedPageBreak/>
        <w:t>©</w:t>
      </w:r>
      <w:r>
        <w:t xml:space="preserve"> Міжнародний університет, 2026</w:t>
      </w:r>
    </w:p>
    <w:p w:rsidR="00076275" w:rsidRPr="00FD38BE" w:rsidRDefault="00076275" w:rsidP="00076275">
      <w:pPr>
        <w:spacing w:line="360" w:lineRule="auto"/>
        <w:ind w:firstLine="709"/>
        <w:jc w:val="center"/>
        <w:rPr>
          <w:b/>
          <w:i/>
          <w:sz w:val="28"/>
          <w:szCs w:val="28"/>
          <w:lang w:val="uk-UA"/>
        </w:rPr>
      </w:pPr>
      <w:r w:rsidRPr="00FD38BE">
        <w:rPr>
          <w:b/>
          <w:iCs/>
          <w:sz w:val="28"/>
          <w:szCs w:val="28"/>
          <w:lang w:val="uk-UA"/>
        </w:rPr>
        <w:t>ЕТИЧНІ СКЛАДОВІ ПРОФЕСІЙНОЇ КУЛЬТУРИ АДВОКАТА</w:t>
      </w:r>
    </w:p>
    <w:p w:rsidR="00076275" w:rsidRPr="00FD38BE" w:rsidRDefault="00076275" w:rsidP="00076275">
      <w:pPr>
        <w:spacing w:line="360" w:lineRule="auto"/>
        <w:ind w:firstLine="709"/>
        <w:jc w:val="center"/>
        <w:rPr>
          <w:b/>
          <w:i/>
          <w:sz w:val="28"/>
          <w:szCs w:val="28"/>
          <w:lang w:val="uk-UA"/>
        </w:rPr>
      </w:pPr>
      <w:r w:rsidRPr="00FD38BE">
        <w:rPr>
          <w:b/>
          <w:i/>
          <w:sz w:val="28"/>
          <w:szCs w:val="28"/>
          <w:lang w:val="uk-UA"/>
        </w:rPr>
        <w:t>Андрєєва Д. О.</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 xml:space="preserve">Студентка ІІ курсу магістратури, </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спеціальність 081 «Право»,</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Міжнародний університет,</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м. Одеса, Україна</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Проблеми етичних вимог до адвокатів і адвокатської діяльності були та залишаються предметом жвавих дискусій як серед науковців, так і практикуючих адвокатів. Теоретико-прикладні праці таких українських правників, як В. Д.  Бабкін, Н.  М.  Бакаянова, А.  М.  Бірюкова, А.  Ю.  Бойчук, С. В.  Бобровник, Т. В. Варфоломєєва, І. Ю.  Гловацький, В. А. Єлов, Я. П. Зейкан, С. С. Калинюк, І. О. Кісліцина, М. С. Косенко, О. І. Марочкін, О. Г. Мурашин, Н. М. Обрізан, Н.  М.  Оніщенко, В.  Ф.  Погорілко, В.  М.  Свінціцький, В. О.  Святоцька, О. С.  Святоцький, І. Я.  Семенюк, О.  В.  Синеокий, С. С.  Сливка, Л. В.  Тацій, О. Д.  Тихомиров, О. О. Шандула, О. В. Щербанюк, О. Г. Яновська та багатьох інших учених і практиків-адвокатів створили певне підґрунтя дослідження. Разом із тим залишається проблема встановлення конкретних етичних вимог до взаємного спілкування адвоката з клієнтом.</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Вимоги до етичної взаємодії адвоката з клієнтом зафіксовані в Правилах адвокатської етики. Варто відзначити, що нормативні приписи цих Правил не відміняють та не замінюють положень чинного законодавства про адвокатуру й адвокатську діяльність, а навпаки доповнює та конкретизує його. Правила поширюються на: 1)</w:t>
      </w:r>
      <w:r w:rsidRPr="00FD38BE">
        <w:rPr>
          <w:sz w:val="28"/>
          <w:szCs w:val="28"/>
        </w:rPr>
        <w:t> </w:t>
      </w:r>
      <w:r w:rsidRPr="00FD38BE">
        <w:rPr>
          <w:sz w:val="28"/>
          <w:szCs w:val="28"/>
          <w:lang w:val="uk-UA"/>
        </w:rPr>
        <w:t>всі види адвокатської діяльності та в частині, визначеній Правилами, –</w:t>
      </w:r>
      <w:r w:rsidRPr="00FD38BE">
        <w:rPr>
          <w:sz w:val="28"/>
          <w:szCs w:val="28"/>
        </w:rPr>
        <w:t> </w:t>
      </w:r>
      <w:r w:rsidRPr="00FD38BE">
        <w:rPr>
          <w:sz w:val="28"/>
          <w:szCs w:val="28"/>
          <w:lang w:val="uk-UA"/>
        </w:rPr>
        <w:t>на іншу діяльність (дії) адвоката, в тому числі соціально-публічну діяльність адвоката, яка може вступити в суперечність з професійними обов’язками адвоката або підірвати престиж адвокатської професії; 2)</w:t>
      </w:r>
      <w:r w:rsidRPr="00FD38BE">
        <w:rPr>
          <w:sz w:val="28"/>
          <w:szCs w:val="28"/>
        </w:rPr>
        <w:t> </w:t>
      </w:r>
      <w:r w:rsidRPr="00FD38BE">
        <w:rPr>
          <w:sz w:val="28"/>
          <w:szCs w:val="28"/>
          <w:lang w:val="uk-UA"/>
        </w:rPr>
        <w:t>всіх адвокатів України, адвокатів іноземних держав, що внесені до Єдиного реєстру адвокатів України, а так само адвокатів України, право на зайняття адвокатською діяльністю яких зупинено в передбаченому законом порядку; 3)</w:t>
      </w:r>
      <w:r w:rsidRPr="00FD38BE">
        <w:rPr>
          <w:sz w:val="28"/>
          <w:szCs w:val="28"/>
        </w:rPr>
        <w:t> </w:t>
      </w:r>
      <w:r w:rsidRPr="00FD38BE">
        <w:rPr>
          <w:sz w:val="28"/>
          <w:szCs w:val="28"/>
          <w:lang w:val="uk-UA"/>
        </w:rPr>
        <w:t xml:space="preserve"> адвокатів – членів органів адвокатського самоврядування, помічників і </w:t>
      </w:r>
      <w:r w:rsidRPr="00FD38BE">
        <w:rPr>
          <w:sz w:val="28"/>
          <w:szCs w:val="28"/>
          <w:lang w:val="uk-UA"/>
        </w:rPr>
        <w:lastRenderedPageBreak/>
        <w:t>стажистів адвокатів, інших осіб, які перебувають у трудових відносинах з адвокатом (адвокатським бюро, адвокатським об’єднанням) у частині, яка застосовна до їх діяльності; 4)</w:t>
      </w:r>
      <w:r w:rsidRPr="00FD38BE">
        <w:rPr>
          <w:sz w:val="28"/>
          <w:szCs w:val="28"/>
        </w:rPr>
        <w:t> </w:t>
      </w:r>
      <w:r w:rsidRPr="00FD38BE">
        <w:rPr>
          <w:sz w:val="28"/>
          <w:szCs w:val="28"/>
          <w:lang w:val="uk-UA"/>
        </w:rPr>
        <w:t>відносини, що виникли або існують після їх прийняття [7].</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Людина, яка звернулася за професійною допомогою до адвоката повинна їй довіряти, а довіру в свою чергу треба заслужити. Невід’ємною частиною довірчих взаємовідносин адвоката і його клієнта є конфіденційність і похідна від неї професійна таємниця, це незмінні атрибути адвокатської діяльності. Без реалізації засади конфіденційності не можлива повна довіра між адвокатом та довірителем, а без дотримання адвокатської таємниці не можливий дієвий захист </w:t>
      </w:r>
      <w:r w:rsidRPr="00FD38BE">
        <w:rPr>
          <w:sz w:val="28"/>
          <w:szCs w:val="28"/>
        </w:rPr>
        <w:t>[</w:t>
      </w:r>
      <w:r w:rsidRPr="00FD38BE">
        <w:rPr>
          <w:sz w:val="28"/>
          <w:szCs w:val="28"/>
          <w:lang w:val="uk-UA"/>
        </w:rPr>
        <w:t>1</w:t>
      </w:r>
      <w:r w:rsidRPr="00FD38BE">
        <w:rPr>
          <w:sz w:val="28"/>
          <w:szCs w:val="28"/>
        </w:rPr>
        <w:t>, c. 149–154]</w:t>
      </w:r>
      <w:r w:rsidRPr="00FD38BE">
        <w:rPr>
          <w:sz w:val="28"/>
          <w:szCs w:val="28"/>
          <w:lang w:val="uk-UA"/>
        </w:rPr>
        <w:t>.</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Розголошення відомостей, що складають адвокатську таємницю, заборонено за будь яких обставин, включаючи незаконні спроби органів досудового розслідування допитати  адвоката про обставини,які відносяться до адвокатської таємниці [6].</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Закон України «Про адвокатуру та адвокатську діяльність» від 05.07.2012 № 5076-</w:t>
      </w:r>
      <w:r w:rsidRPr="00FD38BE">
        <w:rPr>
          <w:sz w:val="28"/>
          <w:szCs w:val="28"/>
          <w:lang w:val="en-US"/>
        </w:rPr>
        <w:t>VI</w:t>
      </w:r>
      <w:r w:rsidRPr="00FD38BE">
        <w:rPr>
          <w:sz w:val="28"/>
          <w:szCs w:val="28"/>
          <w:lang w:val="uk-UA"/>
        </w:rPr>
        <w:t xml:space="preserve"> (далі – Закон №</w:t>
      </w:r>
      <w:r w:rsidRPr="00FD38BE">
        <w:rPr>
          <w:sz w:val="28"/>
          <w:szCs w:val="28"/>
          <w:lang w:val="en-US"/>
        </w:rPr>
        <w:t> </w:t>
      </w:r>
      <w:r w:rsidRPr="00FD38BE">
        <w:rPr>
          <w:sz w:val="28"/>
          <w:szCs w:val="28"/>
          <w:lang w:val="uk-UA"/>
        </w:rPr>
        <w:t>5076-</w:t>
      </w:r>
      <w:r w:rsidRPr="00FD38BE">
        <w:rPr>
          <w:sz w:val="28"/>
          <w:szCs w:val="28"/>
          <w:lang w:val="en-US"/>
        </w:rPr>
        <w:t>VI</w:t>
      </w:r>
      <w:r w:rsidRPr="00FD38BE">
        <w:rPr>
          <w:sz w:val="28"/>
          <w:szCs w:val="28"/>
          <w:lang w:val="uk-UA"/>
        </w:rPr>
        <w:t>) у п.</w:t>
      </w:r>
      <w:r w:rsidRPr="00FD38BE">
        <w:rPr>
          <w:sz w:val="28"/>
          <w:szCs w:val="28"/>
          <w:lang w:val="en-US"/>
        </w:rPr>
        <w:t> </w:t>
      </w:r>
      <w:r w:rsidRPr="00FD38BE">
        <w:rPr>
          <w:sz w:val="28"/>
          <w:szCs w:val="28"/>
          <w:lang w:val="uk-UA"/>
        </w:rPr>
        <w:t xml:space="preserve"> 2 ч.</w:t>
      </w:r>
      <w:r w:rsidRPr="00FD38BE">
        <w:rPr>
          <w:sz w:val="28"/>
          <w:szCs w:val="28"/>
          <w:lang w:val="en-US"/>
        </w:rPr>
        <w:t> </w:t>
      </w:r>
      <w:r w:rsidRPr="00FD38BE">
        <w:rPr>
          <w:sz w:val="28"/>
          <w:szCs w:val="28"/>
          <w:lang w:val="uk-UA"/>
        </w:rPr>
        <w:t xml:space="preserve"> 1 ст.</w:t>
      </w:r>
      <w:r w:rsidRPr="00FD38BE">
        <w:rPr>
          <w:sz w:val="28"/>
          <w:szCs w:val="28"/>
          <w:lang w:val="en-US"/>
        </w:rPr>
        <w:t> </w:t>
      </w:r>
      <w:r w:rsidRPr="00FD38BE">
        <w:rPr>
          <w:sz w:val="28"/>
          <w:szCs w:val="28"/>
          <w:lang w:val="uk-UA"/>
        </w:rPr>
        <w:t xml:space="preserve"> 1 визначає, що адвокатською діяльністю є незалежна професійна діяльність адвоката щодо здійснення захисту, представництва та надання інших видів правничої допомоги клієнту [8].</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У власній професійній діяльності особа, яка отримала свідоцтво про право на заняття адвокатською діяльністю та склала перед радою адвокатів регіону присягу адвоката України, не лише має керуватися нормами чинного законодавства, але дотримуватися певних етичних правил, ураховуючи морально-психологічні моменти.</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Як процесуальний представник адвокат має приділяти максимальну увагу захисту не яких-будь, а саме законних інтересів, прав і свобод свого клієнта в суді. З одного боку, він допомагає суду об’єктивно з’ясувати всі обставини відповідного провадження й ухвалити законне, вмотивоване та справедливе рішення; з іншого – надає професійну правничу (правову) допомогу людині, що опинилася в складній життєвій ситуації. При цьому правова допомога </w:t>
      </w:r>
      <w:r w:rsidRPr="00FD38BE">
        <w:rPr>
          <w:sz w:val="28"/>
          <w:szCs w:val="28"/>
          <w:lang w:val="uk-UA"/>
        </w:rPr>
        <w:lastRenderedPageBreak/>
        <w:t>розглядається як вид правозахисної діяльності, один з головних інструментів громадського контролю за діяльністю публічної влади [5, с. 110].</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Стаття 27 Правил зобов’язує адвоката кожному дорученню, незалежно від розміру погодженого з клієнтом гонорару, приділяти розумно необхідну для його успішного виконання увагу. Під час виконання доручення адвокат зобов’язаний використати всі розумно необхідні та доступні йому законні засоби для надання дієвої відповідної допомоги клієнту, здійснення його захисту або представництва. Адвокат має намагатися оперативно виконувати доручення клієнта, визначені в договорі про надання правничої допомоги, додержуватися при цьому всіх інших вимог згідно із положеннями закону та Правил [7].</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 «Час і порада юриста – це його товар», - говорив колись з цього приводу Авраам Лінкольн. у кримінальній справі довіряють не просто інтереси, а долю людини, тобто найбільшу її цінність. І це зобов'язує адвоката прагнути до вершин професіоналізму і кваліфікованої роботи, незалежно від гонорару, на який очікує адвокат.</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Скромність і помірність у гонорарних питаннях не зроблять адвоката бідним. Не в грошах щастя, але в них щось таке є, як кажуть в Англії. Втім подивіться, хто перед вами сидить. І пам'ятайте, що адвокатура не просто засіб для заробляння грошей. Адвокатура є служіння громадське, писав видатний російський юрист А. Ф. Коні. Життя показує: якщо адвокат працює добросовісно і з повною віддачею, гроші завжди приходять самі собою. Адже адвокат не програє справ, справи програє його довіритель. Адвокат, навіть у випадку програшу справи, одержує певний гонорар. І слід пам'ятати, що мудра людина не робить іншим того, чого не бажає, щоб робили їй (Конфуцій) [4].</w:t>
      </w:r>
      <w:r w:rsidRPr="00FD38BE">
        <w:rPr>
          <w:rFonts w:eastAsiaTheme="minorHAnsi"/>
          <w:sz w:val="28"/>
          <w:szCs w:val="28"/>
          <w:lang w:val="uk-UA" w:eastAsia="en-US"/>
        </w:rPr>
        <w:t xml:space="preserve"> </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Адвокат не вправі користуватися засобами або радити їх довірителю, якщо вони заборонені правовими й етичними нормами. Адвокат може та навіть повинен користуватися наявними прогалинами та суперечностями чинного законодавства, якщо таке є доцільним в інтересах захисту, причому, не порушуючи правил адвокатської етики.</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lastRenderedPageBreak/>
        <w:t>Засоби захисту за своїм змістовним навантаженням мають бути етичними, тобто відповідати вимогам моральності та судової етики, так само і під час прийняття справи до свого провадження адвокат зобов’язаний дотримуватися норм професійної етики.</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Варто пам’ятати, що рівень довіри до адвоката різко знижується, якщо ним не зберігається професійна таємниця. Адвокат не вправі розголошувати відомості, що йому стали відомі в зв’язку з виконанням обов’язків захисника (представника) законних інтересів клієнта. Розголошення адвокатом відомостей, що становлять предмет адвокатської таємниці, без належних легальних підстав і без погодження з клієнтом є дисциплінарним проступком, що може спричинити накладення на адвоката дисциплінарного стягнення незалежно від того, чи настали внаслідок такого розголошення негативні наслідки для клієнта [2, с. 18].</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На першому місці для адвоката при виконанні своїх професійних обов’язків має бути порядність. Завжди треба пам’ятати, що людина котра звернулася за правовою допомогою до адвоката довіряє йому не тільки таємниці свого особистого життя, а й своє майбутнє. Також порядний адвокат робитиме усе для того щоб фраза «право є мистецтвом добра і справедливості» була не лише гарним лозунгом, а й відображалася в будь-яких його діях та підтверджувалася досвідом. </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Отже, сумління, чесність, дбайливість адвоката-захисника щодо відновлення порушених прав і відстоювання законних інтересів клієнта – необхідний етичний фундамент його поведінкових актів. Так, чесність та порядність в діяльності адвоката, в поєднанні з професійною незалежністю. В.  В.  Заборовський і Ю.  М.  Бисага визнають необхідними умовами, які забезпечать належний рівень довіри клієнта до адвоката [3, с. 144–151].</w:t>
      </w:r>
    </w:p>
    <w:p w:rsidR="00076275" w:rsidRDefault="00076275" w:rsidP="00076275">
      <w:pPr>
        <w:pStyle w:val="a7"/>
        <w:spacing w:line="360" w:lineRule="auto"/>
        <w:ind w:left="0" w:firstLine="709"/>
        <w:jc w:val="center"/>
        <w:rPr>
          <w:b/>
          <w:bCs/>
          <w:sz w:val="28"/>
          <w:szCs w:val="28"/>
          <w:lang w:val="uk-UA"/>
        </w:rPr>
      </w:pPr>
    </w:p>
    <w:p w:rsidR="00076275" w:rsidRPr="00FD38BE" w:rsidRDefault="00076275" w:rsidP="00076275">
      <w:pPr>
        <w:pStyle w:val="a7"/>
        <w:spacing w:line="360" w:lineRule="auto"/>
        <w:ind w:left="0" w:firstLine="709"/>
        <w:jc w:val="center"/>
        <w:rPr>
          <w:b/>
          <w:bCs/>
          <w:sz w:val="28"/>
          <w:szCs w:val="28"/>
          <w:lang w:val="uk-UA"/>
        </w:rPr>
      </w:pPr>
      <w:r w:rsidRPr="00FD38BE">
        <w:rPr>
          <w:b/>
          <w:bCs/>
          <w:sz w:val="28"/>
          <w:szCs w:val="28"/>
          <w:lang w:val="uk-UA"/>
        </w:rPr>
        <w:t>СПИСОК ВИКОРИСТАНИХ ДЖЕРЕЛ</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 xml:space="preserve">Бірюкова А.М. Довіра як етична основа відносин адвоката з клієнтом (міжнародний та вітчизняний вимір). </w:t>
      </w:r>
      <w:r w:rsidRPr="00FD38BE">
        <w:rPr>
          <w:i/>
          <w:iCs/>
          <w:sz w:val="28"/>
          <w:szCs w:val="28"/>
          <w:lang w:val="uk-UA"/>
        </w:rPr>
        <w:t>Вісник кримінального судочинства</w:t>
      </w:r>
      <w:r w:rsidRPr="00FD38BE">
        <w:rPr>
          <w:sz w:val="28"/>
          <w:szCs w:val="28"/>
          <w:lang w:val="uk-UA"/>
        </w:rPr>
        <w:t>. 2017. № 3. С. 149-154.</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lastRenderedPageBreak/>
        <w:t xml:space="preserve">Бондар І. В., Басюк Ю. М. Адвокатська таємниця як гарантія конфіденційного спілкування адвоката з клієнтом. </w:t>
      </w:r>
      <w:r w:rsidRPr="00FD38BE">
        <w:rPr>
          <w:i/>
          <w:iCs/>
          <w:sz w:val="28"/>
          <w:szCs w:val="28"/>
          <w:lang w:val="uk-UA"/>
        </w:rPr>
        <w:t>Правова держава</w:t>
      </w:r>
      <w:r w:rsidRPr="00FD38BE">
        <w:rPr>
          <w:sz w:val="28"/>
          <w:szCs w:val="28"/>
          <w:lang w:val="uk-UA"/>
        </w:rPr>
        <w:t>. 2023. № 49. С. 11–19.</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 xml:space="preserve">Заборовський В. В., Бисага Ю. М. Професійні обов’язки як необхідний елемент структури правового статусу адвоката. </w:t>
      </w:r>
      <w:r w:rsidRPr="00FD38BE">
        <w:rPr>
          <w:i/>
          <w:iCs/>
          <w:sz w:val="28"/>
          <w:szCs w:val="28"/>
          <w:lang w:val="uk-UA"/>
        </w:rPr>
        <w:t>Науковий вісник Ужгородського національного університету. Серія : Право</w:t>
      </w:r>
      <w:r w:rsidRPr="00FD38BE">
        <w:rPr>
          <w:sz w:val="28"/>
          <w:szCs w:val="28"/>
          <w:lang w:val="uk-UA"/>
        </w:rPr>
        <w:t>. - 2017. - Вип. 45(2). - С. 144-151.</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Зейкан Я., Сафулько С. Настільна книга адвокатів у кримінальній справі.URL:https://pidru4niki.com/1977041355292/pravo/nastilna_kniga_advokata_u_kriminalniy_spravi (дата звернення: 26.01.2024).</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Калинюк С. С. Інститут адвокатури в механізмі реалізації права людини і громадянина на правову допомогу: конституційно-правовий аспект : дис. … канд. юрид. наук. 12.00.02. Ужгород, 2015. 203 с.</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Лебідь Л. Що являє собою професія «адвокат» та як вона з’явилася. URL:https://yur-gazeta.com/publications/practice/inshe/advokat--klient-.html   (дата звернення: 26.01.2024).</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Правила адвокатської етики : затв. Звітно-виборним з’їздом адвокатів України 09 червня 2017 року. URL : https://zakon.rada.gov. ua/rada/show/n0001891-17#Text (дата звернення: 26.01.2024).</w:t>
      </w:r>
    </w:p>
    <w:p w:rsidR="00076275" w:rsidRPr="00FD38BE" w:rsidRDefault="00076275" w:rsidP="00076275">
      <w:pPr>
        <w:pStyle w:val="ae"/>
        <w:numPr>
          <w:ilvl w:val="0"/>
          <w:numId w:val="1"/>
        </w:numPr>
        <w:spacing w:line="360" w:lineRule="auto"/>
        <w:ind w:left="0" w:firstLine="709"/>
        <w:jc w:val="both"/>
        <w:rPr>
          <w:sz w:val="28"/>
          <w:szCs w:val="28"/>
          <w:lang w:val="uk-UA"/>
        </w:rPr>
      </w:pPr>
      <w:r w:rsidRPr="00FD38BE">
        <w:rPr>
          <w:sz w:val="28"/>
          <w:szCs w:val="28"/>
          <w:lang w:val="uk-UA"/>
        </w:rPr>
        <w:t>Про адвокатуру та адвокатську діяльність : Закон України від 05.07.2012 № 5076-VI. Офіційний вісник України. 2012. № 62. Cт. 2509</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p>
    <w:p w:rsidR="00076275" w:rsidRDefault="00076275" w:rsidP="00076275">
      <w:pPr>
        <w:spacing w:line="360" w:lineRule="auto"/>
        <w:ind w:firstLine="709"/>
        <w:jc w:val="center"/>
        <w:rPr>
          <w:b/>
          <w:bCs/>
          <w:sz w:val="28"/>
          <w:szCs w:val="28"/>
          <w:lang w:val="uk-UA"/>
        </w:rPr>
      </w:pPr>
    </w:p>
    <w:p w:rsidR="00076275" w:rsidRPr="00FD38BE" w:rsidRDefault="00076275" w:rsidP="00076275">
      <w:pPr>
        <w:spacing w:line="360" w:lineRule="auto"/>
        <w:ind w:firstLine="709"/>
        <w:jc w:val="center"/>
        <w:rPr>
          <w:b/>
          <w:bCs/>
          <w:sz w:val="28"/>
          <w:szCs w:val="28"/>
          <w:lang w:val="uk-UA"/>
        </w:rPr>
      </w:pPr>
      <w:r w:rsidRPr="00FD38BE">
        <w:rPr>
          <w:b/>
          <w:bCs/>
          <w:sz w:val="28"/>
          <w:szCs w:val="28"/>
          <w:lang w:val="uk-UA"/>
        </w:rPr>
        <w:t>НОРМАТИВНО-ПРАВОВІ ЗАСАДИ ПРОТИДІЇ ІНФОРМАЦІЙНІЙ ВІЙНІ В ЦИФРОВОМУ СУСПІЛЬСТВІ</w:t>
      </w:r>
    </w:p>
    <w:p w:rsidR="00076275" w:rsidRPr="00FD38BE" w:rsidRDefault="00076275" w:rsidP="00076275">
      <w:pPr>
        <w:spacing w:line="360" w:lineRule="auto"/>
        <w:ind w:firstLine="709"/>
        <w:jc w:val="center"/>
        <w:rPr>
          <w:b/>
          <w:bCs/>
          <w:i/>
          <w:iCs/>
          <w:sz w:val="28"/>
          <w:szCs w:val="28"/>
          <w:lang w:val="uk-UA"/>
        </w:rPr>
      </w:pPr>
      <w:r w:rsidRPr="00FD38BE">
        <w:rPr>
          <w:b/>
          <w:bCs/>
          <w:i/>
          <w:iCs/>
          <w:sz w:val="28"/>
          <w:szCs w:val="28"/>
          <w:lang w:val="uk-UA"/>
        </w:rPr>
        <w:t>Атаманова Н. В.</w:t>
      </w:r>
    </w:p>
    <w:p w:rsidR="00076275" w:rsidRPr="00FD38BE" w:rsidRDefault="00076275" w:rsidP="00076275">
      <w:pPr>
        <w:spacing w:line="360" w:lineRule="auto"/>
        <w:ind w:firstLine="709"/>
        <w:jc w:val="center"/>
        <w:rPr>
          <w:i/>
          <w:iCs/>
          <w:sz w:val="28"/>
          <w:szCs w:val="28"/>
          <w:lang w:val="uk-UA"/>
        </w:rPr>
      </w:pPr>
      <w:r w:rsidRPr="00FD38BE">
        <w:rPr>
          <w:i/>
          <w:iCs/>
          <w:sz w:val="28"/>
          <w:szCs w:val="28"/>
          <w:lang w:val="uk-UA"/>
        </w:rPr>
        <w:t xml:space="preserve">кандидат юридичних наук, доцент кафедри державно-правових дисциплін Міжнародного  університету, </w:t>
      </w:r>
    </w:p>
    <w:p w:rsidR="00076275" w:rsidRPr="00FD38BE" w:rsidRDefault="00076275" w:rsidP="00076275">
      <w:pPr>
        <w:spacing w:line="360" w:lineRule="auto"/>
        <w:ind w:firstLine="709"/>
        <w:jc w:val="center"/>
        <w:rPr>
          <w:i/>
          <w:iCs/>
          <w:sz w:val="28"/>
          <w:szCs w:val="28"/>
          <w:lang w:val="uk-UA"/>
        </w:rPr>
      </w:pPr>
      <w:r w:rsidRPr="00FD38BE">
        <w:rPr>
          <w:i/>
          <w:iCs/>
          <w:sz w:val="28"/>
          <w:szCs w:val="28"/>
          <w:lang w:val="uk-UA"/>
        </w:rPr>
        <w:t>м. Одеса, Україна</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Сучасна міжнародна система перебуває у стані глибокої турбулентності, що характеризується зростанням міждержавної напруженості, фрагментацією </w:t>
      </w:r>
      <w:r w:rsidRPr="00FD38BE">
        <w:rPr>
          <w:sz w:val="28"/>
          <w:szCs w:val="28"/>
          <w:shd w:val="clear" w:color="auto" w:fill="FFFFFF"/>
          <w:lang w:val="uk-UA"/>
        </w:rPr>
        <w:lastRenderedPageBreak/>
        <w:t>безпекового середовища та посиленням регіональних конфліктів. Повномасштабна війна росії проти України, розпочата у 2022 році, війна в секторі Газа та ширший регіональний конфлікт на Близькому Сході після подій жовтня 2023 року, затяжна громадянська війна в Судані, ескалація насильства та фрагментація державного контролю в М’янмі, а також масштабна військова операція проти Ірану наприкінці лютого 2026 року, яка супроводжувалася ударами по військових і ядерних об’єктах та вибухами у Тегерані й інших містах, засвідчують, що силовий компонент знову став одним із ключових засобів реалізації воєнно-політичних цілей держав у різних регіонах світу. Водночас змінилася сама природа воєнного протистояння. Протягом останніх десятиліть поняття «війна» зазнало суттєвої еволюції: воєнно-політичні цілі залишаються пріоритетними, однак засоби їх досягнення, коло суб’єктів конфлікту та простір ведення бойових дій докорінно трансформувалися.</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Традиційна модель війни, яка ґрунтувалася переважно на прямому збройному зіткненні регулярних армій, поступово доповнюється і навіть заміщується нетрадиційними форматами протиборства, що здійснюються шляхом використання некінетичних і нефізичних методів впливу. </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У XXI столітті поряд із застосуванням військової сили дедалі більшого значення набувають інструменти непрямого впливу, спрямовані на досягнення стану керованої дестабілізації, вплив на процеси прийняття рішень, трансформацію політичної волі та зміну стратегічної орієнтації держави без формального оголошення війни. Така трансформація воєнного протиборства безпосередньо пов’язана з процесами диджиталізації, оскільки саме цифрове середовище забезпечує масштабованість і швидкість впливу. Як зазначає д.ю.н., доцент Д. Г. Манько: «Характерною ознакою сучасного етапу диджиталізації є те, що комунікації стають гетерогенними: вертикальна, ієрархічна комунікація втрачає актуальність, відбувається перехід до мережевої структури комунікації» [1, </w:t>
      </w:r>
      <w:r w:rsidRPr="00FD38BE">
        <w:rPr>
          <w:sz w:val="28"/>
          <w:szCs w:val="28"/>
          <w:shd w:val="clear" w:color="auto" w:fill="FFFFFF"/>
          <w:lang w:val="en-US"/>
        </w:rPr>
        <w:t>c</w:t>
      </w:r>
      <w:r w:rsidRPr="00FD38BE">
        <w:rPr>
          <w:sz w:val="28"/>
          <w:szCs w:val="28"/>
          <w:shd w:val="clear" w:color="auto" w:fill="FFFFFF"/>
          <w:lang w:val="uk-UA"/>
        </w:rPr>
        <w:t>. 161]. Саме така мережевість створює сприятливі умови для реалізації непрямих механізмів впливу, ускладнює ідентифікацію джерел інформаційної агресії та підвищує ефективність маніпулятивних стратегій у сучасних конфліктах.</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lastRenderedPageBreak/>
        <w:t>Варто відмітити, що пряме військове зіткнення все частіше поступається безконтактним маніпулятивним технікам, які дозволяють зберігати зовнішню «невидимість» активної сторони конфлікту. Йдеться про застосування неочевидних та нерідко неусвідомлюваних заходів впливу, спрямованих на підпорядкування, послаблення або дезорганізацію державних інститутів, управління внутрішніми процесами ззовні, формування залежних політичних рішень, а інколи – зміну територіального чи політичного статусу.</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Особливістю сучасних конфліктів є зміщення акценту з фізичного знищення на ментальне, інституційне та ціннісне послаблення. Значно більш ефективним у довгостроковій перспективі виявляється поступове руйнування довіри до органів публічної влади, дестабілізація соціальної структури, фрагментація суспільства та трансформація колективної ідентичності [2, </w:t>
      </w:r>
      <w:r w:rsidRPr="00FD38BE">
        <w:rPr>
          <w:sz w:val="28"/>
          <w:szCs w:val="28"/>
          <w:shd w:val="clear" w:color="auto" w:fill="FFFFFF"/>
          <w:lang w:val="en-US"/>
        </w:rPr>
        <w:t>c</w:t>
      </w:r>
      <w:r w:rsidRPr="00FD38BE">
        <w:rPr>
          <w:sz w:val="28"/>
          <w:szCs w:val="28"/>
          <w:shd w:val="clear" w:color="auto" w:fill="FFFFFF"/>
          <w:lang w:val="uk-UA"/>
        </w:rPr>
        <w:t>. 85]. За таких умов об’єкт впливу може зберігати формальну самостійність прийняття рішень, тоді як фактичні орієнтири визначаються зовнішніми інформаційними потоками.</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У цьому контексті особливого значення набувають інформаційно-комунікаційні технології, які формують ядро війни нового покоління. Вони виступають інструментом досягнення воєнно-політичних цілей через вплив на свідомість, поведінку та інституційні механізми функціонування держави. Культурний та гуманітарний простір дедалі частіше стає ареною протиборства, у межах якого застосовуються невійськові засоби для досягнення стратегічних результатів.</w:t>
      </w:r>
      <w:r w:rsidRPr="00FD38BE">
        <w:rPr>
          <w:sz w:val="28"/>
          <w:szCs w:val="28"/>
          <w:shd w:val="clear" w:color="auto" w:fill="FFFFFF"/>
        </w:rPr>
        <w:t xml:space="preserve"> </w:t>
      </w:r>
      <w:r w:rsidRPr="00FD38BE">
        <w:rPr>
          <w:sz w:val="28"/>
          <w:szCs w:val="28"/>
          <w:shd w:val="clear" w:color="auto" w:fill="FFFFFF"/>
          <w:lang w:val="uk-UA"/>
        </w:rPr>
        <w:t>Інформаційна війна у цьому розумінні є сукупністю наступально-оборонних операцій, що здійснюються із використанням інформаційно-комунікаційних технологій з метою досягнення воєнних і політичних цілей. У межах такої діяльності можна виокремити два взаємопов’язані виміри – інформаційно-психологічний та інформаційно-технічний.</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Інформаційно-психологічний вплив спрямований на формування необхідних наративів, зміну суспільних установок, маніпуляцію громадською думкою, делегітимацію інститутів державної влади та послаблення суспільної консолідації. У соціально-правовому аспекті саме цей вимір є визначальним, </w:t>
      </w:r>
      <w:r w:rsidRPr="00FD38BE">
        <w:rPr>
          <w:sz w:val="28"/>
          <w:szCs w:val="28"/>
          <w:shd w:val="clear" w:color="auto" w:fill="FFFFFF"/>
          <w:lang w:val="uk-UA"/>
        </w:rPr>
        <w:lastRenderedPageBreak/>
        <w:t>оскільки його об’єктом виступає людина, її свідомість, система цінностей і політична поведінка.</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Інформаційно-технічний вплив охоплює кібероперації, втручання в інформаційні системи, атаки на критичну інфраструктуру, використання цифрових алгоритмів поширення контенту та інші технологічні засоби. Хоча цей компонент перебуває у сфері компетенції технічних фахівців, його наслідки мають безпосереднє юридичне значення – впливають на функціонування державних органів, обороноздатність, економічну стабільність та реалізацію прав людини.</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Сучасне нормативно-правове забезпечення протидії інформаційній війні в Україні, ґрунтується на системі актів різної юридичної сили, що визначають межі допустимого втручання держави в інформаційну сферу, повноваження суб’єктів безпеки та види юридичної відповідальності за посягання на інформаційну безпеку. У цьому контексті визначальне значення мають положення Конституції України [3], зокрема стаття 17, яка покладає на державу обов’язок забезпечувати захист суверенітету і територіальної цілісності, та стаття 34, що гарантує свободу думки і слова і водночас допускає встановлення законом обмежень в інтересах національної безпеки, територіальної цілісності та громадського порядку. Саме поєднання цих приписів формує правову основу для встановлення спеціальних режимів реагування на інформаційні загрози в умовах воєнного стану.</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Подальша конкретизація відповідних повноважень міститься у Законі України від 21 червня 2018 р. № 2469-VIII «Про національну безпеку України» [4], який відносить інформаційну безпеку до складових національної безпеки та передбачає координацію діяльності суб’єктів сектору безпеки і оборони щодо протидії загрозам в інформаційному просторі. Нормативну спрямованість державної політики деталізує Стратегія інформаційної безпеки, введена в дію Указом Президента України № 187/2021 [5], яка визначає дезінформацію, маніпулятивні інформаційні кампанії та інформаційно-психологічні впливи як загрози національним інтересам і передбачає комплекс заходів з їх нейтралізації.</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lastRenderedPageBreak/>
        <w:t>Примітно, що в умовах сучасних конфліктів інформація розглядається не лише як об’єкт реалізації конституційного права на свободу слова, а і як стратегічний ресурс, здатний впливати на безпекову стабільність держави, політичні процеси та суспільну консолідацію. Саме тому законодавче регулювання обігу інформації набуває системного безпекового змісту. Закон України від 2 жовтня 1992 р. № 2657-XII «Про інформацію» [6], встановлює правові режими інформації, порядок її поширення та підстави обмеження доступу до відомостей, розповсюдження яких може завдати шкоди безпеці держави. У поєднанні з положеннями Закону України від 13 січня 2011 р. № 2939-VI «Про доступ до публічної інформації» [7], ці норми визначають межі реалізації інформаційних прав в умовах воєнної загрози, зокрема допускають тимчасове обмеження доступу до певних категорій інформації за наявності визначених законом підстав. Так, нормативна модель поєднує гарантії відкритості діяльності органів публічної влади з механізмами захисту від витоку відомостей, що можуть бути використані на шкоду обороноздатності чи національній безпеці.</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Системний характер інформаційних загроз в умовах гібридної та повномасштабної збройної агресії зумовив необхідність формування багаторівневої моделі правового реагування, яка поєднує інструменти адміністративного, санкційного, кримінального та кібербезпекового характеру. Тривалий вплив деструктивних інформаційних кампаній, що здійснювалися проти України починаючи з 2014 року та суттєво інтенсифікувалися після 2022 року, спричинив трансформацію нормативно-правової системи у сфері інформаційної безпеки. Йдеться не лише про вдосконалення окремих законодавчих положень, а й про переосмислення ролі інформаційного простору як самостійного об’єкта національної безпеки, що потребує комплексного правового захисту.</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У сфері медіа правове значення мають положення Закону України від 21 грудня 1993 р. № 3759-XII «Про телебачення і радіомовлення» [8], які визначають порядок ліцензування мовників, вимоги до змісту програм та компетенцію регуляторного органу щодо застосування заходів впливу у разі </w:t>
      </w:r>
      <w:r w:rsidRPr="00FD38BE">
        <w:rPr>
          <w:sz w:val="28"/>
          <w:szCs w:val="28"/>
          <w:shd w:val="clear" w:color="auto" w:fill="FFFFFF"/>
          <w:lang w:val="uk-UA"/>
        </w:rPr>
        <w:lastRenderedPageBreak/>
        <w:t>порушення законодавства. Норм</w:t>
      </w:r>
      <w:r w:rsidRPr="00FD38BE">
        <w:rPr>
          <w:sz w:val="28"/>
          <w:szCs w:val="28"/>
          <w:shd w:val="clear" w:color="auto" w:fill="FFFFFF"/>
          <w:lang w:val="en-US"/>
        </w:rPr>
        <w:t>b</w:t>
      </w:r>
      <w:r w:rsidRPr="00FD38BE">
        <w:rPr>
          <w:sz w:val="28"/>
          <w:szCs w:val="28"/>
          <w:shd w:val="clear" w:color="auto" w:fill="FFFFFF"/>
        </w:rPr>
        <w:t xml:space="preserve"> </w:t>
      </w:r>
      <w:r w:rsidRPr="00FD38BE">
        <w:rPr>
          <w:sz w:val="28"/>
          <w:szCs w:val="28"/>
          <w:shd w:val="clear" w:color="auto" w:fill="FFFFFF"/>
          <w:lang w:val="uk-UA"/>
        </w:rPr>
        <w:t>цього акта встановлюють юридичні межі допустимого інформаційного продукту та передбачають можливість застосування санкцій до суб’єктів мовлення у випадках поширення контенту, що суперечить вимогам законодавства. В умовах воєнного стану такі положення набувають підвищеного безпекового значення, оскільки створюють правові передумови для обмеження трансляції матеріалів, здатних завдати шкоди обороноздатності держави, сприяти дезінформації чи використовуватися як елемент інформаційно-психологічного впливу. Отже, медіарегулювання функціонує як складова системи публічно-правових засобів нейтралізації інформаційних загроз.</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Інформаційно-технічний сегмент протидії охоплюється Законом України від 5 жовтня 2017 р. № 2163-VIII «Про основні засади забезпечення кібербезпеки України» [9], який закріплює структуру національної системи кібербезпеки, визначає суб’єктний склад відповідних повноважень, а також встановлює засади захисту критичної інформаційної інфраструктури. Норми закону створюють юридичну основу для охорони державних інформаційних ресурсів, електронних реєстрів, телекомунікаційних мереж та цифрових сервісів, які можуть ставати об’єктами кібератак у межах інформаційної війни.</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Кримінально-правовий вимір протидії інформаційній агресії реалізується через норми Кримінального кодексу України [10], які передбачають відповідальність за посягання на основи національної безпеки та інформаційну інфраструктуру. Залежно від характеру та спрямованості діяння відповідна діяльність може кваліфікуватися за ст. 109 як дії, спрямовані на насильницьку зміну чи повалення конституційного ладу або захоплення державної влади, за ст. 110 як посягання на територіальну цілісність і недоторканність України, за ст. 111 як державна зрада, а також за ст. 114-1 як перешкоджання законній діяльності Збройних Сил України та інших військових формувань. У випадках, коли інформаційний вплив здійснюється шляхом несанкціонованого втручання в роботу комп’ютерних систем і мереж, підлягають застосуванню положення розділу XVI КК України, що встановлюють відповідальність за злочини у сфері </w:t>
      </w:r>
      <w:r w:rsidRPr="00FD38BE">
        <w:rPr>
          <w:sz w:val="28"/>
          <w:szCs w:val="28"/>
          <w:shd w:val="clear" w:color="auto" w:fill="FFFFFF"/>
          <w:lang w:val="uk-UA"/>
        </w:rPr>
        <w:lastRenderedPageBreak/>
        <w:t xml:space="preserve">використання електронно-обчислювальних машин, автоматизованих систем та комп’ютерних мереж. </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У підсумку слід зазначити, що в умовах трансформації природи воєнного протиборства та посилення ролі інформаційно-комунікаційних технологій у досягненні воєнно-політичних цілей, правове забезпечення інформаційної безпеки України загалом сформоване як комплексна та багаторівнева система. Конституційні положення, норми законодавства у сфері національної безпеки, інформації, медіарегулювання, кібербезпеки, а також кримінально-правові механізми створюють нормативне поле протидії інформаційній війні, що охоплює як інформаційно-психологічний, так і інформаційно-технічний виміри сучасних загроз.</w:t>
      </w:r>
    </w:p>
    <w:p w:rsidR="00076275" w:rsidRPr="00FD38BE" w:rsidRDefault="00076275" w:rsidP="00076275">
      <w:pPr>
        <w:spacing w:line="360" w:lineRule="auto"/>
        <w:ind w:firstLine="709"/>
        <w:jc w:val="both"/>
        <w:rPr>
          <w:sz w:val="28"/>
          <w:szCs w:val="28"/>
          <w:shd w:val="clear" w:color="auto" w:fill="FFFFFF"/>
          <w:lang w:val="uk-UA"/>
        </w:rPr>
      </w:pPr>
      <w:r w:rsidRPr="00FD38BE">
        <w:rPr>
          <w:sz w:val="28"/>
          <w:szCs w:val="28"/>
          <w:shd w:val="clear" w:color="auto" w:fill="FFFFFF"/>
          <w:lang w:val="uk-UA"/>
        </w:rPr>
        <w:t xml:space="preserve">Водночас динамічність гібридних викликів, масштабування цифрових платформ та зростання впливу антропологічного чинника у структурі національної безпеки, зумовлюють потребу в подальшому вдосконаленні відповідної нормативної моделі. Йдеться не лише про адаптацію законодавства до новітніх форм інформаційної агресії, але й про забезпечення належного балансу між обмеженням деструктивного впливу та гарантіями свободи слова і права на інформацію як фундаментальних конституційних цінностей. </w:t>
      </w:r>
    </w:p>
    <w:p w:rsidR="00076275" w:rsidRPr="00FD38BE" w:rsidRDefault="00076275" w:rsidP="00076275">
      <w:pPr>
        <w:spacing w:line="360" w:lineRule="auto"/>
        <w:ind w:firstLine="709"/>
        <w:jc w:val="both"/>
        <w:rPr>
          <w:sz w:val="28"/>
          <w:szCs w:val="28"/>
          <w:shd w:val="clear" w:color="auto" w:fill="FFFFFF"/>
          <w:lang w:val="uk-UA"/>
        </w:rPr>
      </w:pPr>
    </w:p>
    <w:p w:rsidR="00076275" w:rsidRPr="00FD38BE" w:rsidRDefault="00076275" w:rsidP="00076275">
      <w:pPr>
        <w:spacing w:line="360" w:lineRule="auto"/>
        <w:ind w:firstLine="709"/>
        <w:jc w:val="center"/>
        <w:rPr>
          <w:b/>
          <w:bCs/>
          <w:sz w:val="28"/>
          <w:szCs w:val="28"/>
          <w:lang w:val="uk-UA"/>
        </w:rPr>
      </w:pPr>
      <w:r w:rsidRPr="00FD38BE">
        <w:rPr>
          <w:b/>
          <w:bCs/>
          <w:sz w:val="28"/>
          <w:szCs w:val="28"/>
          <w:lang w:val="uk-UA"/>
        </w:rPr>
        <w:t>СПИСОК ВИКОРИСТАНИХ ДЖЕРЕЛ</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Манько Д.Г. Щодо загальних тенденцій діджиталізації публічного управління у сучасній державі. </w:t>
      </w:r>
      <w:r w:rsidRPr="00FD38BE">
        <w:rPr>
          <w:rStyle w:val="af1"/>
          <w:rFonts w:eastAsiaTheme="majorEastAsia"/>
          <w:sz w:val="28"/>
          <w:szCs w:val="28"/>
          <w:lang w:val="uk-UA"/>
        </w:rPr>
        <w:t>Стан та перспективи розвитку адміністративного права України</w:t>
      </w:r>
      <w:r w:rsidRPr="00FD38BE">
        <w:rPr>
          <w:sz w:val="28"/>
          <w:szCs w:val="28"/>
          <w:lang w:val="uk-UA"/>
        </w:rPr>
        <w:t xml:space="preserve"> : матеріали ІХ Міжнар. наук.-практ. інтернет-конф., м. Одеса, 28 жовтня 2022 р. Одеса : ОДУВС, 2022. С. 161–163.</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Сидор В.Д., Перепадін К.В. Теоретико-правові основи протидії інформаційному тероризму в умовах збройної агресії Росії проти України. </w:t>
      </w:r>
      <w:r w:rsidRPr="00FD38BE">
        <w:rPr>
          <w:rStyle w:val="af1"/>
          <w:rFonts w:eastAsiaTheme="majorEastAsia"/>
          <w:sz w:val="28"/>
          <w:szCs w:val="28"/>
          <w:lang w:val="uk-UA"/>
        </w:rPr>
        <w:t>Legal Bulletin</w:t>
      </w:r>
      <w:r w:rsidRPr="00FD38BE">
        <w:rPr>
          <w:sz w:val="28"/>
          <w:szCs w:val="28"/>
          <w:lang w:val="uk-UA"/>
        </w:rPr>
        <w:t xml:space="preserve">. 2025. С. 83–88. DOI: </w:t>
      </w:r>
      <w:hyperlink r:id="rId7" w:tgtFrame="_new" w:history="1">
        <w:r w:rsidRPr="00FD38BE">
          <w:rPr>
            <w:rStyle w:val="af0"/>
            <w:rFonts w:eastAsiaTheme="majorEastAsia"/>
            <w:color w:val="auto"/>
            <w:sz w:val="28"/>
            <w:szCs w:val="28"/>
            <w:lang w:val="uk-UA"/>
          </w:rPr>
          <w:t>https://doi.org/10.31732/2708-339X-2025-17-C12</w:t>
        </w:r>
      </w:hyperlink>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Конституція України : Закон України від 28 червня 1996 р. № 254к/96-ВР / Верховна Рада України. URL: </w:t>
      </w:r>
      <w:hyperlink r:id="rId8" w:tgtFrame="_new" w:history="1">
        <w:r w:rsidRPr="00FD38BE">
          <w:rPr>
            <w:rStyle w:val="af0"/>
            <w:rFonts w:eastAsiaTheme="majorEastAsia"/>
            <w:color w:val="auto"/>
            <w:sz w:val="28"/>
            <w:szCs w:val="28"/>
            <w:lang w:val="uk-UA"/>
          </w:rPr>
          <w:t>https://zakon.rada.gov.ua/laws/show/254к/96-вр</w:t>
        </w:r>
      </w:hyperlink>
      <w:r w:rsidRPr="00FD38BE">
        <w:rPr>
          <w:sz w:val="28"/>
          <w:szCs w:val="28"/>
          <w:lang w:val="uk-UA"/>
        </w:rPr>
        <w:t xml:space="preserve"> (дата звернення: 27.02.2026).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lastRenderedPageBreak/>
        <w:t xml:space="preserve">Про національну безпеку України : Закон України від 21 червня 2018 р. № 2469-VIII / Верховна Рада України. URL: </w:t>
      </w:r>
      <w:hyperlink r:id="rId9" w:tgtFrame="_new" w:history="1">
        <w:r w:rsidRPr="00FD38BE">
          <w:rPr>
            <w:rStyle w:val="af0"/>
            <w:rFonts w:eastAsiaTheme="majorEastAsia"/>
            <w:color w:val="auto"/>
            <w:sz w:val="28"/>
            <w:szCs w:val="28"/>
            <w:lang w:val="uk-UA"/>
          </w:rPr>
          <w:t>https://zakon.rada.gov.ua/laws/show/2469-19</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рішення Ради національної безпеки і оборони України від 14 травня 2021 р. «Про Стратегію інформаційної безпеки» : Указ Президента України від 14 травня 2021 р. № 187/2021 / Президент України. URL: </w:t>
      </w:r>
      <w:hyperlink r:id="rId10" w:tgtFrame="_new" w:history="1">
        <w:r w:rsidRPr="00FD38BE">
          <w:rPr>
            <w:rStyle w:val="af0"/>
            <w:rFonts w:eastAsiaTheme="majorEastAsia"/>
            <w:color w:val="auto"/>
            <w:sz w:val="28"/>
            <w:szCs w:val="28"/>
            <w:lang w:val="uk-UA"/>
          </w:rPr>
          <w:t>https://zakon.rada.gov.ua/laws/show/187/2021</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інформацію : Закон України від 2 жовтня 1992 р. № 2657-XII / Верховна Рада України. URL: </w:t>
      </w:r>
      <w:hyperlink r:id="rId11" w:tgtFrame="_new" w:history="1">
        <w:r w:rsidRPr="00FD38BE">
          <w:rPr>
            <w:rStyle w:val="af0"/>
            <w:rFonts w:eastAsiaTheme="majorEastAsia"/>
            <w:color w:val="auto"/>
            <w:sz w:val="28"/>
            <w:szCs w:val="28"/>
            <w:lang w:val="uk-UA"/>
          </w:rPr>
          <w:t>https://zakon.rada.gov.ua/laws/show/2657-12</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доступ до публічної інформації : Закон України від 13 січня 2011 р. № 2939-VI / Верховна Рада України. URL: </w:t>
      </w:r>
      <w:hyperlink r:id="rId12" w:tgtFrame="_new" w:history="1">
        <w:r w:rsidRPr="00FD38BE">
          <w:rPr>
            <w:rStyle w:val="af0"/>
            <w:rFonts w:eastAsiaTheme="majorEastAsia"/>
            <w:color w:val="auto"/>
            <w:sz w:val="28"/>
            <w:szCs w:val="28"/>
            <w:lang w:val="uk-UA"/>
          </w:rPr>
          <w:t>https://zakon.rada.gov.ua/laws/show/2939-17</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телебачення і радіомовлення : Закон України від 21 грудня 1993 р. № 3759-XII / Верховна Рада України. URL: </w:t>
      </w:r>
      <w:hyperlink r:id="rId13" w:tgtFrame="_new" w:history="1">
        <w:r w:rsidRPr="00FD38BE">
          <w:rPr>
            <w:rStyle w:val="af0"/>
            <w:rFonts w:eastAsiaTheme="majorEastAsia"/>
            <w:color w:val="auto"/>
            <w:sz w:val="28"/>
            <w:szCs w:val="28"/>
            <w:lang w:val="uk-UA"/>
          </w:rPr>
          <w:t>https://zakon.rada.gov.ua/laws/show/3759-12</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основні засади забезпечення кібербезпеки України : Закон України від 5 жовтня 2017 р. № 2163-VIII / Верховна Рада України. URL: </w:t>
      </w:r>
      <w:hyperlink r:id="rId14" w:tgtFrame="_new" w:history="1">
        <w:r w:rsidRPr="00FD38BE">
          <w:rPr>
            <w:rStyle w:val="af0"/>
            <w:rFonts w:eastAsiaTheme="majorEastAsia"/>
            <w:color w:val="auto"/>
            <w:sz w:val="28"/>
            <w:szCs w:val="28"/>
            <w:lang w:val="uk-UA"/>
          </w:rPr>
          <w:t>https://zakon.rada.gov.ua/laws/show/2163-19</w:t>
        </w:r>
      </w:hyperlink>
      <w:r w:rsidRPr="00FD38BE">
        <w:rPr>
          <w:sz w:val="28"/>
          <w:szCs w:val="28"/>
          <w:lang w:val="uk-UA"/>
        </w:rPr>
        <w:t xml:space="preserve"> (дата звернення: 01.03.2026).</w:t>
      </w:r>
    </w:p>
    <w:p w:rsidR="00076275" w:rsidRPr="00FD38BE" w:rsidRDefault="00076275" w:rsidP="00076275">
      <w:pPr>
        <w:pStyle w:val="ac"/>
        <w:numPr>
          <w:ilvl w:val="0"/>
          <w:numId w:val="2"/>
        </w:numPr>
        <w:spacing w:before="0" w:beforeAutospacing="0" w:after="0" w:afterAutospacing="0" w:line="360" w:lineRule="auto"/>
        <w:ind w:left="0" w:firstLine="709"/>
        <w:jc w:val="both"/>
        <w:rPr>
          <w:sz w:val="28"/>
          <w:szCs w:val="28"/>
          <w:lang w:val="uk-UA"/>
        </w:rPr>
      </w:pPr>
      <w:r w:rsidRPr="00FD38BE">
        <w:rPr>
          <w:sz w:val="28"/>
          <w:szCs w:val="28"/>
          <w:lang w:val="uk-UA"/>
        </w:rPr>
        <w:t xml:space="preserve">Кримінальний кодекс України : Закон України від 5 квітня 2001 р. № 2341-III / Верховна Рада України. URL: </w:t>
      </w:r>
      <w:hyperlink r:id="rId15" w:tgtFrame="_new" w:history="1">
        <w:r w:rsidRPr="00FD38BE">
          <w:rPr>
            <w:rStyle w:val="af0"/>
            <w:rFonts w:eastAsiaTheme="majorEastAsia"/>
            <w:color w:val="auto"/>
            <w:sz w:val="28"/>
            <w:szCs w:val="28"/>
            <w:lang w:val="uk-UA"/>
          </w:rPr>
          <w:t>https://zakon.rada.gov.ua/laws/show/2341-14</w:t>
        </w:r>
      </w:hyperlink>
      <w:r w:rsidRPr="00FD38BE">
        <w:rPr>
          <w:sz w:val="28"/>
          <w:szCs w:val="28"/>
          <w:lang w:val="uk-UA"/>
        </w:rPr>
        <w:t xml:space="preserve"> (дата звернення: 01.03.2026).</w:t>
      </w:r>
    </w:p>
    <w:p w:rsidR="00076275" w:rsidRDefault="00076275" w:rsidP="00076275">
      <w:pPr>
        <w:spacing w:line="360" w:lineRule="auto"/>
        <w:ind w:firstLine="709"/>
        <w:rPr>
          <w:i/>
          <w:iCs/>
          <w:sz w:val="28"/>
          <w:szCs w:val="28"/>
          <w:lang w:val="uk-UA"/>
        </w:rPr>
      </w:pPr>
    </w:p>
    <w:p w:rsidR="00076275" w:rsidRPr="00FD38BE" w:rsidRDefault="00076275" w:rsidP="00076275">
      <w:pPr>
        <w:spacing w:line="360" w:lineRule="auto"/>
        <w:ind w:firstLine="709"/>
        <w:rPr>
          <w:i/>
          <w:iCs/>
          <w:sz w:val="28"/>
          <w:szCs w:val="28"/>
          <w:lang w:val="uk-UA"/>
        </w:rPr>
      </w:pPr>
    </w:p>
    <w:p w:rsidR="00076275" w:rsidRPr="00FD38BE" w:rsidRDefault="00076275" w:rsidP="00076275">
      <w:pPr>
        <w:spacing w:line="360" w:lineRule="auto"/>
        <w:ind w:firstLine="709"/>
        <w:jc w:val="center"/>
        <w:rPr>
          <w:b/>
          <w:bCs/>
          <w:sz w:val="28"/>
          <w:szCs w:val="28"/>
        </w:rPr>
      </w:pPr>
      <w:r w:rsidRPr="00FD38BE">
        <w:rPr>
          <w:b/>
          <w:bCs/>
          <w:sz w:val="28"/>
          <w:szCs w:val="28"/>
        </w:rPr>
        <w:t>РОЛЬ КОНСТИТУЦІЙНИХ ЦІННОСТЕЙ У ЗАБЕЗПЕЧЕННІ СТІЙКОСТІ ДЕРЖАВИ ТА ГАРМОНІЗАЦІЇ ВІДНОСИН ЛЮДИНИ І ДЕРЖАВИ В УМОВАХ ВІЙНИ</w:t>
      </w:r>
    </w:p>
    <w:p w:rsidR="00076275" w:rsidRDefault="00076275" w:rsidP="00076275">
      <w:pPr>
        <w:spacing w:line="360" w:lineRule="auto"/>
        <w:ind w:firstLine="709"/>
        <w:jc w:val="center"/>
        <w:rPr>
          <w:b/>
          <w:bCs/>
          <w:i/>
          <w:iCs/>
          <w:sz w:val="28"/>
          <w:szCs w:val="28"/>
        </w:rPr>
      </w:pPr>
      <w:r w:rsidRPr="00FD38BE">
        <w:rPr>
          <w:b/>
          <w:bCs/>
          <w:i/>
          <w:iCs/>
          <w:sz w:val="28"/>
          <w:szCs w:val="28"/>
        </w:rPr>
        <w:t>Арабаджи Наталя Борисівна,</w:t>
      </w:r>
      <w:r>
        <w:rPr>
          <w:b/>
          <w:bCs/>
          <w:i/>
          <w:iCs/>
          <w:sz w:val="28"/>
          <w:szCs w:val="28"/>
        </w:rPr>
        <w:t xml:space="preserve"> </w:t>
      </w:r>
    </w:p>
    <w:p w:rsidR="00076275" w:rsidRPr="0085383B" w:rsidRDefault="00076275" w:rsidP="00076275">
      <w:pPr>
        <w:spacing w:line="360" w:lineRule="auto"/>
        <w:ind w:firstLine="709"/>
        <w:jc w:val="center"/>
        <w:rPr>
          <w:b/>
          <w:bCs/>
          <w:i/>
          <w:iCs/>
          <w:sz w:val="28"/>
          <w:szCs w:val="28"/>
        </w:rPr>
      </w:pPr>
      <w:r w:rsidRPr="00FD38BE">
        <w:rPr>
          <w:i/>
          <w:iCs/>
          <w:sz w:val="28"/>
          <w:szCs w:val="28"/>
        </w:rPr>
        <w:t>к.ю.н.,</w:t>
      </w:r>
      <w:r>
        <w:rPr>
          <w:i/>
          <w:iCs/>
          <w:sz w:val="28"/>
          <w:szCs w:val="28"/>
        </w:rPr>
        <w:t xml:space="preserve"> </w:t>
      </w:r>
      <w:r w:rsidRPr="00FD38BE">
        <w:rPr>
          <w:i/>
          <w:iCs/>
          <w:sz w:val="28"/>
          <w:szCs w:val="28"/>
        </w:rPr>
        <w:t>доцент кафедри</w:t>
      </w:r>
      <w:r>
        <w:rPr>
          <w:b/>
          <w:bCs/>
          <w:i/>
          <w:iCs/>
          <w:sz w:val="28"/>
          <w:szCs w:val="28"/>
        </w:rPr>
        <w:t xml:space="preserve"> </w:t>
      </w:r>
      <w:r w:rsidRPr="00FD38BE">
        <w:rPr>
          <w:i/>
          <w:iCs/>
          <w:sz w:val="28"/>
          <w:szCs w:val="28"/>
        </w:rPr>
        <w:t>державно-правових дисциплін</w:t>
      </w:r>
    </w:p>
    <w:p w:rsidR="00076275" w:rsidRPr="00FD38BE" w:rsidRDefault="00076275" w:rsidP="00076275">
      <w:pPr>
        <w:spacing w:line="360" w:lineRule="auto"/>
        <w:ind w:firstLine="709"/>
        <w:jc w:val="center"/>
        <w:rPr>
          <w:i/>
          <w:iCs/>
          <w:sz w:val="28"/>
          <w:szCs w:val="28"/>
        </w:rPr>
      </w:pPr>
      <w:r w:rsidRPr="00FD38BE">
        <w:rPr>
          <w:i/>
          <w:iCs/>
          <w:sz w:val="28"/>
          <w:szCs w:val="28"/>
        </w:rPr>
        <w:t>Міжнародного університету</w:t>
      </w:r>
    </w:p>
    <w:p w:rsidR="00076275" w:rsidRPr="00FD38BE" w:rsidRDefault="00076275" w:rsidP="00076275">
      <w:pPr>
        <w:spacing w:line="360" w:lineRule="auto"/>
        <w:ind w:firstLine="709"/>
        <w:jc w:val="center"/>
        <w:rPr>
          <w:b/>
          <w:bCs/>
          <w:i/>
          <w:iCs/>
          <w:sz w:val="28"/>
          <w:szCs w:val="28"/>
        </w:rPr>
      </w:pPr>
      <w:r w:rsidRPr="00FD38BE">
        <w:rPr>
          <w:b/>
          <w:bCs/>
          <w:i/>
          <w:iCs/>
          <w:sz w:val="28"/>
          <w:szCs w:val="28"/>
        </w:rPr>
        <w:t>Івасюк Василь Валерійович,</w:t>
      </w:r>
    </w:p>
    <w:p w:rsidR="00076275" w:rsidRPr="00FD38BE" w:rsidRDefault="00076275" w:rsidP="00076275">
      <w:pPr>
        <w:spacing w:line="360" w:lineRule="auto"/>
        <w:ind w:firstLine="709"/>
        <w:jc w:val="center"/>
        <w:rPr>
          <w:i/>
          <w:iCs/>
          <w:sz w:val="28"/>
          <w:szCs w:val="28"/>
        </w:rPr>
      </w:pPr>
      <w:r w:rsidRPr="00FD38BE">
        <w:rPr>
          <w:i/>
          <w:iCs/>
          <w:sz w:val="28"/>
          <w:szCs w:val="28"/>
        </w:rPr>
        <w:lastRenderedPageBreak/>
        <w:t>аспірант кафедри державно-правових дисциплін</w:t>
      </w:r>
    </w:p>
    <w:p w:rsidR="00076275" w:rsidRPr="00FD38BE" w:rsidRDefault="00076275" w:rsidP="00076275">
      <w:pPr>
        <w:spacing w:line="360" w:lineRule="auto"/>
        <w:ind w:firstLine="709"/>
        <w:jc w:val="center"/>
        <w:rPr>
          <w:i/>
          <w:iCs/>
          <w:sz w:val="28"/>
          <w:szCs w:val="28"/>
        </w:rPr>
      </w:pPr>
      <w:r w:rsidRPr="00FD38BE">
        <w:rPr>
          <w:i/>
          <w:iCs/>
          <w:sz w:val="28"/>
          <w:szCs w:val="28"/>
        </w:rPr>
        <w:t>Міжнародного університету</w:t>
      </w:r>
    </w:p>
    <w:p w:rsidR="00076275" w:rsidRPr="00FD38BE" w:rsidRDefault="00076275" w:rsidP="00076275">
      <w:pPr>
        <w:spacing w:line="360" w:lineRule="auto"/>
        <w:ind w:firstLine="709"/>
        <w:jc w:val="both"/>
        <w:rPr>
          <w:sz w:val="28"/>
          <w:szCs w:val="28"/>
          <w:lang w:val="uk-UA" w:eastAsia="uk-UA"/>
        </w:rPr>
      </w:pPr>
      <w:r w:rsidRPr="00FD38BE">
        <w:rPr>
          <w:sz w:val="28"/>
          <w:szCs w:val="28"/>
          <w:lang w:val="uk-UA" w:eastAsia="uk-UA"/>
        </w:rPr>
        <w:t>Конституційно-правова регламентація ключових правових цінностей, що становлять загально-цивілізаційні ідеали та демократичні стандарти, є критично важливою для стабільності будь-якої сучасної держави [10]. Варто зауважити, що це питання активно та ґрунтовно досліджує д.ю.н. Н.В. Камінська, чиї наукові розвідки дозволяють глибше осягнути аксіологічну природу вітчизняного конституціоналізму [4]. Попри динаміку суспільних процесів, саме ці цінності залишаються стабілізаційним фактором, що дозволяє акумулювати найкращі досягнення національного та міжнародного правового розвитку, стримувати загрози та розвивати конституційну культуру й національну ідентичність [6].</w:t>
      </w:r>
    </w:p>
    <w:p w:rsidR="00076275" w:rsidRPr="00FD38BE" w:rsidRDefault="00076275" w:rsidP="00076275">
      <w:pPr>
        <w:spacing w:line="360" w:lineRule="auto"/>
        <w:ind w:firstLine="709"/>
        <w:jc w:val="both"/>
        <w:rPr>
          <w:sz w:val="28"/>
          <w:szCs w:val="28"/>
          <w:lang w:eastAsia="uk-UA"/>
        </w:rPr>
      </w:pPr>
      <w:r w:rsidRPr="00FD38BE">
        <w:rPr>
          <w:sz w:val="28"/>
          <w:szCs w:val="28"/>
          <w:lang w:val="uk-UA" w:eastAsia="uk-UA"/>
        </w:rPr>
        <w:t xml:space="preserve">В умовах гібридної війни та повномасштабної агресії проти України дослідження аксіологічного виміру конституціоналізму набуває особливої гостроти, оскільки виникає потреба в доктринальному обґрунтуванні пріоритетів, на яких базується державність та правопорядок. </w:t>
      </w:r>
      <w:r w:rsidRPr="00FD38BE">
        <w:rPr>
          <w:sz w:val="28"/>
          <w:szCs w:val="28"/>
          <w:lang w:eastAsia="uk-UA"/>
        </w:rPr>
        <w:t>Це зумовлює необхідність переосмислення ролі засадничих прав і свобод у системі стримувань і противаг, що діють під час правового режиму воєнного стану [9]. Крім того, аналіз ціннісних орієнтирів дозволяє виявити стійкість демократичних інститутів перед обличчям екзистенційних загроз для національного суверенітету. Таким чином, конституційні цінності стають не лише теоретичним фундаментом, а й реальним інструментом консолідації суспільства та захисту людської гідності у надзвичайних умовах [3].</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Конституційні цінності за своєю природою є складним багатогранним явищем, що охоплює моральні, політичні та правові орієнтири [7]. Вони виступають як «символічні універсуми», що формують правосвідомість суспільства та визначають межі діяльності публічної влади. Доктринальний аналіз дозволяє класифікувати ці цінності на ідеали, принципи та процедури, де центральне місце посідає людська гідність [8]. Саме навколо цієї фундаментальної категорії вибудовується вся архітектура антропоцентричного права, де держава розглядається як інструмент забезпечення прав і свобод </w:t>
      </w:r>
      <w:r w:rsidRPr="00FD38BE">
        <w:rPr>
          <w:sz w:val="28"/>
          <w:szCs w:val="28"/>
          <w:lang w:eastAsia="uk-UA"/>
        </w:rPr>
        <w:lastRenderedPageBreak/>
        <w:t>особистості. Крім того, ціннісні орієнтири слугують дієвим фільтром для оцінки легітимності будь-яких владних рішень, не дозволяючи правовому позитивізму домінувати над принципами справедливості. У такий спосіб конституційні цінності забезпечують цілісність правової системи, виступаючи сполучною ланкою між мораллю суспільства та буквою закону.</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Стаття 3 Конституції України закріплює людину, її життя і здоров'я, честь і гідність як найвищу соціальну цінність, що є фундаментом для всієї системи прав і свобод [5]. Саме навколо захисту людської гідності вибудовується сучасна парадигма конституціоналізму, яка інтегрує в себе такі поняття, як верховенство права, демократія, суверенітет та територіальна цілісність. Ця норма встановлює безумовний пріоритет інтересів особистості над державними інтересами, визначаючи гуманістичний вектор розвитку всієї правової системи країни. Вона вимагає від органів державної влади не лише формального визнання прав людини, а й активних дій щодо їх реального забезпечення, особливо в періоди кризових викликів [2]. Таким чином, визнання людської гідності як найвищої цінності стає тим етичним та юридичним мірилом, за яким оцінюється демократичність та цивілізованість сучасної української держави.</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Особливий інтерес викликає трансформація сприйняття конституційних цінностей в умовах правового режиму воєнного стану. У такий період держава стикається з необхідністю балансування між забезпеченням національної безпеки та збереженням фундаментальних прав людини. Хоча воєнний стан передбачає певні обмеження прав і свобод, ядро конституційних цінностей залишається недоторканним. Безпека в цьому контексті розглядається не лише як відсутність загроз, а як фундаментальна умова, за якої можлива реалізація всіх інших цінностей. Водночас цінність миру набуває нового змісту, виходячи за рамки простої відсутності військових дій і стаючи станом правової гармонії та соціальної справедливості [4].</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Територіальна цілісність і державний суверенітет в умовах війни стають не просто юридичними категоріями, а екзистенційними цінностями, що забезпечують збереження нації. Захист цих цінностей є передумовою функціонування демократичних інститутів. У цьому процесі стратегічну роль </w:t>
      </w:r>
      <w:r w:rsidRPr="00FD38BE">
        <w:rPr>
          <w:sz w:val="28"/>
          <w:szCs w:val="28"/>
          <w:lang w:eastAsia="uk-UA"/>
        </w:rPr>
        <w:lastRenderedPageBreak/>
        <w:t>відіграє Конституційний Суд України, який через свої рішення здійснює «ціннісну орієнтацію» правової системи, адаптуючи її до сучасних викликів та забезпечуючи відповідність європейським стандартам.</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Євроінтеграційний вектор розвитку України сприяє конвергенції національних та загальноєвропейських цінностей, таких як солідарність, справедливість та сталий розвиток. Цей процес передбачає не лише формальне запозичення юридичних норм, а й глибоку трансформацію суспільної свідомості відповідно до принципів ліберальної демократії. Спільна ціннісна платформа стає надійним підґрунтям для посилення міждержавного співробітництва та отримання всебічної підтримки від міжнародної спільноти в захисті суверенітету. Водночас гармонізація вітчизняного законодавства з правом ЄС дозволяє вибудувати стійку систему інституційних гарантій, які унеможливлюють відкат від демократичних завоювань. Зрештою, саме вірність цим універсальним ідеалам визначає приналежність України до єдиного європейського політичного та культурного простору.</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Практичне застосування сучасної парадигми конституційних цінностей знаходить своє безпосереднє відображення у системному реформуванні національного законодавства та розробці комплексних стратегій повоєнного відновлення, що мають на меті не лише відбудову інфраструктури, а й регенерацію всього правового порядку. Чітке усвідомлення ієрархічної структури конституційних пріоритетів дозволяє органам державної влади моделювати управлінські рішення, що суворо відповідають принципу пропорційності та верховенства права. Завдяки впровадженню такого аксіологічного підходу державна політика набуває цільової спрямованості, забезпечуючи перехід від формального правозастосування до змістовного захисту суспільних благ. Ключовим вектором такої діяльності постає відновлення стабільного миру, який у сучасній доктрині розглядається як невід’ємна умова функціонування правової держави.</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Одночасно із забезпеченням безпекового компонента конституційні цінності виступають гарантом зміцнення державного суверенітету, унеможливлюючи будь-який деструктивний зовнішній вплив на </w:t>
      </w:r>
      <w:r w:rsidRPr="00FD38BE">
        <w:rPr>
          <w:sz w:val="28"/>
          <w:szCs w:val="28"/>
          <w:lang w:eastAsia="uk-UA"/>
        </w:rPr>
        <w:lastRenderedPageBreak/>
        <w:t>фундаментальні засади устрою [1]. Побудова ефективного правопорядку в таких умовах немислима без реального забезпечення прав людини, які в ієрархії конституційних цінностей посідають превалююче місце. Доктринальна концептуалізація конституційних ідеалів є критично важливою для формування резистентної правової системи, здатної гнучко адаптуватися до кризових умов без втрати своєї ідентичності. Така інституційна стійкість дозволяє національному правовому полю ефективно протидіяти зовнішній агресії, зберігаючи внутрішню цілісність державних органів та процедур. Навіть у стані збройного конфлікту та за необхідності впровадження певних правових обмежень збереження демократичного ядра держави залишається непорушним юридичним імперативом [9].</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У цей період конституційні цінності остаточно трансформуються з абстрактних теоретичних конструктів у реальні механізми консолідації громадянського суспільства навколо ідеї справедливості. Це дозволяє сформувати дієвий інструментарій для захисту вищих національних інтересів у найбільш турбулентні та історично значущі періоди існування нації. Зрештою, </w:t>
      </w:r>
      <w:proofErr w:type="gramStart"/>
      <w:r w:rsidRPr="00FD38BE">
        <w:rPr>
          <w:sz w:val="28"/>
          <w:szCs w:val="28"/>
          <w:lang w:eastAsia="uk-UA"/>
        </w:rPr>
        <w:t>саме ц</w:t>
      </w:r>
      <w:proofErr w:type="gramEnd"/>
      <w:r w:rsidRPr="00FD38BE">
        <w:rPr>
          <w:sz w:val="28"/>
          <w:szCs w:val="28"/>
          <w:lang w:eastAsia="uk-UA"/>
        </w:rPr>
        <w:t xml:space="preserve">іннісна парадигма визначає життєздатність правової системи та її здатність виступати надійним щитом для </w:t>
      </w:r>
      <w:proofErr w:type="gramStart"/>
      <w:r w:rsidRPr="00FD38BE">
        <w:rPr>
          <w:sz w:val="28"/>
          <w:szCs w:val="28"/>
          <w:lang w:eastAsia="uk-UA"/>
        </w:rPr>
        <w:t>демократичного</w:t>
      </w:r>
      <w:proofErr w:type="gramEnd"/>
      <w:r w:rsidRPr="00FD38BE">
        <w:rPr>
          <w:sz w:val="28"/>
          <w:szCs w:val="28"/>
          <w:lang w:eastAsia="uk-UA"/>
        </w:rPr>
        <w:t xml:space="preserve"> ладу в умовах екзистенційних викликів.</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У результаті проведеного дослідження встановлено, що сучасна парадигма конституційних цінностей в Україні трансформувалася у дієву систему захисту національного суверенітету та прав людини в екзистенційних умовах війни. Доведено, що попри необхідність тимчасових правових обмежень, людська гідність залишається непорушним аксіологічним ядром, навколо якого вибудовується вся архітектура резистентного правопорядку [3]. </w:t>
      </w:r>
    </w:p>
    <w:p w:rsidR="00076275" w:rsidRPr="00FD38BE" w:rsidRDefault="00076275" w:rsidP="00076275">
      <w:pPr>
        <w:spacing w:line="360" w:lineRule="auto"/>
        <w:ind w:firstLine="709"/>
        <w:jc w:val="both"/>
        <w:rPr>
          <w:sz w:val="28"/>
          <w:szCs w:val="28"/>
          <w:lang w:eastAsia="uk-UA"/>
        </w:rPr>
      </w:pPr>
      <w:r w:rsidRPr="00FD38BE">
        <w:rPr>
          <w:sz w:val="28"/>
          <w:szCs w:val="28"/>
          <w:lang w:eastAsia="uk-UA"/>
        </w:rPr>
        <w:t xml:space="preserve">Важливим висновком є те, що євроінтеграційний вектор України забезпечує необхідну конвергенцію національних ідеалів із загальноєвропейськими стандартами, зміцнюючи інституційну стабільність держави. Визначено, що практична реалізація цієї ціннісної моделі є ключовою передумовою для успішного повоєнного відновлення та формування ефективних стратегій зміцнення миру й безпеки [4]. Підсумовуючи, можна </w:t>
      </w:r>
      <w:r w:rsidRPr="00FD38BE">
        <w:rPr>
          <w:sz w:val="28"/>
          <w:szCs w:val="28"/>
          <w:lang w:eastAsia="uk-UA"/>
        </w:rPr>
        <w:lastRenderedPageBreak/>
        <w:t>стверджувати, що конституційні цінності перетворилися з теоретичних категорій на реальний інструмент консолідації суспільства та надійний щит для захисту демократичного ладу України перед сучасними викликами</w:t>
      </w:r>
    </w:p>
    <w:p w:rsidR="00076275" w:rsidRPr="00FD38BE" w:rsidRDefault="00076275" w:rsidP="00076275">
      <w:pPr>
        <w:spacing w:line="360" w:lineRule="auto"/>
        <w:ind w:firstLine="709"/>
        <w:jc w:val="both"/>
        <w:rPr>
          <w:sz w:val="28"/>
          <w:szCs w:val="28"/>
        </w:rPr>
      </w:pPr>
    </w:p>
    <w:p w:rsidR="00076275" w:rsidRPr="00FD38BE" w:rsidRDefault="00076275" w:rsidP="00076275">
      <w:pPr>
        <w:pStyle w:val="a7"/>
        <w:spacing w:line="360" w:lineRule="auto"/>
        <w:ind w:left="0" w:firstLine="709"/>
        <w:jc w:val="center"/>
        <w:rPr>
          <w:b/>
          <w:bCs/>
          <w:sz w:val="28"/>
          <w:szCs w:val="28"/>
          <w:lang w:val="uk-UA"/>
        </w:rPr>
      </w:pPr>
      <w:r w:rsidRPr="00FD38BE">
        <w:rPr>
          <w:b/>
          <w:bCs/>
          <w:sz w:val="28"/>
          <w:szCs w:val="28"/>
          <w:lang w:val="uk-UA"/>
        </w:rPr>
        <w:t>СПИСОК ВИКОРИСТАНИХ ДЖЕРЕЛ</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Барабаш Ю.Г. Оборона Батьківщини як конституційний обов'язок та цінність. Юридична газета. 2022. № 14. С. 5–7.</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Головатий С.П. Людські права: лекції. 2-ге вид. Київ: Дух і Літера, 2016. 700 с.</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Грищук О.В. Людська гідність як найвища конституційна цінність: теоретико-правовий аспект. Часопис Київського університету права. 2019. № 1. С. 34–38.</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Камінська Н.В. Сучасна парадигма конституційних цінностей та їх значення в умовах воєнного стану. Філософські та методологічні проблеми права. 2022. № 2 (24). С. 86–95.</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Козюбра М.П. Конституція України: коментар до преамбули та розділу І. Право України. 2021. № 6. С. 10–28.</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Крусян А.Р. Сучасний український конституціоналізм: концептуалізація та аксіологічні виміри. Вісник Південного регіонального центру НАН України. 2020. № 23. С. 15–22.</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Рабінович П.М. Основи загальної теорії права та держави. Львів: Світ, 2021. 224 с.</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Савчин М.В. Конституціоналізм і природа конституції: монографія. 2-ге вид. Київ: Дух і Літера, 2017. 488 с.</w:t>
      </w:r>
    </w:p>
    <w:p w:rsidR="00076275" w:rsidRPr="00FD38BE" w:rsidRDefault="00076275" w:rsidP="00076275">
      <w:pPr>
        <w:numPr>
          <w:ilvl w:val="0"/>
          <w:numId w:val="4"/>
        </w:numPr>
        <w:spacing w:line="360" w:lineRule="auto"/>
        <w:ind w:left="0" w:firstLine="709"/>
        <w:jc w:val="both"/>
        <w:rPr>
          <w:sz w:val="28"/>
          <w:szCs w:val="28"/>
        </w:rPr>
      </w:pPr>
      <w:r w:rsidRPr="00FD38BE">
        <w:rPr>
          <w:sz w:val="28"/>
          <w:szCs w:val="28"/>
        </w:rPr>
        <w:t>Скрипнюк О.В. Верховенство права як фундамент конституційного ладу в умовах війни. Науковий вісник Ужгородського національного університету. 2023. № 77. С. 45–51.</w:t>
      </w:r>
    </w:p>
    <w:p w:rsidR="00076275" w:rsidRDefault="00076275" w:rsidP="00076275">
      <w:pPr>
        <w:numPr>
          <w:ilvl w:val="0"/>
          <w:numId w:val="4"/>
        </w:numPr>
        <w:spacing w:line="360" w:lineRule="auto"/>
        <w:ind w:left="0" w:firstLine="709"/>
        <w:jc w:val="both"/>
        <w:rPr>
          <w:sz w:val="28"/>
          <w:szCs w:val="28"/>
        </w:rPr>
      </w:pPr>
      <w:r w:rsidRPr="00FD38BE">
        <w:rPr>
          <w:sz w:val="28"/>
          <w:szCs w:val="28"/>
        </w:rPr>
        <w:t>Терлецький Д.С. Конституційні цінності: поняття, природа та ієрархія. Юридичний науковий електронний журнал. 2024. № 1. С. 88–92.</w:t>
      </w:r>
    </w:p>
    <w:p w:rsidR="00076275" w:rsidRDefault="00076275" w:rsidP="00076275">
      <w:pPr>
        <w:spacing w:line="360" w:lineRule="auto"/>
        <w:jc w:val="both"/>
        <w:rPr>
          <w:sz w:val="28"/>
          <w:szCs w:val="28"/>
        </w:rPr>
      </w:pPr>
    </w:p>
    <w:p w:rsidR="00076275" w:rsidRPr="0085383B" w:rsidRDefault="00076275" w:rsidP="00076275">
      <w:pPr>
        <w:spacing w:line="360" w:lineRule="auto"/>
        <w:jc w:val="both"/>
        <w:rPr>
          <w:sz w:val="28"/>
          <w:szCs w:val="28"/>
        </w:rPr>
      </w:pPr>
    </w:p>
    <w:p w:rsidR="00076275" w:rsidRPr="00FD38BE" w:rsidRDefault="00076275" w:rsidP="00076275">
      <w:pPr>
        <w:tabs>
          <w:tab w:val="left" w:pos="1837"/>
        </w:tabs>
        <w:spacing w:line="360" w:lineRule="auto"/>
        <w:ind w:firstLine="709"/>
        <w:jc w:val="center"/>
        <w:rPr>
          <w:rFonts w:eastAsia="Calibri"/>
          <w:b/>
          <w:caps/>
          <w:sz w:val="28"/>
          <w:szCs w:val="28"/>
          <w:lang w:val="uk-UA" w:eastAsia="en-US"/>
        </w:rPr>
      </w:pPr>
      <w:bookmarkStart w:id="0" w:name="_Hlk166846068"/>
      <w:r w:rsidRPr="00FD38BE">
        <w:rPr>
          <w:rFonts w:eastAsia="Calibri"/>
          <w:b/>
          <w:caps/>
          <w:sz w:val="28"/>
          <w:szCs w:val="28"/>
          <w:lang w:val="uk-UA" w:eastAsia="en-US"/>
        </w:rPr>
        <w:lastRenderedPageBreak/>
        <w:t>ВПЛИВ ЦИФРОВИХ ТЕХНОЛОГІЙ НА СИСТЕМУ ДЖЕРЕЛ ПРАВА ТА ПРАВОТВОРЧИЙ ПРОЦЕС</w:t>
      </w:r>
    </w:p>
    <w:bookmarkEnd w:id="0"/>
    <w:p w:rsidR="00076275" w:rsidRPr="00FD38BE" w:rsidRDefault="00076275" w:rsidP="00076275">
      <w:pPr>
        <w:spacing w:line="360" w:lineRule="auto"/>
        <w:ind w:firstLine="709"/>
        <w:jc w:val="center"/>
        <w:rPr>
          <w:rFonts w:eastAsia="Calibri"/>
          <w:b/>
          <w:bCs/>
          <w:i/>
          <w:iCs/>
          <w:sz w:val="28"/>
          <w:szCs w:val="28"/>
          <w:lang w:val="uk-UA" w:eastAsia="en-US"/>
        </w:rPr>
      </w:pPr>
      <w:r w:rsidRPr="00FD38BE">
        <w:rPr>
          <w:rFonts w:eastAsia="Calibri"/>
          <w:b/>
          <w:bCs/>
          <w:i/>
          <w:iCs/>
          <w:sz w:val="28"/>
          <w:szCs w:val="28"/>
          <w:lang w:val="uk-UA" w:eastAsia="en-US"/>
        </w:rPr>
        <w:t>Бєліков Д. В.</w:t>
      </w:r>
    </w:p>
    <w:p w:rsidR="00076275" w:rsidRPr="00FD38BE"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 xml:space="preserve">студент 2 курсу магістратури факультету права та економіки  Міжнародного  університету, </w:t>
      </w:r>
    </w:p>
    <w:p w:rsidR="00076275" w:rsidRPr="0085383B"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м. Одеса, Україна</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Становлення цифрової економіки та інтенсивний розвиток цифрових технологій зумовлюють якісні зміни у правовій системі, що проявляються у трансформації системи джерел права та модифікації правотворчого процесу. У сучасних умовах цифровізація не обмежується появою нових об’єктів правового регулювання, а спричиняє структурні зміни у формах вираження норм права, способах їх офіційного оприлюднення, систематизації та реалізації. Право функціонує в умовах нового технологічного базису, що змінює як матеріальний зміст нормативного регулювання, так і процедурні аспекти його формування </w:t>
      </w:r>
      <w:r w:rsidRPr="00FD38BE">
        <w:rPr>
          <w:sz w:val="28"/>
          <w:szCs w:val="28"/>
        </w:rPr>
        <w:t xml:space="preserve">[1, </w:t>
      </w:r>
      <w:r w:rsidRPr="00FD38BE">
        <w:rPr>
          <w:sz w:val="28"/>
          <w:szCs w:val="28"/>
          <w:lang w:val="en-US"/>
        </w:rPr>
        <w:t>c</w:t>
      </w:r>
      <w:r w:rsidRPr="00FD38BE">
        <w:rPr>
          <w:sz w:val="28"/>
          <w:szCs w:val="28"/>
        </w:rPr>
        <w:t>. 72]</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Традиційні правові інститути, сформовані в умовах індустріального суспільства, не завжди забезпечують належний рівень регулювання відносин, пов’язаних із функціонуванням технологічних платформ на засадах розподіленого реєстру (blockchain), Інтернету речей (Internet of Things), систем штучного інтелекту (Artificial Intelligence), хмарних обчислень (Cloud Computing), аналітики великих даних (Big Data), цифрових сервісів публічного управління, електронного судочинства та електронного документообігу. У зв’язку з цим виникає потреба в адаптації джерел права до цифрового середовища, що охоплює як нормативно-правові акти, так і електронні регуляторні інструменти, алгоритмізовані рішення та цифрові стандарти.</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Цифрові технології впливають на систему джерел права у декількох вимірах. По-перше, змінюється форма існування нормативного акта: електронна форма стає первинною, а паперовий носій втрачає монопольний характер. По-друге, розширюється коло суб’єктів нормотворчості завдяки використанню електронних платформ публічних консультацій, інструментів електронної демократії та цифрової участі. По-третє, посилюється значення </w:t>
      </w:r>
      <w:r w:rsidRPr="00FD38BE">
        <w:rPr>
          <w:sz w:val="28"/>
          <w:szCs w:val="28"/>
          <w:lang w:val="uk-UA"/>
        </w:rPr>
        <w:lastRenderedPageBreak/>
        <w:t>технічних регламентів, стандартів та алгоритмів, які фактично виконують нормативну функцію, хоча формально не завжди належать до класичних джерел права</w:t>
      </w:r>
      <w:r w:rsidRPr="00FD38BE">
        <w:rPr>
          <w:sz w:val="28"/>
          <w:szCs w:val="28"/>
        </w:rPr>
        <w:t xml:space="preserve"> [2; 3]</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Водночас право не є пасивним об’єктом впливу цифровізації. Нормативне регулювання визначає допустимі межі використання технологій, встановлює вимоги до обробки персональних даних, забезпечення кібербезпеки, відповідальності за функціонування автономних систем, легітимності електронних доказів та цифрових транзакцій. Саме через механізми правотворчості формуються інституційні рамки цифрового розвитку, встановлюються стандарти прозорості алгоритмів, принципи недискримінації в автоматизованих рішеннях, гарантії судового захисту у цифровому середовищі</w:t>
      </w:r>
      <w:r w:rsidRPr="00FD38BE">
        <w:rPr>
          <w:sz w:val="28"/>
          <w:szCs w:val="28"/>
        </w:rPr>
        <w:t xml:space="preserve"> [3, </w:t>
      </w:r>
      <w:r w:rsidRPr="00FD38BE">
        <w:rPr>
          <w:sz w:val="28"/>
          <w:szCs w:val="28"/>
          <w:lang w:val="en-US"/>
        </w:rPr>
        <w:t>c</w:t>
      </w:r>
      <w:r w:rsidRPr="00FD38BE">
        <w:rPr>
          <w:sz w:val="28"/>
          <w:szCs w:val="28"/>
        </w:rPr>
        <w:t>. 49]</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контексті правотворчого процесу цифрові технології зумовлюють переосмислення стадій підготовки, обговорення та прийняття нормативно-правових актів. Використання електронних систем аналізу регуляторного впливу, цифрових інструментів моніторингу правозастосування та автоматизованої обробки правової інформації впливає на якість нормотворчої діяльності, змінює вимоги до юридичної техніки та структури нормативного тексту [4, </w:t>
      </w:r>
      <w:r w:rsidRPr="00FD38BE">
        <w:rPr>
          <w:sz w:val="28"/>
          <w:szCs w:val="28"/>
          <w:lang w:val="en-US"/>
        </w:rPr>
        <w:t>c</w:t>
      </w:r>
      <w:r w:rsidRPr="00FD38BE">
        <w:rPr>
          <w:sz w:val="28"/>
          <w:szCs w:val="28"/>
          <w:lang w:val="uk-UA"/>
        </w:rPr>
        <w:t>. 227]. Нормативні приписи дедалі частіше формуються з урахуванням їх машинної оброблюваності, що актуалізує питання формалізації юридичних категорій і логіко-структурної чіткості правових норм.</w:t>
      </w:r>
    </w:p>
    <w:p w:rsidR="00076275" w:rsidRPr="00FD38BE" w:rsidRDefault="00076275" w:rsidP="00076275">
      <w:pPr>
        <w:spacing w:line="360" w:lineRule="auto"/>
        <w:ind w:firstLine="709"/>
        <w:jc w:val="both"/>
        <w:rPr>
          <w:sz w:val="28"/>
          <w:szCs w:val="28"/>
          <w:lang w:val="uk-UA"/>
        </w:rPr>
      </w:pPr>
      <w:r w:rsidRPr="00FD38BE">
        <w:rPr>
          <w:sz w:val="28"/>
          <w:szCs w:val="28"/>
          <w:lang w:val="uk-UA"/>
        </w:rPr>
        <w:t>Розглядаючи вплив цифрових технологій на еволюційні та трансформаційні процеси у праві, слід виходити з того, що цифровізація створює не лише нові об’єкти правового регулювання, а й передумови для зміни самої нормативної матерії. Трансформація права під впливом цифрових технологій є об’єктивно зумовленою, оскільки технологічне середовище формує нові способи організації соціальних зв’язків, нові моделі поведінки та нові механізми забезпечення їх обов’язковості.</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межах сучасної правової доктрини обґрунтовується теза про можливість посилення ролі програмного коду як регулятора суспільних відносин. Ідея про те, що архітектура інформаційних систем здатна виконувати </w:t>
      </w:r>
      <w:r w:rsidRPr="00FD38BE">
        <w:rPr>
          <w:sz w:val="28"/>
          <w:szCs w:val="28"/>
          <w:lang w:val="uk-UA"/>
        </w:rPr>
        <w:lastRenderedPageBreak/>
        <w:t xml:space="preserve">функцію нормативного впливу, означає фактичне зміщення акценту з традиційних джерел права на алгоритмізовані правила функціонування цифрового середовища </w:t>
      </w:r>
      <w:r w:rsidRPr="00FD38BE">
        <w:rPr>
          <w:sz w:val="28"/>
          <w:szCs w:val="28"/>
        </w:rPr>
        <w:t xml:space="preserve">[5, </w:t>
      </w:r>
      <w:r w:rsidRPr="00FD38BE">
        <w:rPr>
          <w:sz w:val="28"/>
          <w:szCs w:val="28"/>
          <w:lang w:val="en-US"/>
        </w:rPr>
        <w:t>c</w:t>
      </w:r>
      <w:r w:rsidRPr="00FD38BE">
        <w:rPr>
          <w:sz w:val="28"/>
          <w:szCs w:val="28"/>
        </w:rPr>
        <w:t>. 20]</w:t>
      </w:r>
      <w:r w:rsidRPr="00FD38BE">
        <w:rPr>
          <w:sz w:val="28"/>
          <w:szCs w:val="28"/>
          <w:lang w:val="uk-UA"/>
        </w:rPr>
        <w:t>. У такому контексті програмний код виступає інструментом безпосереднього впорядкування поведінки суб’єктів, оскільки обмеження, закладені в цифрову інфраструктуру, реалізуються автоматично і не потребують індивідуального правозастосовного акту.</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За умови збереження високих темпів цифрової трансформації державного управління правотворчий процес дедалі тісніше інтегрується з розробленням і впровадженням державних інформаційних систем [1; 4], що зумовлює появу нових способів об’єктивації правових норм, зокрема: алгоритмізованих регуляторних механізмів; автоматизованих процедур прийняття рішень; цифрових моделей фіксації юридичних фактів [1, </w:t>
      </w:r>
      <w:r w:rsidRPr="00FD38BE">
        <w:rPr>
          <w:sz w:val="28"/>
          <w:szCs w:val="28"/>
          <w:lang w:val="en-US"/>
        </w:rPr>
        <w:t>c</w:t>
      </w:r>
      <w:r w:rsidRPr="00FD38BE">
        <w:rPr>
          <w:sz w:val="28"/>
          <w:szCs w:val="28"/>
          <w:lang w:val="uk-UA"/>
        </w:rPr>
        <w:t xml:space="preserve">. 65].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свою чергу нормативні положення можуть набувати форми програмних рішень, у тому числі: алгоритмів, що відтворюють правові конструкції; смарт-контрактів; цифрових протоколів взаємодії між суб’єктами </w:t>
      </w:r>
      <w:r w:rsidRPr="00FD38BE">
        <w:rPr>
          <w:sz w:val="28"/>
          <w:szCs w:val="28"/>
        </w:rPr>
        <w:t xml:space="preserve">[1, </w:t>
      </w:r>
      <w:r w:rsidRPr="00FD38BE">
        <w:rPr>
          <w:sz w:val="28"/>
          <w:szCs w:val="28"/>
          <w:lang w:val="en-US"/>
        </w:rPr>
        <w:t>c</w:t>
      </w:r>
      <w:r w:rsidRPr="00FD38BE">
        <w:rPr>
          <w:sz w:val="28"/>
          <w:szCs w:val="28"/>
        </w:rPr>
        <w:t>. 68]</w:t>
      </w:r>
      <w:r w:rsidRPr="00FD38BE">
        <w:rPr>
          <w:sz w:val="28"/>
          <w:szCs w:val="28"/>
          <w:lang w:val="uk-UA"/>
        </w:rPr>
        <w:t xml:space="preserve">. </w:t>
      </w:r>
    </w:p>
    <w:p w:rsidR="00076275" w:rsidRPr="00FD38BE" w:rsidRDefault="00076275" w:rsidP="00076275">
      <w:pPr>
        <w:spacing w:line="360" w:lineRule="auto"/>
        <w:ind w:firstLine="709"/>
        <w:jc w:val="both"/>
        <w:rPr>
          <w:sz w:val="28"/>
          <w:szCs w:val="28"/>
          <w:lang w:val="uk-UA"/>
        </w:rPr>
      </w:pPr>
      <w:r w:rsidRPr="00FD38BE">
        <w:rPr>
          <w:sz w:val="28"/>
          <w:szCs w:val="28"/>
          <w:lang w:val="uk-UA"/>
        </w:rPr>
        <w:t>Смарт-контракти, автоматизовані реєстри, електронні платформи надання адміністративних послуг функціонують на основі заздалегідь закладених правил, які фактично визначають порядок виникнення, зміни та припинення прав і обов’язків. У такому випадку програмна архітектура стає способом реалізації нормативного регулювання.</w:t>
      </w:r>
    </w:p>
    <w:p w:rsidR="00076275" w:rsidRPr="00FD38BE" w:rsidRDefault="00076275" w:rsidP="00076275">
      <w:pPr>
        <w:spacing w:line="360" w:lineRule="auto"/>
        <w:ind w:firstLine="709"/>
        <w:jc w:val="both"/>
        <w:rPr>
          <w:sz w:val="28"/>
          <w:szCs w:val="28"/>
          <w:lang w:val="uk-UA"/>
        </w:rPr>
      </w:pPr>
      <w:r w:rsidRPr="00FD38BE">
        <w:rPr>
          <w:sz w:val="28"/>
          <w:szCs w:val="28"/>
          <w:lang w:val="uk-UA"/>
        </w:rPr>
        <w:t>Аналіз системи джерел права в умовах цифровізації свідчить про поступову трансформацію уявлень про їх форму та ієрархію. Наряду із нормативно-правовими актами зростає значення електронних реєстрів, державних інформаційних ресурсів і цифрових платформ, які виконують функцію офіційного носія правової інформації. Фактична концентрація юридично значущих відомостей у державних інформаційних системах зумовлює їх особливий статус у механізмі правового регулювання, оскільки саме через них реалізуються правові приписи, підтверджуються юридичні факти та здійснюється доступ до публічної інформації.</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Цифрове середовище формує принципово нові види суспільних відносин, що потребують належного правового визначення. Йдеться про відносини, </w:t>
      </w:r>
      <w:r w:rsidRPr="00FD38BE">
        <w:rPr>
          <w:sz w:val="28"/>
          <w:szCs w:val="28"/>
          <w:lang w:val="uk-UA"/>
        </w:rPr>
        <w:lastRenderedPageBreak/>
        <w:t xml:space="preserve">пов’язані з обігом цифрових прав, цифрових фінансових активів, використанням технології розподіленого реєстру (blockchain), обігом криптоактивів, залученням фінансування через механізми токенізації, а також застосуванням смарт-контрактів [3, </w:t>
      </w:r>
      <w:r w:rsidRPr="00FD38BE">
        <w:rPr>
          <w:sz w:val="28"/>
          <w:szCs w:val="28"/>
          <w:lang w:val="en-US"/>
        </w:rPr>
        <w:t>c</w:t>
      </w:r>
      <w:r w:rsidRPr="00FD38BE">
        <w:rPr>
          <w:sz w:val="28"/>
          <w:szCs w:val="28"/>
          <w:lang w:val="uk-UA"/>
        </w:rPr>
        <w:t>. 51]. У таких сферах правова норма має бути сформульована з урахуванням технічних характеристик відповідної технології, що актуалізує необхідність міждисциплінарного підходу до правотворчості.</w:t>
      </w:r>
    </w:p>
    <w:p w:rsidR="00076275" w:rsidRPr="00FD38BE" w:rsidRDefault="00076275" w:rsidP="00076275">
      <w:pPr>
        <w:spacing w:line="360" w:lineRule="auto"/>
        <w:ind w:firstLine="709"/>
        <w:jc w:val="both"/>
        <w:rPr>
          <w:sz w:val="28"/>
          <w:szCs w:val="28"/>
          <w:lang w:val="uk-UA"/>
        </w:rPr>
      </w:pPr>
      <w:r w:rsidRPr="00FD38BE">
        <w:rPr>
          <w:sz w:val="28"/>
          <w:szCs w:val="28"/>
          <w:lang w:val="uk-UA"/>
        </w:rPr>
        <w:t>Принципово інша архітектура кіберпростору, яка базується на децентралізованих мережах, автоматизованих рішеннях і глобальній доступності цифрових сервісів, зумовлює потребу в розробленні спеціальних правових конструкцій. Йдеться про визначення правового статусу цифрових об’єктів, режиму відповідальності за функціонування алгоритмічних систем, допустимості електронних доказів, а також гарантій захисту прав суб’єктів у середовищі, де регулятивний вплив здійснюється не лише через текст нормативного акта, а й через технічний дизайн системи.</w:t>
      </w:r>
    </w:p>
    <w:p w:rsidR="00076275" w:rsidRPr="00FD38BE" w:rsidRDefault="00076275" w:rsidP="00076275">
      <w:pPr>
        <w:spacing w:line="360" w:lineRule="auto"/>
        <w:ind w:firstLine="709"/>
        <w:jc w:val="both"/>
        <w:rPr>
          <w:sz w:val="28"/>
          <w:szCs w:val="28"/>
          <w:lang w:val="uk-UA"/>
        </w:rPr>
      </w:pPr>
      <w:r w:rsidRPr="00FD38BE">
        <w:rPr>
          <w:sz w:val="28"/>
          <w:szCs w:val="28"/>
          <w:lang w:val="uk-UA"/>
        </w:rPr>
        <w:t>У цьому контексті правотворчість набуває нових ознак: вона передбачає не тільки формулювання нормативного тексту, а й визначення параметрів його цифрової імплементації. Від чіткості юридичних дефініцій, логічної узгодженості норм та їх алгоритмізованості залежить можливість коректного функціонування цифрових інструментів регулювання, що посилює вимоги до якості нормативної техніки та системності законодавчої діяльності.</w:t>
      </w:r>
    </w:p>
    <w:p w:rsidR="00076275" w:rsidRPr="00FD38BE" w:rsidRDefault="00076275" w:rsidP="00076275">
      <w:pPr>
        <w:spacing w:line="360" w:lineRule="auto"/>
        <w:ind w:firstLine="709"/>
        <w:jc w:val="both"/>
        <w:rPr>
          <w:sz w:val="28"/>
          <w:szCs w:val="28"/>
          <w:lang w:val="uk-UA"/>
        </w:rPr>
      </w:pPr>
      <w:r w:rsidRPr="00FD38BE">
        <w:rPr>
          <w:sz w:val="28"/>
          <w:szCs w:val="28"/>
          <w:lang w:val="uk-UA"/>
        </w:rPr>
        <w:t>Отже, вплив цифрових технологій на систему джерел права проявляється у зміні їх форми, функціонального призначення та механізмів реалізації. Електронна форма нормативного акта, інтеграція правових приписів у програмні рішення, посилення ролі державних інформаційних систем і цифрових платформ свідчать про поступовий перехід від виключно текстуальної моделі права до комбінованої – текстуально-алгоритмічної. За таких умов трансформується не лише зовнішня оболонка джерел права, а й їх внутрішня структура, логіка побудови та спосіб доведення до адресата, що впливає на розуміння ієрархії, юридичної сили та способів офіційної фіксації норм.</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Водночас правотворчий процес зазнає якісного оновлення, оскільки цифровізація зумовлює необхідність поєднання юридичної техніки з технологічним проєктуванням. Формування нормативних приписів дедалі більше орієнтується на їх придатність до автоматизованого застосування, інтеграцію в інформаційні системи та забезпечення функціонування у цифровому середовищі. Це вимагає уточнення підходів до визначення правових категорій, підвищення рівня формалізації норм, а також переосмислення співвідношення між текстом нормативного акта і його цифровою імплементацією, що свідчить про системний характер трансформацій у сфері джерел права та правотворчості.</w:t>
      </w:r>
    </w:p>
    <w:p w:rsidR="00076275" w:rsidRPr="00FD38BE" w:rsidRDefault="00076275" w:rsidP="00076275">
      <w:pPr>
        <w:spacing w:line="360" w:lineRule="auto"/>
        <w:ind w:firstLine="709"/>
        <w:jc w:val="both"/>
        <w:rPr>
          <w:rFonts w:eastAsia="Calibri"/>
          <w:b/>
          <w:sz w:val="28"/>
          <w:szCs w:val="28"/>
          <w:lang w:val="uk-UA" w:eastAsia="en-US"/>
        </w:rPr>
      </w:pPr>
    </w:p>
    <w:p w:rsidR="00076275" w:rsidRPr="00FD38BE" w:rsidRDefault="00076275" w:rsidP="00076275">
      <w:pPr>
        <w:spacing w:line="360" w:lineRule="auto"/>
        <w:ind w:firstLine="709"/>
        <w:jc w:val="center"/>
        <w:rPr>
          <w:rFonts w:eastAsia="Calibri"/>
          <w:b/>
          <w:sz w:val="28"/>
          <w:szCs w:val="28"/>
          <w:lang w:val="uk-UA" w:eastAsia="en-US"/>
        </w:rPr>
      </w:pPr>
      <w:r w:rsidRPr="00FD38BE">
        <w:rPr>
          <w:rFonts w:eastAsia="Calibri"/>
          <w:b/>
          <w:sz w:val="28"/>
          <w:szCs w:val="28"/>
          <w:lang w:val="uk-UA" w:eastAsia="en-US"/>
        </w:rPr>
        <w:t>СПИСОК ВИКОРИСТАНИХ ДЖЕРЕЛ</w:t>
      </w:r>
    </w:p>
    <w:p w:rsidR="00076275" w:rsidRPr="00FD38BE" w:rsidRDefault="00076275" w:rsidP="00076275">
      <w:pPr>
        <w:numPr>
          <w:ilvl w:val="0"/>
          <w:numId w:val="5"/>
        </w:numPr>
        <w:spacing w:line="360" w:lineRule="auto"/>
        <w:ind w:left="0" w:firstLine="709"/>
        <w:jc w:val="both"/>
        <w:rPr>
          <w:sz w:val="28"/>
          <w:szCs w:val="28"/>
          <w:lang w:val="uk-UA"/>
        </w:rPr>
      </w:pPr>
      <w:r w:rsidRPr="00FD38BE">
        <w:rPr>
          <w:sz w:val="28"/>
          <w:szCs w:val="28"/>
          <w:lang w:val="uk-UA"/>
        </w:rPr>
        <w:t>Бударний С.В. Цивільно-правове регулювання використання цифрових технологій : дис. … д-ра філософії за спеціальністю 081 «Право». Тернопіль : Західноукраїнський національний університет Міністерства освіти і науки України, 2026. 221 с.</w:t>
      </w:r>
    </w:p>
    <w:p w:rsidR="00076275" w:rsidRPr="00FD38BE" w:rsidRDefault="00076275" w:rsidP="00076275">
      <w:pPr>
        <w:numPr>
          <w:ilvl w:val="0"/>
          <w:numId w:val="5"/>
        </w:numPr>
        <w:spacing w:line="360" w:lineRule="auto"/>
        <w:ind w:left="0" w:firstLine="709"/>
        <w:jc w:val="both"/>
        <w:rPr>
          <w:sz w:val="28"/>
          <w:szCs w:val="28"/>
          <w:lang w:val="uk-UA"/>
        </w:rPr>
      </w:pPr>
      <w:r w:rsidRPr="00FD38BE">
        <w:rPr>
          <w:sz w:val="28"/>
          <w:szCs w:val="28"/>
          <w:lang w:val="uk-UA"/>
        </w:rPr>
        <w:t xml:space="preserve">Міма І.В. Національний правовий менталітет, правова ментальність і глобальні процеси цифровізації: питання взаємодії. </w:t>
      </w:r>
      <w:r w:rsidRPr="00FD38BE">
        <w:rPr>
          <w:i/>
          <w:iCs/>
          <w:sz w:val="28"/>
          <w:szCs w:val="28"/>
          <w:lang w:val="uk-UA"/>
        </w:rPr>
        <w:t>Альманах права</w:t>
      </w:r>
      <w:r w:rsidRPr="00FD38BE">
        <w:rPr>
          <w:sz w:val="28"/>
          <w:szCs w:val="28"/>
          <w:lang w:val="uk-UA"/>
        </w:rPr>
        <w:t>. 2025. Вип. 16. С. 253–263.</w:t>
      </w:r>
    </w:p>
    <w:p w:rsidR="00076275" w:rsidRPr="00FD38BE" w:rsidRDefault="00076275" w:rsidP="00076275">
      <w:pPr>
        <w:numPr>
          <w:ilvl w:val="0"/>
          <w:numId w:val="5"/>
        </w:numPr>
        <w:spacing w:line="360" w:lineRule="auto"/>
        <w:ind w:left="0" w:firstLine="709"/>
        <w:jc w:val="both"/>
        <w:rPr>
          <w:sz w:val="28"/>
          <w:szCs w:val="28"/>
          <w:lang w:val="uk-UA"/>
        </w:rPr>
      </w:pPr>
      <w:r w:rsidRPr="00FD38BE">
        <w:rPr>
          <w:sz w:val="28"/>
          <w:szCs w:val="28"/>
          <w:lang w:val="uk-UA"/>
        </w:rPr>
        <w:t xml:space="preserve">Панова Л.В., Панов О.С. Джерела правового регулювання суспільних відносин у кіберпросторі: між законом, кодом і звичаєм. </w:t>
      </w:r>
      <w:r w:rsidRPr="00FD38BE">
        <w:rPr>
          <w:i/>
          <w:iCs/>
          <w:sz w:val="28"/>
          <w:szCs w:val="28"/>
          <w:lang w:val="uk-UA"/>
        </w:rPr>
        <w:t>Київський часопис права</w:t>
      </w:r>
      <w:r w:rsidRPr="00FD38BE">
        <w:rPr>
          <w:sz w:val="28"/>
          <w:szCs w:val="28"/>
          <w:lang w:val="uk-UA"/>
        </w:rPr>
        <w:t xml:space="preserve">. 2025. № 7. С. 44–53. DOI: </w:t>
      </w:r>
      <w:hyperlink r:id="rId16" w:tgtFrame="_new" w:history="1">
        <w:r w:rsidRPr="00FD38BE">
          <w:rPr>
            <w:sz w:val="28"/>
            <w:szCs w:val="28"/>
            <w:u w:val="single"/>
            <w:lang w:val="uk-UA"/>
          </w:rPr>
          <w:t>https://doi.org/10.32782/klj-2025-7.06</w:t>
        </w:r>
      </w:hyperlink>
    </w:p>
    <w:p w:rsidR="00076275" w:rsidRPr="00FD38BE" w:rsidRDefault="00076275" w:rsidP="00076275">
      <w:pPr>
        <w:numPr>
          <w:ilvl w:val="0"/>
          <w:numId w:val="5"/>
        </w:numPr>
        <w:spacing w:line="360" w:lineRule="auto"/>
        <w:ind w:left="0" w:firstLine="709"/>
        <w:jc w:val="both"/>
        <w:rPr>
          <w:sz w:val="28"/>
          <w:szCs w:val="28"/>
          <w:lang w:val="uk-UA"/>
        </w:rPr>
      </w:pPr>
      <w:r w:rsidRPr="00FD38BE">
        <w:rPr>
          <w:sz w:val="28"/>
          <w:szCs w:val="28"/>
          <w:lang w:val="uk-UA"/>
        </w:rPr>
        <w:t xml:space="preserve">Росовська І.Ю. Вплив цифрових технологій на еволюцію правового статусу індивідуальних суб’єктів адміністративного права. </w:t>
      </w:r>
      <w:r w:rsidRPr="00FD38BE">
        <w:rPr>
          <w:i/>
          <w:iCs/>
          <w:sz w:val="28"/>
          <w:szCs w:val="28"/>
          <w:lang w:val="uk-UA"/>
        </w:rPr>
        <w:t xml:space="preserve">Аналітично-порівняльне правознавство/ </w:t>
      </w:r>
      <w:r w:rsidRPr="00FD38BE">
        <w:rPr>
          <w:sz w:val="28"/>
          <w:szCs w:val="28"/>
          <w:lang w:val="uk-UA"/>
        </w:rPr>
        <w:t xml:space="preserve">2025. Т. 2. № 3. С. 226–231. DOI: </w:t>
      </w:r>
      <w:hyperlink r:id="rId17" w:tgtFrame="_new" w:history="1">
        <w:r w:rsidRPr="00FD38BE">
          <w:rPr>
            <w:sz w:val="28"/>
            <w:szCs w:val="28"/>
            <w:u w:val="single"/>
            <w:lang w:val="uk-UA"/>
          </w:rPr>
          <w:t>https://doi.org/10.24144/2788-6018.2025.03.2.37</w:t>
        </w:r>
      </w:hyperlink>
    </w:p>
    <w:p w:rsidR="00076275" w:rsidRPr="00FD38BE" w:rsidRDefault="00076275" w:rsidP="00076275">
      <w:pPr>
        <w:numPr>
          <w:ilvl w:val="0"/>
          <w:numId w:val="5"/>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Легеза Ю. О. Адміністративно-правове забезпечення безпеки ведення публічних інформаційних сервісів як складова національної безпеки України</w:t>
      </w:r>
      <w:r w:rsidRPr="00FD38BE">
        <w:rPr>
          <w:rFonts w:eastAsia="Calibri"/>
          <w:i/>
          <w:iCs/>
          <w:sz w:val="28"/>
          <w:szCs w:val="28"/>
          <w:lang w:val="uk-UA" w:eastAsia="en-US"/>
        </w:rPr>
        <w:t>. Man and society in the dimensions of socio-cultural transformation: Scientific mo№graph. Riga, Latvia: “Baltija Publishing</w:t>
      </w:r>
      <w:r w:rsidRPr="00FD38BE">
        <w:rPr>
          <w:rFonts w:eastAsia="Calibri"/>
          <w:sz w:val="28"/>
          <w:szCs w:val="28"/>
          <w:lang w:val="uk-UA" w:eastAsia="en-US"/>
        </w:rPr>
        <w:t>”, 2022. 301 p. P. 6–21. https://doi.org/10.30525/978-9934-26-208-1-17 (дата звернення: 08.</w:t>
      </w:r>
      <w:r w:rsidRPr="00FD38BE">
        <w:rPr>
          <w:rFonts w:eastAsia="Calibri"/>
          <w:sz w:val="28"/>
          <w:szCs w:val="28"/>
          <w:lang w:val="en-US" w:eastAsia="en-US"/>
        </w:rPr>
        <w:t>02</w:t>
      </w:r>
      <w:r w:rsidRPr="00FD38BE">
        <w:rPr>
          <w:rFonts w:eastAsia="Calibri"/>
          <w:sz w:val="28"/>
          <w:szCs w:val="28"/>
          <w:lang w:val="uk-UA" w:eastAsia="en-US"/>
        </w:rPr>
        <w:t>.202</w:t>
      </w:r>
      <w:r w:rsidRPr="00FD38BE">
        <w:rPr>
          <w:rFonts w:eastAsia="Calibri"/>
          <w:sz w:val="28"/>
          <w:szCs w:val="28"/>
          <w:lang w:val="en-US" w:eastAsia="en-US"/>
        </w:rPr>
        <w:t>6</w:t>
      </w:r>
      <w:r w:rsidRPr="00FD38BE">
        <w:rPr>
          <w:rFonts w:eastAsia="Calibri"/>
          <w:sz w:val="28"/>
          <w:szCs w:val="28"/>
          <w:lang w:val="uk-UA" w:eastAsia="en-US"/>
        </w:rPr>
        <w:t>).</w:t>
      </w:r>
    </w:p>
    <w:p w:rsidR="00076275" w:rsidRPr="00FD38BE" w:rsidRDefault="00076275" w:rsidP="00076275">
      <w:pPr>
        <w:spacing w:line="360" w:lineRule="auto"/>
        <w:ind w:firstLine="709"/>
        <w:jc w:val="both"/>
        <w:rPr>
          <w:sz w:val="28"/>
          <w:szCs w:val="28"/>
          <w:lang w:val="uk-UA"/>
        </w:rPr>
      </w:pPr>
    </w:p>
    <w:p w:rsidR="00076275" w:rsidRPr="00FD38BE" w:rsidRDefault="00076275" w:rsidP="00076275">
      <w:pPr>
        <w:spacing w:line="360" w:lineRule="auto"/>
        <w:ind w:firstLine="709"/>
        <w:jc w:val="both"/>
        <w:rPr>
          <w:sz w:val="28"/>
          <w:szCs w:val="28"/>
          <w:lang w:val="uk-UA"/>
        </w:rPr>
      </w:pPr>
    </w:p>
    <w:p w:rsidR="00076275" w:rsidRPr="00FD38BE" w:rsidRDefault="00076275" w:rsidP="00076275">
      <w:pPr>
        <w:spacing w:line="360" w:lineRule="auto"/>
        <w:ind w:firstLine="709"/>
        <w:jc w:val="center"/>
        <w:rPr>
          <w:b/>
          <w:bCs/>
          <w:sz w:val="28"/>
          <w:szCs w:val="28"/>
        </w:rPr>
      </w:pPr>
      <w:r w:rsidRPr="00FD38BE">
        <w:rPr>
          <w:b/>
          <w:bCs/>
          <w:sz w:val="28"/>
          <w:szCs w:val="28"/>
        </w:rPr>
        <w:t xml:space="preserve">ШТУЧНИЙ ІНТЕЛЕКТ ЯК ІНСТРУМЕНТ МОДЕРНІЗАЦІЇ СИСТЕМИ ПОДАТКОВОГО КОНТРОЛЮ </w:t>
      </w:r>
    </w:p>
    <w:p w:rsidR="00076275" w:rsidRPr="00FD38BE" w:rsidRDefault="00076275" w:rsidP="00076275">
      <w:pPr>
        <w:spacing w:line="360" w:lineRule="auto"/>
        <w:ind w:firstLine="709"/>
        <w:jc w:val="center"/>
        <w:rPr>
          <w:b/>
          <w:bCs/>
          <w:i/>
          <w:iCs/>
          <w:sz w:val="28"/>
          <w:szCs w:val="28"/>
          <w:lang w:val="uk-UA"/>
        </w:rPr>
      </w:pPr>
      <w:r w:rsidRPr="00FD38BE">
        <w:rPr>
          <w:b/>
          <w:bCs/>
          <w:i/>
          <w:iCs/>
          <w:sz w:val="28"/>
          <w:szCs w:val="28"/>
        </w:rPr>
        <w:t>Боксгорн А.В.</w:t>
      </w:r>
      <w:r w:rsidRPr="00FD38BE">
        <w:rPr>
          <w:b/>
          <w:bCs/>
          <w:i/>
          <w:iCs/>
          <w:sz w:val="28"/>
          <w:szCs w:val="28"/>
          <w:lang w:val="uk-UA"/>
        </w:rPr>
        <w:t>,</w:t>
      </w:r>
    </w:p>
    <w:p w:rsidR="00076275" w:rsidRPr="00FD38BE" w:rsidRDefault="00076275" w:rsidP="00076275">
      <w:pPr>
        <w:spacing w:line="360" w:lineRule="auto"/>
        <w:ind w:firstLine="709"/>
        <w:jc w:val="center"/>
        <w:rPr>
          <w:i/>
          <w:iCs/>
          <w:sz w:val="28"/>
          <w:szCs w:val="28"/>
          <w:lang w:val="uk-UA"/>
        </w:rPr>
      </w:pPr>
      <w:r w:rsidRPr="00FD38BE">
        <w:rPr>
          <w:i/>
          <w:iCs/>
          <w:sz w:val="28"/>
          <w:szCs w:val="28"/>
          <w:lang w:val="uk-UA"/>
        </w:rPr>
        <w:t>д</w:t>
      </w:r>
      <w:r w:rsidRPr="00FD38BE">
        <w:rPr>
          <w:i/>
          <w:iCs/>
          <w:sz w:val="28"/>
          <w:szCs w:val="28"/>
        </w:rPr>
        <w:t xml:space="preserve">оцент кафедри державно-правових дисциплін </w:t>
      </w:r>
    </w:p>
    <w:p w:rsidR="00076275" w:rsidRPr="00FD38BE" w:rsidRDefault="00076275" w:rsidP="00076275">
      <w:pPr>
        <w:spacing w:line="360" w:lineRule="auto"/>
        <w:ind w:firstLine="709"/>
        <w:jc w:val="center"/>
        <w:rPr>
          <w:i/>
          <w:iCs/>
          <w:sz w:val="28"/>
          <w:szCs w:val="28"/>
          <w:lang w:val="uk-UA"/>
        </w:rPr>
      </w:pPr>
      <w:r w:rsidRPr="00FD38BE">
        <w:rPr>
          <w:i/>
          <w:iCs/>
          <w:sz w:val="28"/>
          <w:szCs w:val="28"/>
        </w:rPr>
        <w:t xml:space="preserve">Міжнародного університету, </w:t>
      </w:r>
    </w:p>
    <w:p w:rsidR="00076275" w:rsidRPr="0085383B" w:rsidRDefault="00076275" w:rsidP="00076275">
      <w:pPr>
        <w:spacing w:line="360" w:lineRule="auto"/>
        <w:ind w:firstLine="709"/>
        <w:jc w:val="center"/>
        <w:rPr>
          <w:i/>
          <w:iCs/>
          <w:sz w:val="28"/>
          <w:szCs w:val="28"/>
        </w:rPr>
      </w:pPr>
      <w:r w:rsidRPr="00FD38BE">
        <w:rPr>
          <w:i/>
          <w:iCs/>
          <w:sz w:val="28"/>
          <w:szCs w:val="28"/>
        </w:rPr>
        <w:t xml:space="preserve">доктор філософії в галузі Право, доцент </w:t>
      </w:r>
    </w:p>
    <w:p w:rsidR="00076275" w:rsidRPr="00FD38BE" w:rsidRDefault="00076275" w:rsidP="00076275">
      <w:pPr>
        <w:spacing w:line="360" w:lineRule="auto"/>
        <w:ind w:firstLine="709"/>
        <w:jc w:val="both"/>
        <w:rPr>
          <w:sz w:val="28"/>
          <w:szCs w:val="28"/>
        </w:rPr>
      </w:pPr>
      <w:r w:rsidRPr="00FD38BE">
        <w:rPr>
          <w:sz w:val="28"/>
          <w:szCs w:val="28"/>
        </w:rPr>
        <w:t xml:space="preserve">У сучасних умовах динамічної трансформації економічного середовища традиційні підходи до опрацювання інформації та аналітичних даних у сфері фіскальної політики держави поступово втрачають свою ефективність. Це зумовлено суттєвими змінами </w:t>
      </w:r>
      <w:proofErr w:type="gramStart"/>
      <w:r w:rsidRPr="00FD38BE">
        <w:rPr>
          <w:sz w:val="28"/>
          <w:szCs w:val="28"/>
        </w:rPr>
        <w:t>у</w:t>
      </w:r>
      <w:proofErr w:type="gramEnd"/>
      <w:r w:rsidRPr="00FD38BE">
        <w:rPr>
          <w:sz w:val="28"/>
          <w:szCs w:val="28"/>
        </w:rPr>
        <w:t xml:space="preserve"> способах реалізації економічних процесів, постійним розширенням масштабів інформаційних потоків, а також значним прискоренням темпів їх циркуляції та обміну. За таких обставин класичні інструменти аналізу вже не завжди здатні забезпечити належний рівень оперативності, точності та глибини обробки даних, необхідних для прийняття обґрунтованих управлінських рішень у сфері державного фінансового регулювання.</w:t>
      </w:r>
    </w:p>
    <w:p w:rsidR="00076275" w:rsidRPr="00FD38BE" w:rsidRDefault="00076275" w:rsidP="00076275">
      <w:pPr>
        <w:spacing w:line="360" w:lineRule="auto"/>
        <w:ind w:firstLine="709"/>
        <w:jc w:val="both"/>
        <w:rPr>
          <w:sz w:val="28"/>
          <w:szCs w:val="28"/>
        </w:rPr>
      </w:pPr>
      <w:r w:rsidRPr="00FD38BE">
        <w:rPr>
          <w:sz w:val="28"/>
          <w:szCs w:val="28"/>
        </w:rPr>
        <w:t>У цьому контексті дедалі більшої актуальності набуває потреба у впровадженні сучасних інтелектуальних систем і технологій аналізу даних, які дозволяють ефективніше працювати з великими масивами інформації, виявляти приховані закономірності та оперативно реагувати на зміни економічного середовища. Інтеграція таких інструментів у практику діяльності органів</w:t>
      </w:r>
      <w:proofErr w:type="gramStart"/>
      <w:r w:rsidRPr="00FD38BE">
        <w:rPr>
          <w:sz w:val="28"/>
          <w:szCs w:val="28"/>
        </w:rPr>
        <w:t xml:space="preserve"> Д</w:t>
      </w:r>
      <w:proofErr w:type="gramEnd"/>
      <w:r w:rsidRPr="00FD38BE">
        <w:rPr>
          <w:sz w:val="28"/>
          <w:szCs w:val="28"/>
        </w:rPr>
        <w:t xml:space="preserve">ержавної податкової служби України створює передумови для інноваційної модернізації контрольних процедур, </w:t>
      </w:r>
      <w:proofErr w:type="gramStart"/>
      <w:r w:rsidRPr="00FD38BE">
        <w:rPr>
          <w:sz w:val="28"/>
          <w:szCs w:val="28"/>
        </w:rPr>
        <w:t>п</w:t>
      </w:r>
      <w:proofErr w:type="gramEnd"/>
      <w:r w:rsidRPr="00FD38BE">
        <w:rPr>
          <w:sz w:val="28"/>
          <w:szCs w:val="28"/>
        </w:rPr>
        <w:t>ідвищення прозорості та результативності податкового адміністрування, а також удосконалення механізмів забезпечення фінансової стабільності держави вцілому. Відтак, використання інтелектуальних аналітичних рішень стає не лише технологічним оновленням існуючих підходів, а й важливим стратегічним кроком у напрямі формування більш ефективної, адаптивної та сучасної системи податкового контролю, що має місце у сервісній державі.</w:t>
      </w:r>
    </w:p>
    <w:p w:rsidR="00076275" w:rsidRPr="00FD38BE" w:rsidRDefault="00076275" w:rsidP="00076275">
      <w:pPr>
        <w:spacing w:line="360" w:lineRule="auto"/>
        <w:ind w:firstLine="709"/>
        <w:jc w:val="both"/>
        <w:rPr>
          <w:sz w:val="28"/>
          <w:szCs w:val="28"/>
        </w:rPr>
      </w:pPr>
      <w:r w:rsidRPr="00FD38BE">
        <w:rPr>
          <w:sz w:val="28"/>
          <w:szCs w:val="28"/>
        </w:rPr>
        <w:lastRenderedPageBreak/>
        <w:t xml:space="preserve">Одним із визначальних інструментів сучасних технологій, що сприяє підвищенню об’єктивності, швидкості реагування та належної аналітичної глибини у здійсненні податкового контролю, виступає штучний інтелект. Він є предметом </w:t>
      </w:r>
      <w:proofErr w:type="gramStart"/>
      <w:r w:rsidRPr="00FD38BE">
        <w:rPr>
          <w:sz w:val="28"/>
          <w:szCs w:val="28"/>
        </w:rPr>
        <w:t>досл</w:t>
      </w:r>
      <w:proofErr w:type="gramEnd"/>
      <w:r w:rsidRPr="00FD38BE">
        <w:rPr>
          <w:sz w:val="28"/>
          <w:szCs w:val="28"/>
        </w:rPr>
        <w:t xml:space="preserve">іджень великої кількості як вітчизняних, так і зарубіжних науковців. Окремі напрацювання містяться у роботах Л. Р. Білої-Тіунової   [1], І. О. Боднарчук  [2], Д. В. Ведмідської  [5], О. Ю. Сидорович, М. М. Буковського  [6], А. Ю. Ярошович та інших. Попри наявність значної кількості наукових </w:t>
      </w:r>
      <w:proofErr w:type="gramStart"/>
      <w:r w:rsidRPr="00FD38BE">
        <w:rPr>
          <w:sz w:val="28"/>
          <w:szCs w:val="28"/>
        </w:rPr>
        <w:t>досл</w:t>
      </w:r>
      <w:proofErr w:type="gramEnd"/>
      <w:r w:rsidRPr="00FD38BE">
        <w:rPr>
          <w:sz w:val="28"/>
          <w:szCs w:val="28"/>
        </w:rPr>
        <w:t>іджень, присвячених питанням інтеграції технологій штучного інтелекту у систему податкового контролю, ця проблематика залишається актуальною та потребує подальшого поглибленого вивчення, а також удосконалення існуючих наукових підходів.</w:t>
      </w:r>
    </w:p>
    <w:p w:rsidR="00076275" w:rsidRPr="00FD38BE" w:rsidRDefault="00076275" w:rsidP="00076275">
      <w:pPr>
        <w:spacing w:line="360" w:lineRule="auto"/>
        <w:ind w:firstLine="709"/>
        <w:jc w:val="both"/>
        <w:rPr>
          <w:sz w:val="28"/>
          <w:szCs w:val="28"/>
        </w:rPr>
      </w:pPr>
      <w:r w:rsidRPr="00FD38BE">
        <w:rPr>
          <w:sz w:val="28"/>
          <w:szCs w:val="28"/>
        </w:rPr>
        <w:tab/>
        <w:t xml:space="preserve">Сьогодні у Державній податковій службі України активно впроваджуються інноваційні рішення на основі ШІ, серед яких – Big Data, технології електронного аудиту, блокчейн та автоматизовані системи ризикоаналізу. Як зазначають науковці дані технології АІ забезпечують можливість обробляти великий масштаб даних та проводити об’єктивний контроль з мінімальною участю людини. Окрім того, вони значно зменшують рівень корупційних ризиків, підвищують прозорість податкових перевірок та забезпечують однакові умови для всіх платників податків [5, с. 342]. Перш ніж сформувати свою позицію розглянемо окремі рішення більш детально. </w:t>
      </w:r>
    </w:p>
    <w:p w:rsidR="00076275" w:rsidRPr="00FD38BE" w:rsidRDefault="00076275" w:rsidP="00076275">
      <w:pPr>
        <w:spacing w:line="360" w:lineRule="auto"/>
        <w:ind w:firstLine="709"/>
        <w:jc w:val="both"/>
        <w:rPr>
          <w:sz w:val="28"/>
          <w:szCs w:val="28"/>
        </w:rPr>
      </w:pPr>
      <w:r w:rsidRPr="00FD38BE">
        <w:rPr>
          <w:sz w:val="28"/>
          <w:szCs w:val="28"/>
        </w:rPr>
        <w:tab/>
        <w:t>За підтримки програми EU4PFM Державна податкова служба України розробила та запровадила інноваційне ІТ-рішення — «Автоматизовану систему роботи з великими масивами даних для проведення аналізу ризиків з трансфертного ціноутворення» (Big Data TP). Застосування сучасних технологій у межах цієї системи дає змогу здійснювати комплексний аналіз ризиків трансфертного ціноутворення на макро-, мез</w:t>
      </w:r>
      <w:proofErr w:type="gramStart"/>
      <w:r w:rsidRPr="00FD38BE">
        <w:rPr>
          <w:sz w:val="28"/>
          <w:szCs w:val="28"/>
        </w:rPr>
        <w:t>о-</w:t>
      </w:r>
      <w:proofErr w:type="gramEnd"/>
      <w:r w:rsidRPr="00FD38BE">
        <w:rPr>
          <w:sz w:val="28"/>
          <w:szCs w:val="28"/>
        </w:rPr>
        <w:t xml:space="preserve"> та мікроекономічних рівнях. По суті ця система допомагає виявляти ризикові операції, що використовують транснаціональні компанії для виведення прибутків з України у низькоподаткові юрисдикції. Впровадження такого інструменту сприяє підвищенню рівня добровільного податкового комплаєнсу серед платників податків, а також мінімізує вплив людського фактора у процесі здійснення </w:t>
      </w:r>
      <w:r w:rsidRPr="00FD38BE">
        <w:rPr>
          <w:sz w:val="28"/>
          <w:szCs w:val="28"/>
        </w:rPr>
        <w:lastRenderedPageBreak/>
        <w:t>податкового контролю у сфері трансфертного ціноутворення. Застосування  технологій  Big  Data  в  податковому  контролі  має відповідати процесуальним вимогам щодо захисту персональних даних. Згідно з   чинним   законодавством,   обробка   персональних   даних   повинна здійснюватися  відкрито  і  прозоро  із  застосуванням  засобі</w:t>
      </w:r>
      <w:proofErr w:type="gramStart"/>
      <w:r w:rsidRPr="00FD38BE">
        <w:rPr>
          <w:sz w:val="28"/>
          <w:szCs w:val="28"/>
        </w:rPr>
        <w:t>в</w:t>
      </w:r>
      <w:proofErr w:type="gramEnd"/>
      <w:r w:rsidRPr="00FD38BE">
        <w:rPr>
          <w:sz w:val="28"/>
          <w:szCs w:val="28"/>
        </w:rPr>
        <w:t xml:space="preserve">  та  у  спосіб,  що відповідають  визначеним  цілям  такої  обробки  [8]. </w:t>
      </w:r>
      <w:r w:rsidRPr="00FD38BE">
        <w:rPr>
          <w:sz w:val="28"/>
          <w:szCs w:val="28"/>
        </w:rPr>
        <w:tab/>
      </w:r>
    </w:p>
    <w:p w:rsidR="00076275" w:rsidRPr="00FD38BE" w:rsidRDefault="00076275" w:rsidP="00076275">
      <w:pPr>
        <w:spacing w:line="360" w:lineRule="auto"/>
        <w:ind w:firstLine="709"/>
        <w:jc w:val="both"/>
        <w:rPr>
          <w:sz w:val="28"/>
          <w:szCs w:val="28"/>
        </w:rPr>
      </w:pPr>
      <w:r w:rsidRPr="00FD38BE">
        <w:rPr>
          <w:sz w:val="28"/>
          <w:szCs w:val="28"/>
        </w:rPr>
        <w:tab/>
      </w:r>
      <w:proofErr w:type="gramStart"/>
      <w:r w:rsidRPr="00FD38BE">
        <w:rPr>
          <w:sz w:val="28"/>
          <w:szCs w:val="28"/>
        </w:rPr>
        <w:t>У</w:t>
      </w:r>
      <w:proofErr w:type="gramEnd"/>
      <w:r w:rsidRPr="00FD38BE">
        <w:rPr>
          <w:sz w:val="28"/>
          <w:szCs w:val="28"/>
        </w:rPr>
        <w:t xml:space="preserve"> рамках цифрової трансформації контрольно-перевірочної роботи, ДПС впровадила процедуру електронного аудиту (е-аудит). Це передбачає автоматизацію процесів організації та проведення документальних і фактичних перевірок. Зокрема, розроблено стандартний аудиторський файл (SAF-T UA), який великі платники податків зобов'язані надавати в електронному вигляді на запит податкового органу під час проведення документальної перевірки. Поданий файл має містити всю ключову інформацію про господарські операції, бухгалтерський </w:t>
      </w:r>
      <w:proofErr w:type="gramStart"/>
      <w:r w:rsidRPr="00FD38BE">
        <w:rPr>
          <w:sz w:val="28"/>
          <w:szCs w:val="28"/>
        </w:rPr>
        <w:t>обл</w:t>
      </w:r>
      <w:proofErr w:type="gramEnd"/>
      <w:r w:rsidRPr="00FD38BE">
        <w:rPr>
          <w:sz w:val="28"/>
          <w:szCs w:val="28"/>
        </w:rPr>
        <w:t>ік, активи, податкові зобов’язання, інші первинні показники діяльності платника податків. Це дозволяє автоматично аналізувати мільйони рядків даних, інтегрувати інформацію з різних систем, здійснювати розрахунки ризиків невідповідності умов контрольованих операцій принципу «витягнутої руки», зменшувати кількість податкових порушень та судових спорі</w:t>
      </w:r>
      <w:proofErr w:type="gramStart"/>
      <w:r w:rsidRPr="00FD38BE">
        <w:rPr>
          <w:sz w:val="28"/>
          <w:szCs w:val="28"/>
        </w:rPr>
        <w:t>в</w:t>
      </w:r>
      <w:proofErr w:type="gramEnd"/>
      <w:r w:rsidRPr="00FD38BE">
        <w:rPr>
          <w:sz w:val="28"/>
          <w:szCs w:val="28"/>
        </w:rPr>
        <w:t xml:space="preserve">, а також мінімізувати вплив людського фактору  [3]. </w:t>
      </w:r>
    </w:p>
    <w:p w:rsidR="00076275" w:rsidRPr="00FD38BE" w:rsidRDefault="00076275" w:rsidP="00076275">
      <w:pPr>
        <w:spacing w:line="360" w:lineRule="auto"/>
        <w:ind w:firstLine="709"/>
        <w:jc w:val="both"/>
        <w:rPr>
          <w:sz w:val="28"/>
          <w:szCs w:val="28"/>
        </w:rPr>
      </w:pPr>
      <w:r w:rsidRPr="00FD38BE">
        <w:rPr>
          <w:sz w:val="28"/>
          <w:szCs w:val="28"/>
        </w:rPr>
        <w:t>Щодо блокчейну, то тут варто відзначити наступне: на сьогодні в Україні застосування блокчейн‑технологій у податковому контролі знаходиться ще на початковому етапі розвитку і не має широкого практичного впровадження як у деяких інших країнах. Водночас уже здійснюються перші кроки щодо його інтеграції у податковий контроль, зокрема через дослідження технологій реєстрації транзакцій, розвиток законодавчої бази щодо віртуальних активів та експериментальні проекти у сфері обліку податкових операцій. Це створює потенціал для майбутньої прозорої, безпечної та автоматизованої системи взаємодії між платниками податків і державою.</w:t>
      </w:r>
    </w:p>
    <w:p w:rsidR="00076275" w:rsidRPr="00FD38BE" w:rsidRDefault="00076275" w:rsidP="00076275">
      <w:pPr>
        <w:spacing w:line="360" w:lineRule="auto"/>
        <w:ind w:firstLine="709"/>
        <w:jc w:val="both"/>
        <w:rPr>
          <w:sz w:val="28"/>
          <w:szCs w:val="28"/>
        </w:rPr>
      </w:pPr>
      <w:r w:rsidRPr="00FD38BE">
        <w:rPr>
          <w:sz w:val="28"/>
          <w:szCs w:val="28"/>
        </w:rPr>
        <w:t xml:space="preserve">Вцілому, штучний інтелект у процесі здійснення податкового контролю реалізує низку функцій, що зумовлюють його важливу та багатогранну роль у забезпеченні ефективного й стабільного функціонування фіскальної системи. </w:t>
      </w:r>
      <w:r w:rsidRPr="00FD38BE">
        <w:rPr>
          <w:sz w:val="28"/>
          <w:szCs w:val="28"/>
        </w:rPr>
        <w:lastRenderedPageBreak/>
        <w:t xml:space="preserve">Виділяють: аналітично-прогностичну (ШІ забезпечує швидку обробку великого масштабу даних, що в подальшому забезпечує ефективне прогнозування поведінки платників податків), контрольно-діагностичну (ШІ сприяє швидкій перевірці достовірності наданої інформації, підвищуючи при цьому об’єктивність контролю та зменшуючи людську участь у даному процесі), ризик-менеджменту (ШІ є ключовим інструментом побудови системи оцінювання ризиків відповідно до вимог сучасної цифрової економіки), операційну (автоматизація усіх процесів контролю: від збору інформації до формування звітності контрольної перевірки), комунікаційну (забезпечує налагодження інтерактивної взаємодії між податковими органами та платниками податків для отримання необхідної інформації), антикорупційну (унеможливлює людське втручання в бази даних, що гарантує прозорість даних та правдивість отриманих результатів), нормативно-контрольну (забезпечує можливість здійснення податкового моніторингу відповідно до чинного законодавства) функції  [4, С.72].  </w:t>
      </w:r>
    </w:p>
    <w:p w:rsidR="00076275" w:rsidRPr="00FD38BE" w:rsidRDefault="00076275" w:rsidP="00076275">
      <w:pPr>
        <w:spacing w:line="360" w:lineRule="auto"/>
        <w:ind w:firstLine="709"/>
        <w:jc w:val="both"/>
        <w:rPr>
          <w:sz w:val="28"/>
          <w:szCs w:val="28"/>
        </w:rPr>
      </w:pPr>
      <w:r w:rsidRPr="00FD38BE">
        <w:rPr>
          <w:sz w:val="28"/>
          <w:szCs w:val="28"/>
        </w:rPr>
        <w:t>Цифрова трансформація податкового контролю сприяє підвищенню рівня прозорості фіскальних процедур, зменшенню адміністративного навантаження на платників податків та скороченню кількості податкових правопорушень. Застосування технологій Big Data, електронного аудиту, блокчейну й автоматизованих систем аналізу ризиків забезпечує більш ефективне податкове адміністрування та підвищує результативність контрольних заходів. Водночас треба не забувати про те, що процес цифровізації супроводжується низкою викликів, серед яких важливими є необхідність адаптації нормативно-правової бази, гарантування належного рівня кібербезпеки, підвищення цифрової грамотності платників податків, а також забезпечення технологічної готовності підприємств до використання нових інструментів. У цьому контексті актуальними завданнями залишаються розвиток інтегрованої податкової цифрової платформи та впровадження міжнародних стандартів захисту інформації й кібербезпеки.</w:t>
      </w:r>
    </w:p>
    <w:p w:rsidR="00076275" w:rsidRPr="00FD38BE" w:rsidRDefault="00076275" w:rsidP="00076275">
      <w:pPr>
        <w:spacing w:line="360" w:lineRule="auto"/>
        <w:ind w:firstLine="709"/>
        <w:jc w:val="both"/>
        <w:rPr>
          <w:sz w:val="28"/>
          <w:szCs w:val="28"/>
        </w:rPr>
      </w:pPr>
    </w:p>
    <w:p w:rsidR="00076275" w:rsidRPr="0085383B" w:rsidRDefault="00076275" w:rsidP="00076275">
      <w:pPr>
        <w:spacing w:line="360" w:lineRule="auto"/>
        <w:ind w:firstLine="709"/>
        <w:jc w:val="center"/>
        <w:rPr>
          <w:sz w:val="28"/>
          <w:szCs w:val="28"/>
          <w:lang w:val="uk-UA"/>
        </w:rPr>
      </w:pPr>
      <w:r w:rsidRPr="00FD38BE">
        <w:rPr>
          <w:b/>
          <w:bCs/>
          <w:sz w:val="28"/>
          <w:szCs w:val="28"/>
        </w:rPr>
        <w:t>СПИСОК ВИКОРИСТАНИХ ДЖЕРЕЛ</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lastRenderedPageBreak/>
        <w:t>Біла-Тіунова Л. Р. Податковий контроль в межах цифрових податкових систем в умовах інтеграції України до ЄС. Правові новели. 2024. No 24. С. 61-67</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Боднарчук І. О., Боднар С. В., Матерева А. О. Штучний інтелект як інструмент для протидії ухиленню від сплати податків: аналіз інструментів для виявлення схем ухилення від сплати податків. Юридичний науковий електронний журнал. 2024. Вип. 5. С. 267-269. DOI: https://doi.org/10.32782/2524-0374/2024-5/64 (дата звернення: 06.03.2026)</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 xml:space="preserve">ДПС запровадила Е-аудит. URL: </w:t>
      </w:r>
      <w:hyperlink r:id="rId18">
        <w:r w:rsidRPr="00FD38BE">
          <w:rPr>
            <w:sz w:val="28"/>
            <w:szCs w:val="28"/>
            <w:u w:val="single"/>
          </w:rPr>
          <w:t>https://cabinet.tax.gov.ua/news/4763A26B1E7B055EE0630A214220DAC6</w:t>
        </w:r>
      </w:hyperlink>
      <w:r w:rsidRPr="00FD38BE">
        <w:rPr>
          <w:sz w:val="28"/>
          <w:szCs w:val="28"/>
        </w:rPr>
        <w:t xml:space="preserve"> (дата звернення: 06.03.2026)</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 xml:space="preserve">Жук Остап. Використання штучного інтелекту в системі податкового контролю. XI Всеукраїнські наукові читання пам’яті С. І. Юрія: збірник наукових праць. м. Тернопіль, 12 листопада 2025 року. С. 70-74, С. 72 </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Кондратюк О. М., Ведмідська Д. В. Цифровий податковий контроль: виклики, перспективи та шляхи вдосконалення в Україні. URL: https://ir.kneu.edu.ua/server/api/core/bitstreams/de5bd1d7-4a03-415f-a6ff-7e0a399c5180/content (дата звернення: 06.03.2026)</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Сидорович О. Ю., Буковський М. М., Ярошович А. Ю. Цифрові інструменти податкового адміністрування: сучасні тенденції та перспективи. Інноваційна економіка. 2024. No 4. С. 218-230</w:t>
      </w:r>
    </w:p>
    <w:p w:rsidR="00076275" w:rsidRPr="00FD38BE" w:rsidRDefault="00076275" w:rsidP="00076275">
      <w:pPr>
        <w:numPr>
          <w:ilvl w:val="0"/>
          <w:numId w:val="15"/>
        </w:numPr>
        <w:spacing w:line="360" w:lineRule="auto"/>
        <w:ind w:left="0" w:firstLine="709"/>
        <w:jc w:val="both"/>
        <w:rPr>
          <w:sz w:val="28"/>
          <w:szCs w:val="28"/>
        </w:rPr>
      </w:pPr>
      <w:r w:rsidRPr="00FD38BE">
        <w:rPr>
          <w:sz w:val="28"/>
          <w:szCs w:val="28"/>
        </w:rPr>
        <w:t>Кондратюк О. М., Ведмідська Д. В. Цифровий податковий контроль: виклики, перспективи та шляхи вдосконалення в Україні. URL: https://ir.kneu.edu.ua/server/api/core/bitstreams/de5bd1d7-4a03-415f-a6ff-7e0a399c5180/content (дата звернення: 08.03.2026), с. 342]</w:t>
      </w:r>
    </w:p>
    <w:p w:rsidR="00076275" w:rsidRPr="00273308" w:rsidRDefault="00076275" w:rsidP="00076275">
      <w:pPr>
        <w:numPr>
          <w:ilvl w:val="0"/>
          <w:numId w:val="15"/>
        </w:numPr>
        <w:spacing w:line="360" w:lineRule="auto"/>
        <w:ind w:left="0" w:firstLine="709"/>
        <w:jc w:val="both"/>
        <w:rPr>
          <w:rStyle w:val="af0"/>
          <w:color w:val="auto"/>
          <w:sz w:val="28"/>
          <w:szCs w:val="28"/>
          <w:u w:val="none"/>
        </w:rPr>
      </w:pPr>
      <w:r w:rsidRPr="00FD38BE">
        <w:rPr>
          <w:sz w:val="28"/>
          <w:szCs w:val="28"/>
        </w:rPr>
        <w:t>Про захист персональних даних</w:t>
      </w:r>
      <w:proofErr w:type="gramStart"/>
      <w:r w:rsidRPr="00FD38BE">
        <w:rPr>
          <w:sz w:val="28"/>
          <w:szCs w:val="28"/>
        </w:rPr>
        <w:t xml:space="preserve"> :</w:t>
      </w:r>
      <w:proofErr w:type="gramEnd"/>
      <w:r w:rsidRPr="00FD38BE">
        <w:rPr>
          <w:sz w:val="28"/>
          <w:szCs w:val="28"/>
        </w:rPr>
        <w:t xml:space="preserve"> Закон України від 01.06.2010 No 2297-VI. База даних «Законодавство України». </w:t>
      </w:r>
      <w:hyperlink r:id="rId19" w:anchor="Text" w:history="1">
        <w:r w:rsidRPr="00C17AA3">
          <w:rPr>
            <w:rStyle w:val="af0"/>
            <w:sz w:val="28"/>
            <w:szCs w:val="28"/>
          </w:rPr>
          <w:t>https://zakon.rada.gov.ua/laws/show/2297-17#Text</w:t>
        </w:r>
      </w:hyperlink>
    </w:p>
    <w:p w:rsidR="00076275" w:rsidRDefault="00076275" w:rsidP="00076275">
      <w:pPr>
        <w:spacing w:line="360" w:lineRule="auto"/>
        <w:ind w:left="709"/>
        <w:jc w:val="center"/>
        <w:rPr>
          <w:rFonts w:eastAsia="Calibri"/>
          <w:b/>
          <w:bCs/>
          <w:sz w:val="28"/>
          <w:szCs w:val="28"/>
          <w:lang w:eastAsia="en-US"/>
        </w:rPr>
      </w:pPr>
    </w:p>
    <w:p w:rsidR="00076275" w:rsidRDefault="00076275" w:rsidP="00076275">
      <w:pPr>
        <w:spacing w:line="360" w:lineRule="auto"/>
        <w:ind w:left="709"/>
        <w:jc w:val="center"/>
        <w:rPr>
          <w:rFonts w:eastAsia="Calibri"/>
          <w:b/>
          <w:bCs/>
          <w:sz w:val="28"/>
          <w:szCs w:val="28"/>
          <w:lang w:eastAsia="en-US"/>
        </w:rPr>
      </w:pPr>
    </w:p>
    <w:p w:rsidR="00076275" w:rsidRDefault="00076275" w:rsidP="00076275">
      <w:pPr>
        <w:spacing w:after="170" w:line="360" w:lineRule="auto"/>
        <w:ind w:left="17"/>
        <w:jc w:val="center"/>
        <w:rPr>
          <w:rFonts w:eastAsia="Calibri"/>
          <w:b/>
          <w:bCs/>
          <w:sz w:val="28"/>
          <w:szCs w:val="28"/>
          <w:lang w:val="uk-UA" w:eastAsia="en-US"/>
        </w:rPr>
      </w:pPr>
      <w:r>
        <w:rPr>
          <w:rFonts w:eastAsia="Calibri"/>
          <w:b/>
          <w:bCs/>
          <w:sz w:val="28"/>
          <w:szCs w:val="28"/>
          <w:lang w:val="uk-UA" w:eastAsia="en-US"/>
        </w:rPr>
        <w:lastRenderedPageBreak/>
        <w:t>ЗАБЕЗПЕЧЕННЯ БАЛАНСУ МІЖ ПУБЛІЧНИМ І ПРИВАТНИМ ІНТЕРЕСОМ У ДІЯЛЬНОСТІ ОРГАНІВ ДЕРЖАВНОЇ ВЛАДИ</w:t>
      </w:r>
    </w:p>
    <w:p w:rsidR="00076275" w:rsidRPr="00273308" w:rsidRDefault="00076275" w:rsidP="00076275">
      <w:pPr>
        <w:spacing w:after="170" w:line="360" w:lineRule="auto"/>
        <w:ind w:left="17"/>
        <w:jc w:val="center"/>
        <w:rPr>
          <w:rFonts w:eastAsia="Calibri"/>
          <w:sz w:val="28"/>
          <w:szCs w:val="28"/>
          <w:lang w:eastAsia="en-US"/>
        </w:rPr>
      </w:pPr>
      <w:r w:rsidRPr="00273308">
        <w:rPr>
          <w:rFonts w:eastAsia="Calibri"/>
          <w:b/>
          <w:sz w:val="28"/>
          <w:szCs w:val="28"/>
          <w:lang w:eastAsia="en-US"/>
        </w:rPr>
        <w:t>Ванька В.В.</w:t>
      </w:r>
    </w:p>
    <w:p w:rsidR="00076275" w:rsidRPr="00273308" w:rsidRDefault="00076275" w:rsidP="00076275">
      <w:pPr>
        <w:spacing w:after="170" w:line="256" w:lineRule="auto"/>
        <w:jc w:val="center"/>
        <w:rPr>
          <w:rFonts w:eastAsia="Calibri"/>
          <w:sz w:val="28"/>
          <w:szCs w:val="28"/>
          <w:lang w:eastAsia="en-US"/>
        </w:rPr>
      </w:pPr>
      <w:r w:rsidRPr="00273308">
        <w:rPr>
          <w:rFonts w:eastAsia="Calibri"/>
          <w:sz w:val="28"/>
          <w:szCs w:val="28"/>
          <w:lang w:val="en-US" w:eastAsia="en-US"/>
        </w:rPr>
        <w:t>c</w:t>
      </w:r>
      <w:r w:rsidRPr="00273308">
        <w:rPr>
          <w:rFonts w:eastAsia="Calibri"/>
          <w:sz w:val="28"/>
          <w:szCs w:val="28"/>
          <w:lang w:eastAsia="en-US"/>
        </w:rPr>
        <w:t>тудентка 3 курсу</w:t>
      </w:r>
    </w:p>
    <w:p w:rsidR="00076275" w:rsidRPr="00273308" w:rsidRDefault="00076275" w:rsidP="00076275">
      <w:pPr>
        <w:spacing w:after="170" w:line="256" w:lineRule="auto"/>
        <w:ind w:right="5"/>
        <w:jc w:val="center"/>
        <w:rPr>
          <w:rFonts w:eastAsia="Calibri"/>
          <w:sz w:val="28"/>
          <w:szCs w:val="28"/>
          <w:lang w:val="uk-UA" w:eastAsia="en-US"/>
        </w:rPr>
      </w:pPr>
      <w:r w:rsidRPr="00273308">
        <w:rPr>
          <w:rFonts w:eastAsia="Calibri"/>
          <w:sz w:val="28"/>
          <w:szCs w:val="28"/>
          <w:lang w:eastAsia="en-US"/>
        </w:rPr>
        <w:t>Фахов</w:t>
      </w:r>
      <w:r>
        <w:rPr>
          <w:rFonts w:eastAsia="Calibri"/>
          <w:sz w:val="28"/>
          <w:szCs w:val="28"/>
          <w:lang w:val="uk-UA" w:eastAsia="en-US"/>
        </w:rPr>
        <w:t>ого</w:t>
      </w:r>
      <w:r w:rsidRPr="00273308">
        <w:rPr>
          <w:rFonts w:eastAsia="Calibri"/>
          <w:sz w:val="28"/>
          <w:szCs w:val="28"/>
          <w:lang w:eastAsia="en-US"/>
        </w:rPr>
        <w:t xml:space="preserve"> коледж</w:t>
      </w:r>
      <w:r>
        <w:rPr>
          <w:rFonts w:eastAsia="Calibri"/>
          <w:sz w:val="28"/>
          <w:szCs w:val="28"/>
          <w:lang w:val="uk-UA" w:eastAsia="en-US"/>
        </w:rPr>
        <w:t>у м</w:t>
      </w:r>
      <w:r w:rsidRPr="00273308">
        <w:rPr>
          <w:rFonts w:eastAsia="Calibri"/>
          <w:sz w:val="28"/>
          <w:szCs w:val="28"/>
          <w:lang w:eastAsia="en-US"/>
        </w:rPr>
        <w:t>іжнародного  університету</w:t>
      </w:r>
    </w:p>
    <w:p w:rsidR="00076275" w:rsidRPr="00273308" w:rsidRDefault="00076275" w:rsidP="00076275">
      <w:pPr>
        <w:spacing w:after="275" w:line="256" w:lineRule="auto"/>
        <w:ind w:right="10"/>
        <w:jc w:val="center"/>
        <w:rPr>
          <w:rFonts w:eastAsia="Calibri"/>
          <w:sz w:val="28"/>
          <w:szCs w:val="28"/>
          <w:lang w:eastAsia="en-US"/>
        </w:rPr>
      </w:pPr>
      <w:r w:rsidRPr="00273308">
        <w:rPr>
          <w:rFonts w:eastAsia="Calibri"/>
          <w:sz w:val="28"/>
          <w:szCs w:val="28"/>
          <w:lang w:eastAsia="en-US"/>
        </w:rPr>
        <w:t xml:space="preserve">Науковий керівник: </w:t>
      </w:r>
    </w:p>
    <w:p w:rsidR="00076275" w:rsidRPr="00273308" w:rsidRDefault="00076275" w:rsidP="00076275">
      <w:pPr>
        <w:spacing w:after="275" w:line="256" w:lineRule="auto"/>
        <w:ind w:right="10"/>
        <w:jc w:val="center"/>
        <w:rPr>
          <w:rFonts w:eastAsia="Calibri"/>
          <w:b/>
          <w:bCs/>
          <w:sz w:val="28"/>
          <w:szCs w:val="28"/>
          <w:lang w:val="uk-UA" w:eastAsia="en-US"/>
        </w:rPr>
      </w:pPr>
      <w:r w:rsidRPr="00273308">
        <w:rPr>
          <w:rFonts w:eastAsia="Calibri"/>
          <w:sz w:val="28"/>
          <w:szCs w:val="28"/>
          <w:lang w:val="uk-UA" w:eastAsia="en-US"/>
        </w:rPr>
        <w:t>к.ю.н.</w:t>
      </w:r>
      <w:r w:rsidRPr="00273308">
        <w:rPr>
          <w:rFonts w:eastAsia="Calibri"/>
          <w:sz w:val="28"/>
          <w:szCs w:val="28"/>
          <w:lang w:eastAsia="en-US"/>
        </w:rPr>
        <w:t>, доцент</w:t>
      </w:r>
      <w:r w:rsidRPr="00273308">
        <w:rPr>
          <w:rFonts w:eastAsia="Calibri"/>
          <w:b/>
          <w:bCs/>
          <w:sz w:val="28"/>
          <w:szCs w:val="28"/>
          <w:lang w:eastAsia="en-US"/>
        </w:rPr>
        <w:t xml:space="preserve"> </w:t>
      </w:r>
      <w:r w:rsidRPr="00273308">
        <w:rPr>
          <w:rFonts w:eastAsia="Calibri"/>
          <w:b/>
          <w:bCs/>
          <w:sz w:val="28"/>
          <w:szCs w:val="28"/>
          <w:lang w:val="uk-UA" w:eastAsia="en-US"/>
        </w:rPr>
        <w:t>Боксгорн А.В.</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У сучасній правовій державі одним із ключових завдань є забезпечення балансу між публічними та приватними інтересами. Діяльність органів державної влади спрямована на реалізацію суспільно важливих завдань, однак водночас вона не повинна порушувати права і свободи окремої людини. Саме тому важливо досягати гармонійного співвідношення між інтересами держави та інтересами громадян, що є необхідною умовою функціонування демократичної правової держави [1]. </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w:t>
      </w:r>
      <w:r w:rsidRPr="00273308">
        <w:rPr>
          <w:rFonts w:ascii="Calibri" w:eastAsia="Calibri" w:hAnsi="Calibri"/>
          <w:sz w:val="22"/>
          <w:szCs w:val="22"/>
          <w:lang w:eastAsia="en-US"/>
        </w:rPr>
        <w:t xml:space="preserve"> </w:t>
      </w:r>
      <w:r w:rsidRPr="00273308">
        <w:rPr>
          <w:rFonts w:eastAsia="Calibri"/>
          <w:sz w:val="28"/>
          <w:szCs w:val="28"/>
          <w:lang w:val="uk-UA" w:eastAsia="en-US"/>
        </w:rPr>
        <w:t>Публічний інтерес пов’язаний із потребами держави та суспільства в цілому. До таких інтересів належать забезпечення громадського порядку, національної безпеки, економічного розвитку держави, охорона довкілля, соціальний захист населення та інші суспільно значущі завдання. Реалізація публічних інтересів здійснюється через діяльність органів державної влади, органів місцевого самоврядування та інших суб’єктів публічного управління [6].</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Приватний інтерес, навпаки, стосується конкретної особи або групи осіб. Він включає право власності, свободу підприємницької діяльності, право на працю, освіту, охорону здоров’я, свободу пересування та інші конституційні права і свободи людини. У демократичному суспільстві держава повинна не лише забезпечувати реалізацію цих прав, але й гарантувати їх належний захист [1]. Важливу роль у забезпеченні балансу між публічними та приватними інтересами відіграє принцип верховенства права, відповідно до якого права і свободи людини визнаються найвищою соціальною цінністю, а діяльність державних органів повинна здійснюватися з урахуванням їх забезпечення та </w:t>
      </w:r>
      <w:r w:rsidRPr="00273308">
        <w:rPr>
          <w:rFonts w:eastAsia="Calibri"/>
          <w:sz w:val="28"/>
          <w:szCs w:val="28"/>
          <w:lang w:val="uk-UA" w:eastAsia="en-US"/>
        </w:rPr>
        <w:lastRenderedPageBreak/>
        <w:t>захисту [5]. Дотримання цього принципу сприяє формуванню ефективної системи взаємодії між державою та громадянами.</w:t>
      </w:r>
    </w:p>
    <w:p w:rsidR="00076275" w:rsidRPr="00273308" w:rsidRDefault="00076275" w:rsidP="00076275">
      <w:pPr>
        <w:spacing w:line="360" w:lineRule="auto"/>
        <w:jc w:val="both"/>
        <w:rPr>
          <w:rFonts w:eastAsia="Calibri"/>
          <w:sz w:val="28"/>
          <w:szCs w:val="28"/>
          <w:lang w:val="uk-UA" w:eastAsia="en-US"/>
        </w:rPr>
      </w:pPr>
      <w:r w:rsidRPr="00273308">
        <w:rPr>
          <w:rFonts w:eastAsia="Calibri"/>
          <w:sz w:val="28"/>
          <w:szCs w:val="28"/>
          <w:lang w:val="uk-UA" w:eastAsia="en-US"/>
        </w:rPr>
        <w:t> </w:t>
      </w:r>
      <w:r w:rsidRPr="00273308">
        <w:rPr>
          <w:rFonts w:ascii="Calibri" w:eastAsia="Calibri" w:hAnsi="Calibri"/>
          <w:sz w:val="22"/>
          <w:szCs w:val="22"/>
          <w:lang w:eastAsia="en-US"/>
        </w:rPr>
        <w:t xml:space="preserve"> </w:t>
      </w:r>
      <w:r w:rsidRPr="00273308">
        <w:rPr>
          <w:rFonts w:eastAsia="Calibri"/>
          <w:sz w:val="28"/>
          <w:szCs w:val="28"/>
          <w:lang w:val="uk-UA" w:eastAsia="en-US"/>
        </w:rPr>
        <w:t>Забезпечення балансу між публічними та приватними інтересами здійснюється також через систему принципів та правових механізмів діяльності органів державної влади. Одним із ключових є принцип законності, відповідно до якого органи державної влади та посадові особи можуть діяти лише на підставі, в межах повноважень та у спосіб, що передбачені законом [1]. Це запобігає зловживанню владними повноваженнями та гарантує захист прав громадян.</w:t>
      </w:r>
      <w:r w:rsidRPr="00273308">
        <w:rPr>
          <w:rFonts w:ascii="Calibri" w:eastAsia="Calibri" w:hAnsi="Calibri"/>
          <w:sz w:val="22"/>
          <w:szCs w:val="22"/>
          <w:lang w:eastAsia="en-US"/>
        </w:rPr>
        <w:t xml:space="preserve"> </w:t>
      </w:r>
      <w:r w:rsidRPr="00273308">
        <w:rPr>
          <w:rFonts w:eastAsia="Calibri"/>
          <w:sz w:val="28"/>
          <w:szCs w:val="28"/>
          <w:lang w:val="uk-UA" w:eastAsia="en-US"/>
        </w:rPr>
        <w:t>Не менш важливим є принцип пропорційності. Він означає, що будь-яке втручання держави у сферу прав і свобод людини повинно бути обґрунтованим, необхідним та співмірним із поставленою метою [5]. Наприклад, у випадках забезпечення громадської безпеки держава може встановлювати певні обмеження, однак такі обмеження не повинні перевищувати необхідний рівень і мають відповідати суспільним потребам.</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w:t>
      </w:r>
      <w:r w:rsidRPr="00273308">
        <w:rPr>
          <w:rFonts w:ascii="Calibri" w:eastAsia="Calibri" w:hAnsi="Calibri"/>
          <w:sz w:val="22"/>
          <w:szCs w:val="22"/>
          <w:lang w:eastAsia="en-US"/>
        </w:rPr>
        <w:t xml:space="preserve"> </w:t>
      </w:r>
      <w:r w:rsidRPr="00273308">
        <w:rPr>
          <w:rFonts w:eastAsia="Calibri"/>
          <w:sz w:val="28"/>
          <w:szCs w:val="28"/>
          <w:lang w:val="uk-UA" w:eastAsia="en-US"/>
        </w:rPr>
        <w:t>Важливу роль у забезпеченні балансу інтересів відіграє адміністративна процедура. Вона визначає порядок прийняття рішень органами публічної влади, забезпечує прозорість їх діяльності та надає громадянам можливість брати участь у процесі прийняття управлінських рішень. Запровадження адміністративних процедур сприяє підвищенню рівня довіри громадян до державних інституцій [3].</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w:t>
      </w:r>
      <w:r w:rsidRPr="00273308">
        <w:rPr>
          <w:rFonts w:ascii="Calibri" w:eastAsia="Calibri" w:hAnsi="Calibri"/>
          <w:sz w:val="22"/>
          <w:szCs w:val="22"/>
          <w:lang w:eastAsia="en-US"/>
        </w:rPr>
        <w:t xml:space="preserve"> </w:t>
      </w:r>
      <w:r w:rsidRPr="00273308">
        <w:rPr>
          <w:rFonts w:eastAsia="Calibri"/>
          <w:sz w:val="28"/>
          <w:szCs w:val="28"/>
          <w:lang w:val="uk-UA" w:eastAsia="en-US"/>
        </w:rPr>
        <w:t xml:space="preserve">Важливу роль у забезпеченні балансу інтересів відіграє адміністративна процедура. Вона визначає порядок прийняття рішень органами публічної влади, забезпечує прозорість їх діяльності та надає громадянам можливість брати участь у процесі прийняття управлінських рішень. Запровадження адміністративних процедур сприяє підвищенню рівня довіри громадян до державних інституцій [3]. </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w:t>
      </w:r>
      <w:r w:rsidRPr="00273308">
        <w:rPr>
          <w:rFonts w:ascii="Calibri" w:eastAsia="Calibri" w:hAnsi="Calibri"/>
          <w:sz w:val="22"/>
          <w:szCs w:val="22"/>
          <w:lang w:eastAsia="en-US"/>
        </w:rPr>
        <w:t xml:space="preserve"> </w:t>
      </w:r>
      <w:r w:rsidRPr="00273308">
        <w:rPr>
          <w:rFonts w:eastAsia="Calibri"/>
          <w:sz w:val="28"/>
          <w:szCs w:val="28"/>
          <w:lang w:val="uk-UA" w:eastAsia="en-US"/>
        </w:rPr>
        <w:t xml:space="preserve">Крім судового захисту, важливим є також адміністративне оскарження, тобто можливість звернення до вищестоящого органу влади з метою перегляду прийнятого рішення. Такий механізм дозволяє швидше вирішувати спори між громадянами та органами влади без необхідності звернення до суду [4]. У </w:t>
      </w:r>
      <w:r w:rsidRPr="00273308">
        <w:rPr>
          <w:rFonts w:eastAsia="Calibri"/>
          <w:sz w:val="28"/>
          <w:szCs w:val="28"/>
          <w:lang w:val="uk-UA" w:eastAsia="en-US"/>
        </w:rPr>
        <w:lastRenderedPageBreak/>
        <w:t>сучасних умовах діяльність органів державної влади також спрямована на розвиток системи адміністративних послуг.</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Держава поступово переходить від традиційної управлінської моделі до сервісної, у якій органи влади виконують функцію надання якісних послуг громадянам. Це сприяє підвищенню ефективності публічного управління, покращенню взаємодії між державою та суспільством і формуванню довіри громадян до державних інституцій [7].</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Отже, забезпечення балансу між публічними та приватними інтересами є важливою умовою функціонування демократичної правової держави. Завдяки принципам верховенства права, законності та пропорційності, чітким адміністративним процедурам, можливості адміністративного та судового оскарження рішень органів влади створюються умови для ефективної діяльності держави та належного захисту прав людини. Саме такий підхід дозволяє забезпечити гармонійне співвідношення інтересів держави і громадян та сприяє розвитку правової держави [6].</w:t>
      </w:r>
    </w:p>
    <w:p w:rsidR="00076275" w:rsidRDefault="00076275" w:rsidP="00076275">
      <w:pPr>
        <w:spacing w:line="360" w:lineRule="auto"/>
        <w:ind w:firstLine="709"/>
        <w:jc w:val="both"/>
        <w:rPr>
          <w:rFonts w:eastAsia="Calibri"/>
          <w:b/>
          <w:bCs/>
          <w:sz w:val="28"/>
          <w:szCs w:val="28"/>
          <w:lang w:val="uk-UA" w:eastAsia="en-US"/>
        </w:rPr>
      </w:pPr>
    </w:p>
    <w:p w:rsidR="00076275" w:rsidRPr="00BE477C" w:rsidRDefault="00076275" w:rsidP="00076275">
      <w:pPr>
        <w:spacing w:line="360" w:lineRule="auto"/>
        <w:ind w:firstLine="709"/>
        <w:jc w:val="center"/>
        <w:rPr>
          <w:rFonts w:eastAsia="Calibri"/>
          <w:b/>
          <w:bCs/>
          <w:sz w:val="28"/>
          <w:szCs w:val="28"/>
          <w:lang w:val="uk-UA" w:eastAsia="en-US"/>
        </w:rPr>
      </w:pPr>
      <w:r w:rsidRPr="00BE477C">
        <w:rPr>
          <w:rFonts w:eastAsia="Calibri"/>
          <w:b/>
          <w:bCs/>
          <w:sz w:val="28"/>
          <w:szCs w:val="28"/>
          <w:lang w:val="uk-UA" w:eastAsia="en-US"/>
        </w:rPr>
        <w:t>СПИСОК ВИКОРСТАНИХ ДЖЕРЕЛ</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eastAsia="en-US"/>
        </w:rPr>
        <w:t>1.</w:t>
      </w:r>
      <w:r w:rsidRPr="00273308">
        <w:rPr>
          <w:rFonts w:eastAsia="Calibri"/>
          <w:sz w:val="28"/>
          <w:szCs w:val="28"/>
          <w:lang w:val="uk-UA" w:eastAsia="en-US"/>
        </w:rPr>
        <w:t>Конституція України: Закон України від 28.06.1996 р. № 254к/96-ВР. URL: https://zakon.rada.gov.ua/laws/show/254к/96-вр#Text</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 2. Кодекс адміністративного судочинства України: Закон України від 06.07.2005 р. № 2747-IV. URL: https://zakon.rada.gov.ua/laws/show/2747-15#Text</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 3. Закон України «Про адміністративну процедуру» від 17.02.2022 р. № 2073-IX. URL: https://zakon.rada.gov.ua/laws/show/2073-20#Text</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 4. Закон України «Про звернення громадян» від 02.10.1996 р. № 393/96-ВР. URL: https://zakon.rada.gov.ua/laws/show/393/96-вр#Text</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 5. Рішення Конституційного Суду України від 01.12.2004 р. № 18-рп/2004 у справі щодо принципу верховенства права. URL: https://zakon.rada.gov.ua/laws/show/v018p710-04#Text</w:t>
      </w:r>
    </w:p>
    <w:p w:rsidR="00076275" w:rsidRPr="00273308"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t xml:space="preserve"> 6. Мельник Р.С. Публічний інтерес у публічному управлінні: теоретичні та практичні аспекти // Адміністративне право і процес. — 2022. — №2. — С. 45–52. URL: https://journal-app.uzhnu.edu.ua</w:t>
      </w:r>
    </w:p>
    <w:p w:rsidR="00076275" w:rsidRDefault="00076275" w:rsidP="00076275">
      <w:pPr>
        <w:spacing w:line="360" w:lineRule="auto"/>
        <w:ind w:firstLine="709"/>
        <w:jc w:val="both"/>
        <w:rPr>
          <w:rFonts w:eastAsia="Calibri"/>
          <w:sz w:val="28"/>
          <w:szCs w:val="28"/>
          <w:lang w:val="uk-UA" w:eastAsia="en-US"/>
        </w:rPr>
      </w:pPr>
      <w:r w:rsidRPr="00273308">
        <w:rPr>
          <w:rFonts w:eastAsia="Calibri"/>
          <w:sz w:val="28"/>
          <w:szCs w:val="28"/>
          <w:lang w:val="uk-UA" w:eastAsia="en-US"/>
        </w:rPr>
        <w:lastRenderedPageBreak/>
        <w:t xml:space="preserve"> 7. Бліхар М.М. Баланс публічного та приватного інтересу в адміністративному праві // Юридичний науковий електронний журнал. — 2021. — №7. URL: </w:t>
      </w:r>
      <w:hyperlink r:id="rId20" w:history="1">
        <w:r w:rsidRPr="00273308">
          <w:rPr>
            <w:rStyle w:val="af0"/>
            <w:rFonts w:eastAsia="Calibri"/>
            <w:sz w:val="28"/>
            <w:szCs w:val="28"/>
            <w:lang w:val="uk-UA" w:eastAsia="en-US"/>
          </w:rPr>
          <w:t>http://www.lsej.org.ua</w:t>
        </w:r>
      </w:hyperlink>
    </w:p>
    <w:p w:rsidR="00076275" w:rsidRDefault="00076275" w:rsidP="00076275">
      <w:pPr>
        <w:spacing w:line="360" w:lineRule="auto"/>
        <w:ind w:firstLine="709"/>
        <w:jc w:val="both"/>
        <w:rPr>
          <w:rFonts w:eastAsia="Calibri"/>
          <w:sz w:val="28"/>
          <w:szCs w:val="28"/>
          <w:lang w:val="uk-UA" w:eastAsia="en-US"/>
        </w:rPr>
      </w:pPr>
    </w:p>
    <w:p w:rsidR="00076275" w:rsidRPr="00273308" w:rsidRDefault="00076275" w:rsidP="00076275">
      <w:pPr>
        <w:spacing w:line="360" w:lineRule="auto"/>
        <w:ind w:firstLine="709"/>
        <w:jc w:val="both"/>
        <w:rPr>
          <w:rFonts w:eastAsia="Calibri"/>
          <w:sz w:val="28"/>
          <w:szCs w:val="28"/>
          <w:lang w:val="uk-UA" w:eastAsia="en-US"/>
        </w:rPr>
      </w:pPr>
    </w:p>
    <w:p w:rsidR="00076275" w:rsidRPr="00FD38BE" w:rsidRDefault="00076275" w:rsidP="00076275">
      <w:pPr>
        <w:tabs>
          <w:tab w:val="left" w:pos="1837"/>
        </w:tabs>
        <w:spacing w:line="360" w:lineRule="auto"/>
        <w:ind w:firstLine="709"/>
        <w:jc w:val="center"/>
        <w:rPr>
          <w:rFonts w:eastAsia="Calibri"/>
          <w:b/>
          <w:caps/>
          <w:sz w:val="28"/>
          <w:szCs w:val="28"/>
          <w:lang w:val="uk-UA" w:eastAsia="en-US"/>
        </w:rPr>
      </w:pPr>
      <w:r w:rsidRPr="00FD38BE">
        <w:rPr>
          <w:rFonts w:eastAsia="Calibri"/>
          <w:b/>
          <w:caps/>
          <w:sz w:val="28"/>
          <w:szCs w:val="28"/>
          <w:lang w:val="uk-UA" w:eastAsia="en-US"/>
        </w:rPr>
        <w:t>Функція охорони правопорядку як ключовий напрям діяльності держави</w:t>
      </w:r>
    </w:p>
    <w:p w:rsidR="00076275" w:rsidRPr="00FD38BE" w:rsidRDefault="00076275" w:rsidP="00076275">
      <w:pPr>
        <w:spacing w:line="360" w:lineRule="auto"/>
        <w:ind w:firstLine="709"/>
        <w:jc w:val="center"/>
        <w:rPr>
          <w:rFonts w:eastAsia="Calibri"/>
          <w:b/>
          <w:bCs/>
          <w:i/>
          <w:iCs/>
          <w:sz w:val="28"/>
          <w:szCs w:val="28"/>
          <w:lang w:val="uk-UA" w:eastAsia="en-US"/>
        </w:rPr>
      </w:pPr>
      <w:r w:rsidRPr="00FD38BE">
        <w:rPr>
          <w:rFonts w:eastAsia="Calibri"/>
          <w:b/>
          <w:bCs/>
          <w:i/>
          <w:iCs/>
          <w:sz w:val="28"/>
          <w:szCs w:val="28"/>
          <w:lang w:val="uk-UA" w:eastAsia="en-US"/>
        </w:rPr>
        <w:t>Василишина О. В.</w:t>
      </w:r>
    </w:p>
    <w:p w:rsidR="00076275" w:rsidRPr="00FD38BE"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 xml:space="preserve">студентка 2 курсу магістратури факультету права та економіки  Міжнародного  університету, </w:t>
      </w:r>
    </w:p>
    <w:p w:rsidR="00076275" w:rsidRPr="0085383B"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м. Одеса, Україна</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Функція охорони правопорядку належить до основоположних функцій держави, оскільки саме через її реалізацію забезпечуються стабільність конституційного ладу, реальність прав і свобод людини та утвердження принципу верховенства права [3; 36]. Правопорядок, будучи складовою суспільного порядку, відрізняється тим, що ґрунтується на безпосередньому дотриманні норм права та гарантується системою юридичних засобів їх забезпечення. </w:t>
      </w:r>
    </w:p>
    <w:p w:rsidR="00076275" w:rsidRPr="00FD38BE" w:rsidRDefault="00076275" w:rsidP="00076275">
      <w:pPr>
        <w:spacing w:line="360" w:lineRule="auto"/>
        <w:ind w:firstLine="709"/>
        <w:jc w:val="both"/>
        <w:rPr>
          <w:sz w:val="28"/>
          <w:szCs w:val="28"/>
          <w:lang w:val="uk-UA"/>
        </w:rPr>
      </w:pPr>
      <w:r w:rsidRPr="00FD38BE">
        <w:rPr>
          <w:sz w:val="28"/>
          <w:szCs w:val="28"/>
          <w:lang w:val="uk-UA"/>
        </w:rPr>
        <w:t>У межах теоретико-правового аналізу правопорядок розглядається як складова частина суспільного порядку, що являє собою систему суспільних відносин, які формуються внаслідок дотримання, виконання, використання та застосування правових норм. Він виступає результатом фактичного втілення законності у реальних суспільних відносинах і характеризується впорядкованістю соціальних зв’язків відповідно до вимог права. Як зауважує П. Д. Гуйван – правопорядок є практичним проявом правової визначеності та стабільності правового регулювання [1, с. 206]. Такий підхід узгоджується з положеннями теорії верховенства права, відповідно до яких правопорядок постає не абстрактною категорією, а реальним станом організації суспільних відносин на засадах права.</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Функція держави в теоретико-правовому аспекті визначається як напрям її цілеспрямованого впливу на суспільні відносини, який відображає соціальне </w:t>
      </w:r>
      <w:r w:rsidRPr="00FD38BE">
        <w:rPr>
          <w:sz w:val="28"/>
          <w:szCs w:val="28"/>
          <w:lang w:val="uk-UA"/>
        </w:rPr>
        <w:lastRenderedPageBreak/>
        <w:t>призначення держави та способи реалізації публічної влади. Через функції держава структурує власну діяльність, формує механізми взаємодії з суспільством і забезпечує вплив на соціальні процеси. У цьому контексті функція охорони правопорядку виступає одним із ключових напрямів, що забезпечує узгоджене функціонування державного механізму, підтримання режиму законності та гарантування правової визначеності [2, с.16 ].</w:t>
      </w:r>
    </w:p>
    <w:p w:rsidR="00076275" w:rsidRPr="00FD38BE" w:rsidRDefault="00076275" w:rsidP="00076275">
      <w:pPr>
        <w:spacing w:line="360" w:lineRule="auto"/>
        <w:ind w:firstLine="709"/>
        <w:jc w:val="both"/>
        <w:rPr>
          <w:sz w:val="28"/>
          <w:szCs w:val="28"/>
          <w:lang w:val="uk-UA"/>
        </w:rPr>
      </w:pPr>
      <w:r w:rsidRPr="00FD38BE">
        <w:rPr>
          <w:sz w:val="28"/>
          <w:szCs w:val="28"/>
          <w:lang w:val="uk-UA"/>
        </w:rPr>
        <w:t>Правопорядок як елемент механізму держави зазнає впливу як внутрішніх, так і зовнішніх чинників. Його стан залежить від соціально-економічних умов, рівня правової культури, ефективності правотворчої та правозастосовної діяльності, а також ступеня довіри громадян до публічної влади [3, с. 97]. Сукупність цих факторів визначає стабільність правового середовища та ефективність функціонування демократичних інститутів. Водночас розвиток правопорядку не має лінійного характеру: його динаміка зумовлена взаємодією різних елементів правової системи – законодавства, правоохоронних органів, судової влади, інститутів громадянського суспільства та механізмів публічного контролю. За відсутності належного рівня правопорядку порушується стабільність соціальних зв’язків, що негативно впливає на розвиток держави.</w:t>
      </w:r>
    </w:p>
    <w:p w:rsidR="00076275" w:rsidRPr="00FD38BE" w:rsidRDefault="00076275" w:rsidP="00076275">
      <w:pPr>
        <w:spacing w:line="360" w:lineRule="auto"/>
        <w:ind w:firstLine="709"/>
        <w:jc w:val="both"/>
        <w:rPr>
          <w:sz w:val="28"/>
          <w:szCs w:val="28"/>
          <w:lang w:val="uk-UA"/>
        </w:rPr>
      </w:pPr>
      <w:r w:rsidRPr="00FD38BE">
        <w:rPr>
          <w:sz w:val="28"/>
          <w:szCs w:val="28"/>
          <w:lang w:val="uk-UA"/>
        </w:rPr>
        <w:t>Реалізація функції охорони правопорядку передбачає не лише застосування примусових заходів, а й створення умов для ефективного функціонування правових інститутів. Йдеться про формування такого правового середовища, у межах якого суб’єкти права можуть передбачати наслідки своєї поведінки, а держава гарантує захист їхніх прав. У цьому аспекті функція охорони правопорядку інтегрує різні форми державного впливу, зокрема:</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забезпечення узгодженого функціонування правоохоронної системи та підтримання її інституційної цілісності;</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координацію діяльності між елементами державного механізму з метою реалізації принципу законності;</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застосування правових засобів управління, спрямованих на попередження та припинення правопорушень [2; 4].</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Об’єктно-суб’єктний характер цієї функції зумовлює її формування під впливом як об’єктивних соціальних процесів, так і діяльності уповноважених органів державної влади. Рівень її ефективності визначається якістю правового регулювання, станом правосвідомості громадян і професійністю правозастосування [5, с. 27]. Правопорядок формується у процесі взаємодії держави та суспільства, де правові цінності набувають практичного змісту через їх реалізацію.</w:t>
      </w:r>
    </w:p>
    <w:p w:rsidR="00076275" w:rsidRPr="00FD38BE" w:rsidRDefault="00076275" w:rsidP="00076275">
      <w:pPr>
        <w:spacing w:line="360" w:lineRule="auto"/>
        <w:ind w:firstLine="709"/>
        <w:jc w:val="both"/>
        <w:rPr>
          <w:sz w:val="28"/>
          <w:szCs w:val="28"/>
          <w:lang w:val="uk-UA"/>
        </w:rPr>
      </w:pPr>
      <w:r w:rsidRPr="00FD38BE">
        <w:rPr>
          <w:sz w:val="28"/>
          <w:szCs w:val="28"/>
          <w:lang w:val="uk-UA"/>
        </w:rPr>
        <w:t>Зміст функції охорони правопорядку трансформується залежно від історичного розвитку держави, соціально-політичних умов та стратегічних пріоритетів державної політики. Сучасні тенденції свідчать про посилення превентивної складової правоохоронної діяльності, орієнтацію на захист прав людини та удосконалення процедур правозастосування [1; 3]. Водночас незмінною залишається її безперервність: підтримання правопорядку є постійним завданням держави протягом усього періоду її функціонування.</w:t>
      </w:r>
    </w:p>
    <w:p w:rsidR="00076275" w:rsidRPr="00FD38BE" w:rsidRDefault="00076275" w:rsidP="00076275">
      <w:pPr>
        <w:spacing w:line="360" w:lineRule="auto"/>
        <w:ind w:firstLine="709"/>
        <w:jc w:val="both"/>
        <w:rPr>
          <w:sz w:val="28"/>
          <w:szCs w:val="28"/>
          <w:lang w:val="uk-UA"/>
        </w:rPr>
      </w:pPr>
      <w:r w:rsidRPr="00FD38BE">
        <w:rPr>
          <w:sz w:val="28"/>
          <w:szCs w:val="28"/>
          <w:lang w:val="uk-UA"/>
        </w:rPr>
        <w:t>Особливістю функції охорони правопорядку є її владно-організаційний характер, що пов’язаний із монополією держави на легітимне застосування примусу. Реалізація цієї функції здійснюється через систему правоохоронних і судових органів, які забезпечують розгляд юридичних справ, притягнення винних до відповідальності та відновлення порушених прав. При цьому застосування примусових заходів має відповідати принципам законності та пропорційності, що гарантує баланс між публічними інтересами та правами людини.</w:t>
      </w:r>
    </w:p>
    <w:p w:rsidR="00076275" w:rsidRPr="00FD38BE" w:rsidRDefault="00076275" w:rsidP="00076275">
      <w:pPr>
        <w:spacing w:line="360" w:lineRule="auto"/>
        <w:ind w:firstLine="709"/>
        <w:jc w:val="both"/>
        <w:rPr>
          <w:sz w:val="28"/>
          <w:szCs w:val="28"/>
          <w:lang w:val="uk-UA"/>
        </w:rPr>
      </w:pPr>
      <w:r w:rsidRPr="00FD38BE">
        <w:rPr>
          <w:sz w:val="28"/>
          <w:szCs w:val="28"/>
          <w:lang w:val="uk-UA"/>
        </w:rPr>
        <w:t>Системний характер функції охорони правопорядку виявляється у поєднанні нормативної основи та інституційного механізму її реалізації. Вона включає суб’єктів, уповноважених здійснювати охоронну діяльність; методи та засоби впливу; а також процедури, що визначають межі й способи реалізації повноважень [6, с. 11]. Правова охорона проявляється у закріпленні комплексу гарантій, створенні спеціалізованих органів, забезпеченні доступу до правової допомоги та впровадженні ефективних процедур захисту прав [1;2].</w:t>
      </w:r>
    </w:p>
    <w:p w:rsidR="00076275" w:rsidRPr="00FD38BE" w:rsidRDefault="00076275" w:rsidP="00076275">
      <w:pPr>
        <w:spacing w:line="360" w:lineRule="auto"/>
        <w:ind w:firstLine="709"/>
        <w:jc w:val="both"/>
        <w:rPr>
          <w:sz w:val="28"/>
          <w:szCs w:val="28"/>
          <w:lang w:val="uk-UA"/>
        </w:rPr>
      </w:pPr>
      <w:r w:rsidRPr="00FD38BE">
        <w:rPr>
          <w:sz w:val="28"/>
          <w:szCs w:val="28"/>
          <w:lang w:val="uk-UA"/>
        </w:rPr>
        <w:t>Основні напрями охоронної діяльності держави охоплюють:</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профілактику та попередження правопорушень;</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lastRenderedPageBreak/>
        <w:t>втручання з метою припинення протиправних дій;</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відновлення порушених прав і компенсацію шкоди;</w:t>
      </w:r>
    </w:p>
    <w:p w:rsidR="00076275" w:rsidRPr="00FD38BE" w:rsidRDefault="00076275" w:rsidP="00076275">
      <w:pPr>
        <w:numPr>
          <w:ilvl w:val="0"/>
          <w:numId w:val="8"/>
        </w:numPr>
        <w:spacing w:line="360" w:lineRule="auto"/>
        <w:ind w:left="0" w:firstLine="709"/>
        <w:contextualSpacing/>
        <w:jc w:val="both"/>
        <w:rPr>
          <w:sz w:val="28"/>
          <w:szCs w:val="28"/>
          <w:lang w:val="uk-UA"/>
        </w:rPr>
      </w:pPr>
      <w:r w:rsidRPr="00FD38BE">
        <w:rPr>
          <w:sz w:val="28"/>
          <w:szCs w:val="28"/>
          <w:lang w:val="uk-UA"/>
        </w:rPr>
        <w:t xml:space="preserve">притягнення винних до юридичної відповідальності </w:t>
      </w:r>
      <w:r w:rsidRPr="00FD38BE">
        <w:rPr>
          <w:sz w:val="28"/>
          <w:szCs w:val="28"/>
        </w:rPr>
        <w:t xml:space="preserve">[3, </w:t>
      </w:r>
      <w:r w:rsidRPr="00FD38BE">
        <w:rPr>
          <w:sz w:val="28"/>
          <w:szCs w:val="28"/>
          <w:lang w:val="en-US"/>
        </w:rPr>
        <w:t>c</w:t>
      </w:r>
      <w:r w:rsidRPr="00FD38BE">
        <w:rPr>
          <w:sz w:val="28"/>
          <w:szCs w:val="28"/>
        </w:rPr>
        <w:t>. 97]</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У різних галузях права ця діяльність набуває специфічних форм. У цивільному праві вона реалізується через відновлювальні та компенсаційні механізми; у конституційному – через превентивні та контрольні процедури; у кримінальному – шляхом застосування заходів державного примусу; у трудовому – через дисциплінарну та матеріальну відповідальність. Така диференціація свідчить про багаторівневий характер функції охорони правопорядку.</w:t>
      </w:r>
    </w:p>
    <w:p w:rsidR="00076275" w:rsidRPr="00FD38BE" w:rsidRDefault="00076275" w:rsidP="00076275">
      <w:pPr>
        <w:spacing w:line="360" w:lineRule="auto"/>
        <w:ind w:firstLine="709"/>
        <w:jc w:val="both"/>
        <w:rPr>
          <w:sz w:val="28"/>
          <w:szCs w:val="28"/>
          <w:lang w:val="uk-UA"/>
        </w:rPr>
      </w:pPr>
      <w:r w:rsidRPr="00FD38BE">
        <w:rPr>
          <w:sz w:val="28"/>
          <w:szCs w:val="28"/>
          <w:lang w:val="uk-UA"/>
        </w:rPr>
        <w:t>Охорона суспільних відносин розпочинається з моменту їх нормативного закріплення та реалізується залежно від характеру загроз. У приватноправовій сфері вона здебільшого здійснюється за ініціативою заінтересованих осіб, тоді як у публічно-правовій – компетентними органами держави в межах їх повноважень. Ця диференціація форм правової охорони відображає складність механізму забезпечення правопорядку у демократичній правовій державі.</w:t>
      </w:r>
    </w:p>
    <w:p w:rsidR="00076275" w:rsidRPr="00FD38BE" w:rsidRDefault="00076275" w:rsidP="00076275">
      <w:pPr>
        <w:spacing w:line="360" w:lineRule="auto"/>
        <w:ind w:firstLine="709"/>
        <w:jc w:val="both"/>
        <w:rPr>
          <w:sz w:val="28"/>
          <w:szCs w:val="28"/>
          <w:lang w:val="uk-UA"/>
        </w:rPr>
      </w:pPr>
      <w:r w:rsidRPr="00FD38BE">
        <w:rPr>
          <w:sz w:val="28"/>
          <w:szCs w:val="28"/>
          <w:lang w:val="uk-UA"/>
        </w:rPr>
        <w:t>Отже, функція охорони правопорядку постає як системний, безперервний і владно-організаційний напрям діяльності держави, що поєднує нормативне регулювання, інституційне забезпечення та механізми юридичної відповідальності з метою підтримання режиму законності, гарантування прав і свобод людини та забезпечення стабільності суспільних відносин. Її реалізація охоплює превентивні, захисні й відновлювальні форми впливу, здійснювані в межах принципів верховенства права, законності та пропорційності, і залежить від якості правового регулювання, ефективності правозастосування та рівня правової культури суспільства. Саме через належне функціонування цієї державної функції забезпечуються передбачуваність правового середовища, довіра до публічної влади та сталий розвиток демократичної правової держави.</w:t>
      </w:r>
    </w:p>
    <w:p w:rsidR="00076275" w:rsidRPr="00FD38BE" w:rsidRDefault="00076275" w:rsidP="00076275">
      <w:pPr>
        <w:spacing w:line="360" w:lineRule="auto"/>
        <w:ind w:firstLine="709"/>
        <w:jc w:val="both"/>
        <w:rPr>
          <w:rFonts w:eastAsia="Calibri"/>
          <w:b/>
          <w:sz w:val="28"/>
          <w:szCs w:val="28"/>
          <w:lang w:val="uk-UA" w:eastAsia="en-US"/>
        </w:rPr>
      </w:pPr>
    </w:p>
    <w:p w:rsidR="00076275" w:rsidRPr="00FD38BE" w:rsidRDefault="00076275" w:rsidP="00076275">
      <w:pPr>
        <w:spacing w:line="360" w:lineRule="auto"/>
        <w:ind w:firstLine="709"/>
        <w:jc w:val="center"/>
        <w:rPr>
          <w:rFonts w:eastAsia="Calibri"/>
          <w:b/>
          <w:sz w:val="28"/>
          <w:szCs w:val="28"/>
          <w:lang w:val="uk-UA" w:eastAsia="en-US"/>
        </w:rPr>
      </w:pPr>
      <w:r w:rsidRPr="00FD38BE">
        <w:rPr>
          <w:rFonts w:eastAsia="Calibri"/>
          <w:b/>
          <w:sz w:val="28"/>
          <w:szCs w:val="28"/>
          <w:lang w:val="uk-UA" w:eastAsia="en-US"/>
        </w:rPr>
        <w:t>СПИСОК ВИКОРИСТАНИХ ДЖЕРЕЛ</w:t>
      </w:r>
    </w:p>
    <w:p w:rsidR="00076275" w:rsidRPr="00FD38BE" w:rsidRDefault="00076275" w:rsidP="00076275">
      <w:pPr>
        <w:numPr>
          <w:ilvl w:val="0"/>
          <w:numId w:val="7"/>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Гуйван П. Д. Правова визначеність як елемент верховенства права. Одеські юридичні читання : матеріали Всеукр. наук.-практ. конф. (м. Одеса, 10–</w:t>
      </w:r>
      <w:r w:rsidRPr="00FD38BE">
        <w:rPr>
          <w:rFonts w:eastAsia="Calibri"/>
          <w:sz w:val="28"/>
          <w:szCs w:val="28"/>
          <w:lang w:val="uk-UA" w:eastAsia="en-US"/>
        </w:rPr>
        <w:lastRenderedPageBreak/>
        <w:t>11 листоп. 2017 р.) / за ред. Г. О. Ульянової; уклад. О. В. Дикий, Ю. Д. Батан. Одеса : Гельветика, 2017. С. 204–208.</w:t>
      </w:r>
    </w:p>
    <w:p w:rsidR="00076275" w:rsidRPr="00FD38BE" w:rsidRDefault="00076275" w:rsidP="00076275">
      <w:pPr>
        <w:numPr>
          <w:ilvl w:val="0"/>
          <w:numId w:val="7"/>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Барнич К. І. Реалізація конституційного права на свободу думки і слова, на вільне вираження своїх поглядів і переконань : автореф. дис. … канд. юрид. наук : 12.00.02. Ужгород, 2020. 22 с.</w:t>
      </w:r>
    </w:p>
    <w:p w:rsidR="00076275" w:rsidRPr="00FD38BE" w:rsidRDefault="00076275" w:rsidP="00076275">
      <w:pPr>
        <w:numPr>
          <w:ilvl w:val="0"/>
          <w:numId w:val="7"/>
        </w:numPr>
        <w:spacing w:line="360" w:lineRule="auto"/>
        <w:ind w:left="0" w:firstLine="709"/>
        <w:jc w:val="both"/>
        <w:rPr>
          <w:sz w:val="28"/>
          <w:szCs w:val="28"/>
          <w:lang w:val="uk-UA"/>
        </w:rPr>
      </w:pPr>
      <w:r w:rsidRPr="00FD38BE">
        <w:rPr>
          <w:sz w:val="28"/>
          <w:szCs w:val="28"/>
          <w:lang w:val="uk-UA"/>
        </w:rPr>
        <w:t xml:space="preserve">Чижов Д. А. Національна безпека як елемент системи забезпечення прав і свобод людини та громадянина. </w:t>
      </w:r>
      <w:r w:rsidRPr="00FD38BE">
        <w:rPr>
          <w:i/>
          <w:iCs/>
          <w:sz w:val="28"/>
          <w:szCs w:val="28"/>
          <w:lang w:val="uk-UA"/>
        </w:rPr>
        <w:t>Держава та регіони. Серія : Право</w:t>
      </w:r>
      <w:r w:rsidRPr="00FD38BE">
        <w:rPr>
          <w:sz w:val="28"/>
          <w:szCs w:val="28"/>
          <w:lang w:val="uk-UA"/>
        </w:rPr>
        <w:t>. 2021. № 4 (74). С. 96–101.</w:t>
      </w:r>
    </w:p>
    <w:p w:rsidR="00076275" w:rsidRPr="00FD38BE" w:rsidRDefault="00076275" w:rsidP="00076275">
      <w:pPr>
        <w:numPr>
          <w:ilvl w:val="0"/>
          <w:numId w:val="7"/>
        </w:numPr>
        <w:spacing w:line="360" w:lineRule="auto"/>
        <w:ind w:left="0" w:firstLine="709"/>
        <w:jc w:val="both"/>
        <w:rPr>
          <w:sz w:val="28"/>
          <w:szCs w:val="28"/>
          <w:lang w:val="uk-UA"/>
        </w:rPr>
      </w:pPr>
      <w:r w:rsidRPr="00FD38BE">
        <w:rPr>
          <w:sz w:val="28"/>
          <w:szCs w:val="28"/>
          <w:lang w:val="uk-UA"/>
        </w:rPr>
        <w:t xml:space="preserve">Котенко Т. В. Становлення прав і свобод людини у вченнях філософів Стародавньої Греції та Риму. </w:t>
      </w:r>
      <w:r w:rsidRPr="00FD38BE">
        <w:rPr>
          <w:i/>
          <w:iCs/>
          <w:sz w:val="28"/>
          <w:szCs w:val="28"/>
          <w:lang w:val="uk-UA"/>
        </w:rPr>
        <w:t>Альманах права</w:t>
      </w:r>
      <w:r w:rsidRPr="00FD38BE">
        <w:rPr>
          <w:sz w:val="28"/>
          <w:szCs w:val="28"/>
          <w:lang w:val="uk-UA"/>
        </w:rPr>
        <w:t>. 2020. Вип. 11. С. 127–133.</w:t>
      </w:r>
    </w:p>
    <w:p w:rsidR="00076275" w:rsidRPr="00FD38BE" w:rsidRDefault="00076275" w:rsidP="00076275">
      <w:pPr>
        <w:numPr>
          <w:ilvl w:val="0"/>
          <w:numId w:val="7"/>
        </w:numPr>
        <w:spacing w:line="360" w:lineRule="auto"/>
        <w:ind w:left="0" w:firstLine="709"/>
        <w:jc w:val="both"/>
        <w:rPr>
          <w:sz w:val="28"/>
          <w:szCs w:val="28"/>
          <w:lang w:val="uk-UA"/>
        </w:rPr>
      </w:pPr>
      <w:r w:rsidRPr="00FD38BE">
        <w:rPr>
          <w:sz w:val="28"/>
          <w:szCs w:val="28"/>
          <w:lang w:val="uk-UA"/>
        </w:rPr>
        <w:t xml:space="preserve">Коваленко І. Свобода преси та демократія. </w:t>
      </w:r>
      <w:r w:rsidRPr="00FD38BE">
        <w:rPr>
          <w:i/>
          <w:iCs/>
          <w:sz w:val="28"/>
          <w:szCs w:val="28"/>
          <w:lang w:val="uk-UA"/>
        </w:rPr>
        <w:t>Вісник Книжкової палати</w:t>
      </w:r>
      <w:r w:rsidRPr="00FD38BE">
        <w:rPr>
          <w:sz w:val="28"/>
          <w:szCs w:val="28"/>
          <w:lang w:val="uk-UA"/>
        </w:rPr>
        <w:t>. 2021. № 9. С. 26–30.</w:t>
      </w:r>
    </w:p>
    <w:p w:rsidR="00076275" w:rsidRPr="0085383B" w:rsidRDefault="00076275" w:rsidP="00076275">
      <w:pPr>
        <w:numPr>
          <w:ilvl w:val="0"/>
          <w:numId w:val="7"/>
        </w:numPr>
        <w:spacing w:line="360" w:lineRule="auto"/>
        <w:ind w:left="0" w:firstLine="709"/>
        <w:jc w:val="both"/>
        <w:rPr>
          <w:sz w:val="28"/>
          <w:szCs w:val="28"/>
          <w:lang w:val="uk-UA"/>
        </w:rPr>
      </w:pPr>
      <w:r w:rsidRPr="00FD38BE">
        <w:rPr>
          <w:sz w:val="28"/>
          <w:szCs w:val="28"/>
          <w:lang w:val="uk-UA"/>
        </w:rPr>
        <w:t xml:space="preserve">Baitalyuk Z. Role of freedom of expression of political views and beliefs in the functioning of a democratic political system. </w:t>
      </w:r>
      <w:r w:rsidRPr="00FD38BE">
        <w:rPr>
          <w:i/>
          <w:iCs/>
          <w:sz w:val="28"/>
          <w:szCs w:val="28"/>
          <w:lang w:val="uk-UA"/>
        </w:rPr>
        <w:t>Ерліхівський журнал</w:t>
      </w:r>
      <w:r w:rsidRPr="00FD38BE">
        <w:rPr>
          <w:sz w:val="28"/>
          <w:szCs w:val="28"/>
          <w:lang w:val="uk-UA"/>
        </w:rPr>
        <w:t>. 2024. Вип. 10. С. 10–14.</w:t>
      </w:r>
    </w:p>
    <w:p w:rsidR="00076275" w:rsidRPr="00FD38BE" w:rsidRDefault="00076275" w:rsidP="00076275">
      <w:pPr>
        <w:tabs>
          <w:tab w:val="left" w:pos="1837"/>
        </w:tabs>
        <w:spacing w:line="360" w:lineRule="auto"/>
        <w:ind w:firstLine="709"/>
        <w:jc w:val="center"/>
        <w:rPr>
          <w:rFonts w:eastAsia="Calibri"/>
          <w:b/>
          <w:caps/>
          <w:sz w:val="28"/>
          <w:szCs w:val="28"/>
          <w:lang w:val="uk-UA" w:eastAsia="en-US"/>
        </w:rPr>
      </w:pPr>
      <w:r w:rsidRPr="00FD38BE">
        <w:rPr>
          <w:rFonts w:eastAsia="Calibri"/>
          <w:b/>
          <w:caps/>
          <w:sz w:val="28"/>
          <w:szCs w:val="28"/>
          <w:lang w:val="uk-UA" w:eastAsia="en-US"/>
        </w:rPr>
        <w:t>Порівняльно-правовий аналіз зарубіжних моделей реалізації інноваційної політики</w:t>
      </w:r>
    </w:p>
    <w:p w:rsidR="00076275" w:rsidRPr="00FD38BE" w:rsidRDefault="00076275" w:rsidP="00076275">
      <w:pPr>
        <w:spacing w:line="360" w:lineRule="auto"/>
        <w:ind w:firstLine="709"/>
        <w:jc w:val="center"/>
        <w:rPr>
          <w:rFonts w:eastAsia="Calibri"/>
          <w:b/>
          <w:bCs/>
          <w:i/>
          <w:iCs/>
          <w:sz w:val="28"/>
          <w:szCs w:val="28"/>
          <w:lang w:val="uk-UA" w:eastAsia="en-US"/>
        </w:rPr>
      </w:pPr>
      <w:r w:rsidRPr="00FD38BE">
        <w:rPr>
          <w:rFonts w:eastAsia="Calibri"/>
          <w:b/>
          <w:bCs/>
          <w:i/>
          <w:iCs/>
          <w:sz w:val="28"/>
          <w:szCs w:val="28"/>
          <w:lang w:val="uk-UA" w:eastAsia="en-US"/>
        </w:rPr>
        <w:t xml:space="preserve">Велієв Володимир Ельчін огли </w:t>
      </w:r>
    </w:p>
    <w:p w:rsidR="00076275" w:rsidRPr="00FD38BE"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 xml:space="preserve">студент 2 курсу магістратури факультету права та економіки  Міжнародного  університету, </w:t>
      </w:r>
    </w:p>
    <w:p w:rsidR="00076275" w:rsidRPr="0085383B" w:rsidRDefault="00076275" w:rsidP="00076275">
      <w:pPr>
        <w:spacing w:line="360" w:lineRule="auto"/>
        <w:ind w:firstLine="709"/>
        <w:jc w:val="center"/>
        <w:rPr>
          <w:rFonts w:eastAsia="Calibri"/>
          <w:i/>
          <w:iCs/>
          <w:sz w:val="28"/>
          <w:szCs w:val="28"/>
          <w:lang w:val="uk-UA" w:eastAsia="en-US"/>
        </w:rPr>
      </w:pPr>
      <w:r w:rsidRPr="00FD38BE">
        <w:rPr>
          <w:rFonts w:eastAsia="Calibri"/>
          <w:i/>
          <w:iCs/>
          <w:sz w:val="28"/>
          <w:szCs w:val="28"/>
          <w:lang w:val="uk-UA" w:eastAsia="en-US"/>
        </w:rPr>
        <w:t>м. Одеса, Україна</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 xml:space="preserve">Правова політика у сучасній теорії держави і права розглядається як складне інтегративне явище, що поєднує нормативний, ідеологічний та управлінський виміри правового розвитку суспільства [1, </w:t>
      </w:r>
      <w:r w:rsidRPr="00FD38BE">
        <w:rPr>
          <w:rFonts w:eastAsia="Calibri"/>
          <w:sz w:val="28"/>
          <w:szCs w:val="28"/>
          <w:lang w:val="en-US" w:eastAsia="en-US"/>
        </w:rPr>
        <w:t>c</w:t>
      </w:r>
      <w:r w:rsidRPr="00FD38BE">
        <w:rPr>
          <w:rFonts w:eastAsia="Calibri"/>
          <w:sz w:val="28"/>
          <w:szCs w:val="28"/>
          <w:lang w:val="uk-UA" w:eastAsia="en-US"/>
        </w:rPr>
        <w:t xml:space="preserve">. 91]. Вона формується на перетині права і державної політики, виступаючи особливою формою цілеспрямованої діяльності публічної влади, спрямованої на визначення стратегічних орієнтирів правового регулювання, добір адекватних юридичних засобів та забезпечення узгодженості правотворчої і правозастосовної практики з суспільними потребами. У цьому значенні правова політика не зводиться ані до сукупності нормативно-правових актів, ані до </w:t>
      </w:r>
      <w:r w:rsidRPr="00FD38BE">
        <w:rPr>
          <w:rFonts w:eastAsia="Calibri"/>
          <w:sz w:val="28"/>
          <w:szCs w:val="28"/>
          <w:lang w:val="uk-UA" w:eastAsia="en-US"/>
        </w:rPr>
        <w:lastRenderedPageBreak/>
        <w:t>окремих управлінських рішень, а постає як концептуально вибудувана система ідей, цілей, принципів і методів, що визначають напрями правового розвитку держави.</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О. М. Вінник підкреслює, що правова політика є невід’ємною складовою загальної політики держави, однак має власну специфіку, оскільки формується і реалізується в межах правової системи та за допомогою юридичних засобів, що зумовлює її особливу роль у процесах цифровізації та інноваційного розвитку [2, c. 30]. Дослідник звертає увагу на те, що саме правова політика забезпечує системне впровадження нових соціально-економічних моделей, створюючи правові рамки для трансформації суспільних відносин без порушення засад правової визначеності та законності. У цьому контексті правова політика виконує функцію стратегічного регулятора, який дозволяє державі реагувати на динамічні зміни, зберігаючи при цьому стабільність правопорядку.</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У наукових працях Н. В. Атаманової, правова політика розглядається крізь призму правової культури та правосвідомості, що дозволяє акцентувати увагу на ціннісному вимірі цього явища. Авторка зазначає, що ефективність правової політики безпосередньо залежить від рівня правової культури суспільства, адже саме вона визначає сприйняття правових рішень, ступінь їх легітимності та реальну дієвість у соціальному середовищі [3, c. 84]. Таким чином, правова політика постає не лише як інструмент державного управління, а і як механізм формування правових цінностей, правових орієнтацій та моделей правомірної поведінки.</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У науковій літературі виокремлюють кілька регіональних моделей інноваційних систем, зокрема американську, європейську та китайську [2; 4], що відрізняються механізмами державного впливу, роллю приватного сектору й інституційною організацією інноваційного середовища. Американська модель базується на пріоритетній підтримці фундаментальних досліджень, розвитку університетської науки та стимулюванні малого інноваційного підприємництва. Важливу роль у забезпеченні динаміки інновацій відіграють венчурні інвестиції, які дозволяють подолати кризові періоди технологічного розвитку та забезпечити швидку комерціалізацію результатів наукових досліджень.</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lastRenderedPageBreak/>
        <w:t>Європейська модель характеризується інституціоналізованою взаємодією держави, бізнесу, наукових установ і освітніх організацій у форматі технологічних платформ та інноваційних кластерів. Такі платформи виступають механізмом координації дослідницьких програм, спільного фінансування інноваційних проєктів і трансферу технологій, що відповідає концепції формування єдиного європейського дослідницького простору та сприяє інтеграції національних інноваційних систем держав – членів ЄС [5, c. 147].</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Китайська модель інноваційного розвитку ґрунтується на активній участі держави у стратегічному плануванні, централізованому розподілі інвестиційних ресурсів і реалізації масштабних державних програм підтримки високотехнологічних галузей. Для неї характерними є концентрація фінансових ресурсів на пріоритетних напрямах технологічного розвитку, створення державних корпорацій і технологічних зон, а також формування спеціальних режимів стимулювання інноваційного підприємництва [1, c. 93].</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Світова практика стимулювання інноваційної діяльності передбачає застосування комплексу правових та економічних інструментів підтримки, серед яких ключове значення мають фінансова і технічна підтримка суб’єктів інноваційної діяльності, адресне фінансування науково-дослідних розробок, податкові стимули для дослідницьких установ і високотехнологічних підприємств, а також гарантії ефективного захисту прав інтелектуальної власності. Значного поширення набули механізми створення наукових парків, бізнес-інкубаторів, спеціальних інноваційних зон і державних агентств підтримки інновацій, що забезпечують комплексне науково-технічне та фінансове супроводження інноваційних проєктів.</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 xml:space="preserve">Окремі держави застосовують інструменти адресної підтримки інновацій, зокрема кредитування на пільгових умовах із поверненням коштів у разі успішної комерціалізації інноваційного продукту, використання спеціальних податкових режимів для інноваційних підприємств та спрощених процедур оподаткування, що сприяє зниженню адміністративного навантаження й підвищенню інвестиційної привабливості інноваційного сектору. У цьому </w:t>
      </w:r>
      <w:r w:rsidRPr="00FD38BE">
        <w:rPr>
          <w:rFonts w:eastAsia="Calibri"/>
          <w:sz w:val="28"/>
          <w:szCs w:val="28"/>
          <w:lang w:val="uk-UA" w:eastAsia="en-US"/>
        </w:rPr>
        <w:lastRenderedPageBreak/>
        <w:t>контексті міжнародні організації наголошують на необхідності формування національних моделей інноваційної політики, які поєднують правові, фінансові та інституційні інструменти з урахуванням специфіки економічного та технологічного розвитку кожної держави.</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Порівняльно-правовий аналіз зарубіжних моделей реалізації інноваційної політики свідчить про те, що ефективність інноваційного розвитку держави безпосередньо залежить від узгодженості правових, інституційних і економічних механізмів підтримки науки, технологій та підприємництва. Узагальнення міжнародного досвіду дозволяє констатувати, що реалізація інноваційної політики потребує системного правового забезпечення, здатного інтегрувати науково-технологічний потенціал держави з економічними і соціальними пріоритетами розвитку та забезпечити стійкість національної інноваційної системи в умовах глобальної конкуренції.</w:t>
      </w:r>
    </w:p>
    <w:p w:rsidR="00076275" w:rsidRPr="00FD38BE" w:rsidRDefault="00076275" w:rsidP="00076275">
      <w:pPr>
        <w:spacing w:line="360" w:lineRule="auto"/>
        <w:jc w:val="both"/>
        <w:rPr>
          <w:rFonts w:eastAsia="Calibri"/>
          <w:b/>
          <w:sz w:val="28"/>
          <w:szCs w:val="28"/>
          <w:lang w:val="uk-UA" w:eastAsia="en-US"/>
        </w:rPr>
      </w:pPr>
    </w:p>
    <w:p w:rsidR="00076275" w:rsidRPr="00FD38BE" w:rsidRDefault="00076275" w:rsidP="00076275">
      <w:pPr>
        <w:spacing w:line="360" w:lineRule="auto"/>
        <w:ind w:firstLine="709"/>
        <w:jc w:val="center"/>
        <w:rPr>
          <w:rFonts w:eastAsia="Calibri"/>
          <w:b/>
          <w:sz w:val="28"/>
          <w:szCs w:val="28"/>
          <w:lang w:val="uk-UA" w:eastAsia="en-US"/>
        </w:rPr>
      </w:pPr>
      <w:r w:rsidRPr="00FD38BE">
        <w:rPr>
          <w:rFonts w:eastAsia="Calibri"/>
          <w:b/>
          <w:sz w:val="28"/>
          <w:szCs w:val="28"/>
          <w:lang w:val="uk-UA" w:eastAsia="en-US"/>
        </w:rPr>
        <w:t>СПИСОК ВИКОРИСТАНИХ ДЖЕРЕЛ</w:t>
      </w:r>
    </w:p>
    <w:p w:rsidR="00076275" w:rsidRPr="00FD38BE" w:rsidRDefault="00076275" w:rsidP="00076275">
      <w:pPr>
        <w:numPr>
          <w:ilvl w:val="0"/>
          <w:numId w:val="9"/>
        </w:numPr>
        <w:spacing w:line="360" w:lineRule="auto"/>
        <w:ind w:left="0" w:firstLine="709"/>
        <w:contextualSpacing/>
        <w:jc w:val="both"/>
        <w:rPr>
          <w:rFonts w:eastAsia="Calibri"/>
          <w:sz w:val="28"/>
          <w:szCs w:val="28"/>
          <w:lang w:val="uk-UA" w:eastAsia="en-US"/>
        </w:rPr>
      </w:pPr>
      <w:bookmarkStart w:id="1" w:name="_Hlk182322282"/>
      <w:r w:rsidRPr="00FD38BE">
        <w:rPr>
          <w:rFonts w:eastAsia="Calibri"/>
          <w:sz w:val="28"/>
          <w:szCs w:val="28"/>
          <w:lang w:val="uk-UA" w:eastAsia="en-US"/>
        </w:rPr>
        <w:t xml:space="preserve">Польовий П. В. Нормативно-правовий механізм цифрових трансформацій в органах публічної влади та розвитку цифрових компетентностей публічних службовців. </w:t>
      </w:r>
      <w:r w:rsidRPr="00FD38BE">
        <w:rPr>
          <w:rFonts w:eastAsia="Calibri"/>
          <w:i/>
          <w:iCs/>
          <w:sz w:val="28"/>
          <w:szCs w:val="28"/>
          <w:lang w:val="uk-UA" w:eastAsia="en-US"/>
        </w:rPr>
        <w:t>Вчені записки ТНУ імені В. І. Вернадського. Серія: Публічне управління та адміністрування</w:t>
      </w:r>
      <w:r w:rsidRPr="00FD38BE">
        <w:rPr>
          <w:rFonts w:eastAsia="Calibri"/>
          <w:sz w:val="28"/>
          <w:szCs w:val="28"/>
          <w:lang w:val="uk-UA" w:eastAsia="en-US"/>
        </w:rPr>
        <w:t>. 2022. Т. 33 (72). № 4. С. 84–93.</w:t>
      </w:r>
    </w:p>
    <w:bookmarkEnd w:id="1"/>
    <w:p w:rsidR="00076275" w:rsidRPr="00FD38BE" w:rsidRDefault="00076275" w:rsidP="00076275">
      <w:pPr>
        <w:numPr>
          <w:ilvl w:val="0"/>
          <w:numId w:val="9"/>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 xml:space="preserve">Вінник О. М. Правове регулювання відносин цифровізації: місце і роль у правовій системі та системі господарського права України. </w:t>
      </w:r>
      <w:r w:rsidRPr="00FD38BE">
        <w:rPr>
          <w:rFonts w:eastAsia="Calibri"/>
          <w:i/>
          <w:iCs/>
          <w:sz w:val="28"/>
          <w:szCs w:val="28"/>
          <w:lang w:val="uk-UA" w:eastAsia="en-US"/>
        </w:rPr>
        <w:t>Актуальні проблеми права: теорія і практика</w:t>
      </w:r>
      <w:r w:rsidRPr="00FD38BE">
        <w:rPr>
          <w:rFonts w:eastAsia="Calibri"/>
          <w:sz w:val="28"/>
          <w:szCs w:val="28"/>
          <w:lang w:val="uk-UA" w:eastAsia="en-US"/>
        </w:rPr>
        <w:t>. 2022. № 1(43), С. 21–32.</w:t>
      </w:r>
    </w:p>
    <w:p w:rsidR="00076275" w:rsidRPr="00FD38BE" w:rsidRDefault="00076275" w:rsidP="00076275">
      <w:pPr>
        <w:numPr>
          <w:ilvl w:val="0"/>
          <w:numId w:val="9"/>
        </w:numPr>
        <w:spacing w:line="360" w:lineRule="auto"/>
        <w:ind w:left="0" w:firstLine="709"/>
        <w:jc w:val="both"/>
        <w:rPr>
          <w:sz w:val="28"/>
          <w:szCs w:val="28"/>
        </w:rPr>
      </w:pPr>
      <w:r w:rsidRPr="00FD38BE">
        <w:rPr>
          <w:sz w:val="28"/>
          <w:szCs w:val="28"/>
        </w:rPr>
        <w:t xml:space="preserve">Атаманова Н. В., Дяченко О. В. Правова культура та її роль у формуванні правопорядку сучасної української держави. </w:t>
      </w:r>
      <w:r w:rsidRPr="00FD38BE">
        <w:rPr>
          <w:i/>
          <w:iCs/>
          <w:sz w:val="28"/>
          <w:szCs w:val="28"/>
        </w:rPr>
        <w:t>Нове українське право.</w:t>
      </w:r>
      <w:r w:rsidRPr="00FD38BE">
        <w:rPr>
          <w:sz w:val="28"/>
          <w:szCs w:val="28"/>
        </w:rPr>
        <w:t xml:space="preserve"> 2022. № 1. С. 82–88.</w:t>
      </w:r>
    </w:p>
    <w:p w:rsidR="00076275" w:rsidRPr="00FD38BE" w:rsidRDefault="00076275" w:rsidP="00076275">
      <w:pPr>
        <w:numPr>
          <w:ilvl w:val="0"/>
          <w:numId w:val="9"/>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 xml:space="preserve">Юдін В. Ю. Трансформація суб’єктів господарювання в умовах цифровізації економіки. </w:t>
      </w:r>
      <w:r w:rsidRPr="00FD38BE">
        <w:rPr>
          <w:rFonts w:eastAsia="Calibri"/>
          <w:i/>
          <w:iCs/>
          <w:sz w:val="28"/>
          <w:szCs w:val="28"/>
          <w:lang w:val="uk-UA" w:eastAsia="en-US"/>
        </w:rPr>
        <w:t>Науковий вісник публічного та приватного права.</w:t>
      </w:r>
      <w:r w:rsidRPr="00FD38BE">
        <w:rPr>
          <w:rFonts w:eastAsia="Calibri"/>
          <w:sz w:val="28"/>
          <w:szCs w:val="28"/>
          <w:lang w:val="uk-UA" w:eastAsia="en-US"/>
        </w:rPr>
        <w:t xml:space="preserve"> 2020. № 6, Т. 2. С. 53–60.</w:t>
      </w:r>
    </w:p>
    <w:p w:rsidR="00076275" w:rsidRPr="00FD38BE" w:rsidRDefault="00076275" w:rsidP="00076275">
      <w:pPr>
        <w:numPr>
          <w:ilvl w:val="0"/>
          <w:numId w:val="9"/>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Клімушин П. С., Серенок А. О. Електронне урядування в інформаційному суспільстві: монографія. Харків: Магістр, 2010. 312 с.</w:t>
      </w:r>
    </w:p>
    <w:p w:rsidR="00076275"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ind w:firstLine="709"/>
        <w:contextualSpacing/>
        <w:jc w:val="center"/>
        <w:rPr>
          <w:rFonts w:eastAsia="Calibri"/>
          <w:b/>
          <w:sz w:val="28"/>
          <w:szCs w:val="28"/>
          <w:lang w:val="uk-UA" w:eastAsia="en-US"/>
        </w:rPr>
      </w:pPr>
      <w:r w:rsidRPr="00FD38BE">
        <w:rPr>
          <w:rFonts w:eastAsia="Calibri"/>
          <w:b/>
          <w:sz w:val="28"/>
          <w:szCs w:val="28"/>
          <w:lang w:val="uk-UA" w:eastAsia="en-US"/>
        </w:rPr>
        <w:t>ЦІННІСНИЙ (АКСІОЛОГЧНИЙ) ПІДХІД ДО ОСМИСЛЕННЯ ЦИФРОВИХ СУБ’ЄКТІВ ПРАВА</w:t>
      </w:r>
    </w:p>
    <w:p w:rsidR="00076275" w:rsidRPr="00FD38BE" w:rsidRDefault="00076275" w:rsidP="00076275">
      <w:pPr>
        <w:spacing w:line="360" w:lineRule="auto"/>
        <w:ind w:firstLine="709"/>
        <w:jc w:val="center"/>
        <w:rPr>
          <w:rFonts w:eastAsia="Calibri"/>
          <w:b/>
          <w:i/>
          <w:sz w:val="28"/>
          <w:szCs w:val="28"/>
          <w:lang w:val="uk-UA" w:eastAsia="en-US"/>
        </w:rPr>
      </w:pPr>
      <w:r w:rsidRPr="00FD38BE">
        <w:rPr>
          <w:rFonts w:eastAsia="Calibri"/>
          <w:b/>
          <w:i/>
          <w:sz w:val="28"/>
          <w:szCs w:val="28"/>
          <w:lang w:val="uk-UA" w:eastAsia="en-US"/>
        </w:rPr>
        <w:t>В.В. Гедіков</w:t>
      </w:r>
    </w:p>
    <w:p w:rsidR="00076275" w:rsidRPr="00FD38BE" w:rsidRDefault="00076275" w:rsidP="00076275">
      <w:pPr>
        <w:spacing w:line="360" w:lineRule="auto"/>
        <w:ind w:firstLine="709"/>
        <w:jc w:val="center"/>
        <w:rPr>
          <w:rFonts w:eastAsia="Calibri"/>
          <w:i/>
          <w:sz w:val="28"/>
          <w:szCs w:val="28"/>
          <w:lang w:val="uk-UA" w:eastAsia="en-US"/>
        </w:rPr>
      </w:pPr>
      <w:r w:rsidRPr="00FD38BE">
        <w:rPr>
          <w:rFonts w:eastAsia="Calibri"/>
          <w:i/>
          <w:sz w:val="28"/>
          <w:szCs w:val="28"/>
          <w:lang w:val="uk-UA" w:eastAsia="en-US"/>
        </w:rPr>
        <w:t>здобувач І</w:t>
      </w:r>
      <w:r w:rsidRPr="00FD38BE">
        <w:rPr>
          <w:rFonts w:eastAsia="Calibri"/>
          <w:i/>
          <w:sz w:val="28"/>
          <w:szCs w:val="28"/>
          <w:lang w:val="en-US" w:eastAsia="en-US"/>
        </w:rPr>
        <w:t>II</w:t>
      </w:r>
      <w:r w:rsidRPr="00FD38BE">
        <w:rPr>
          <w:rFonts w:eastAsia="Calibri"/>
          <w:i/>
          <w:sz w:val="28"/>
          <w:szCs w:val="28"/>
          <w:lang w:val="uk-UA" w:eastAsia="en-US"/>
        </w:rPr>
        <w:t xml:space="preserve"> курсу аспірантури</w:t>
      </w:r>
      <w:r>
        <w:rPr>
          <w:rFonts w:eastAsia="Calibri"/>
          <w:i/>
          <w:sz w:val="28"/>
          <w:szCs w:val="28"/>
          <w:lang w:val="uk-UA" w:eastAsia="en-US"/>
        </w:rPr>
        <w:t xml:space="preserve"> </w:t>
      </w:r>
      <w:r w:rsidRPr="00FD38BE">
        <w:rPr>
          <w:rFonts w:eastAsia="Calibri"/>
          <w:i/>
          <w:sz w:val="28"/>
          <w:szCs w:val="28"/>
          <w:lang w:val="uk-UA" w:eastAsia="en-US"/>
        </w:rPr>
        <w:t>кафедри державно-правових дисциплін</w:t>
      </w:r>
    </w:p>
    <w:p w:rsidR="00076275" w:rsidRDefault="00076275" w:rsidP="00076275">
      <w:pPr>
        <w:spacing w:line="360" w:lineRule="auto"/>
        <w:ind w:firstLine="709"/>
        <w:jc w:val="center"/>
        <w:rPr>
          <w:rFonts w:eastAsia="Calibri"/>
          <w:b/>
          <w:i/>
          <w:sz w:val="28"/>
          <w:szCs w:val="28"/>
          <w:lang w:val="uk-UA" w:eastAsia="en-US"/>
        </w:rPr>
      </w:pPr>
      <w:r w:rsidRPr="00FD38BE">
        <w:rPr>
          <w:rFonts w:eastAsia="Calibri"/>
          <w:i/>
          <w:sz w:val="28"/>
          <w:szCs w:val="28"/>
          <w:lang w:val="uk-UA" w:eastAsia="en-US"/>
        </w:rPr>
        <w:t>Міжнародний університет</w:t>
      </w:r>
      <w:r w:rsidRPr="009E5332">
        <w:rPr>
          <w:rFonts w:eastAsia="Calibri"/>
          <w:b/>
          <w:i/>
          <w:sz w:val="28"/>
          <w:szCs w:val="28"/>
          <w:lang w:val="uk-UA" w:eastAsia="en-US"/>
        </w:rPr>
        <w:t xml:space="preserve"> </w:t>
      </w:r>
    </w:p>
    <w:p w:rsidR="00076275" w:rsidRPr="00FD38BE" w:rsidRDefault="00076275" w:rsidP="00076275">
      <w:pPr>
        <w:spacing w:line="360" w:lineRule="auto"/>
        <w:ind w:firstLine="709"/>
        <w:jc w:val="center"/>
        <w:rPr>
          <w:rFonts w:eastAsia="Calibri"/>
          <w:b/>
          <w:i/>
          <w:sz w:val="28"/>
          <w:szCs w:val="28"/>
          <w:lang w:val="uk-UA" w:eastAsia="en-US"/>
        </w:rPr>
      </w:pPr>
      <w:r w:rsidRPr="00FD38BE">
        <w:rPr>
          <w:rFonts w:eastAsia="Calibri"/>
          <w:b/>
          <w:i/>
          <w:sz w:val="28"/>
          <w:szCs w:val="28"/>
          <w:lang w:val="uk-UA" w:eastAsia="en-US"/>
        </w:rPr>
        <w:t>Н. Б. Арабаджи</w:t>
      </w:r>
    </w:p>
    <w:p w:rsidR="00076275" w:rsidRPr="00FD38BE" w:rsidRDefault="00076275" w:rsidP="00076275">
      <w:pPr>
        <w:spacing w:line="360" w:lineRule="auto"/>
        <w:ind w:firstLine="709"/>
        <w:jc w:val="center"/>
        <w:rPr>
          <w:rFonts w:eastAsia="Calibri"/>
          <w:i/>
          <w:sz w:val="28"/>
          <w:szCs w:val="28"/>
          <w:lang w:val="uk-UA" w:eastAsia="en-US"/>
        </w:rPr>
      </w:pPr>
      <w:r w:rsidRPr="00FD38BE">
        <w:rPr>
          <w:rFonts w:eastAsia="Calibri"/>
          <w:i/>
          <w:sz w:val="28"/>
          <w:szCs w:val="28"/>
          <w:lang w:val="uk-UA" w:eastAsia="en-US"/>
        </w:rPr>
        <w:t>к.ю.н., доцент, доцент</w:t>
      </w:r>
      <w:r>
        <w:rPr>
          <w:rFonts w:eastAsia="Calibri"/>
          <w:i/>
          <w:sz w:val="28"/>
          <w:szCs w:val="28"/>
          <w:lang w:val="uk-UA" w:eastAsia="en-US"/>
        </w:rPr>
        <w:t xml:space="preserve"> </w:t>
      </w:r>
      <w:r w:rsidRPr="00FD38BE">
        <w:rPr>
          <w:rFonts w:eastAsia="Calibri"/>
          <w:i/>
          <w:sz w:val="28"/>
          <w:szCs w:val="28"/>
          <w:lang w:val="uk-UA" w:eastAsia="en-US"/>
        </w:rPr>
        <w:t>кафедри державно-правових дисциплін</w:t>
      </w:r>
    </w:p>
    <w:p w:rsidR="00076275" w:rsidRPr="00FD38BE" w:rsidRDefault="00076275" w:rsidP="00076275">
      <w:pPr>
        <w:spacing w:line="360" w:lineRule="auto"/>
        <w:ind w:firstLine="709"/>
        <w:jc w:val="center"/>
        <w:rPr>
          <w:rFonts w:eastAsia="Calibri"/>
          <w:i/>
          <w:sz w:val="28"/>
          <w:szCs w:val="28"/>
          <w:lang w:val="uk-UA" w:eastAsia="en-US"/>
        </w:rPr>
      </w:pPr>
      <w:r w:rsidRPr="00FD38BE">
        <w:rPr>
          <w:rFonts w:eastAsia="Calibri"/>
          <w:i/>
          <w:sz w:val="28"/>
          <w:szCs w:val="28"/>
          <w:lang w:val="uk-UA" w:eastAsia="en-US"/>
        </w:rPr>
        <w:t>Міжнародний університет</w:t>
      </w:r>
    </w:p>
    <w:p w:rsidR="00076275" w:rsidRDefault="00076275" w:rsidP="00076275">
      <w:pPr>
        <w:spacing w:line="360" w:lineRule="auto"/>
        <w:ind w:firstLine="709"/>
        <w:jc w:val="center"/>
        <w:rPr>
          <w:i/>
          <w:sz w:val="28"/>
          <w:szCs w:val="28"/>
          <w:lang w:val="uk-UA"/>
        </w:rPr>
      </w:pPr>
      <w:r w:rsidRPr="00FD38BE">
        <w:rPr>
          <w:i/>
          <w:sz w:val="28"/>
          <w:szCs w:val="28"/>
          <w:lang w:val="uk-UA"/>
        </w:rPr>
        <w:t xml:space="preserve">м. Одеса, </w:t>
      </w:r>
      <w:r>
        <w:rPr>
          <w:i/>
          <w:sz w:val="28"/>
          <w:szCs w:val="28"/>
          <w:lang w:val="uk-UA"/>
        </w:rPr>
        <w:t>Україна</w:t>
      </w:r>
    </w:p>
    <w:p w:rsidR="00076275" w:rsidRPr="00FD38BE" w:rsidRDefault="00076275" w:rsidP="00076275">
      <w:pPr>
        <w:spacing w:line="360" w:lineRule="auto"/>
        <w:ind w:firstLine="709"/>
        <w:jc w:val="both"/>
        <w:rPr>
          <w:sz w:val="28"/>
          <w:szCs w:val="28"/>
          <w:lang w:val="uk-UA"/>
        </w:rPr>
      </w:pPr>
      <w:r w:rsidRPr="00FD38BE">
        <w:rPr>
          <w:sz w:val="28"/>
          <w:szCs w:val="28"/>
          <w:lang w:val="uk-UA"/>
        </w:rPr>
        <w:t>Цифровізація суспільства зумовлює не лише трансформацію правових інститутів, а й переосмислення базових цінностей права. Поява цифрових суб’єктів права актуалізує питання про межі правосуб’єктності, природу юридичної відповідальності, співвідношення автономії технологічних систем і волі людини, а також про допустимість розширення кола суб’єктів права в умовах інтенсивного розвитку цифрових технологій.</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цьому контексті аксіологічний підхід ставить питання не лише про функціональну роль цифрових суб’єктів у правовій системі, а й про </w:t>
      </w:r>
      <w:r w:rsidRPr="00FD38BE">
        <w:rPr>
          <w:b/>
          <w:bCs/>
          <w:sz w:val="28"/>
          <w:szCs w:val="28"/>
          <w:lang w:val="uk-UA"/>
        </w:rPr>
        <w:t>ціннісні підстави їх правового визнання</w:t>
      </w:r>
      <w:r w:rsidRPr="00FD38BE">
        <w:rPr>
          <w:b/>
          <w:sz w:val="28"/>
          <w:szCs w:val="28"/>
          <w:lang w:val="uk-UA"/>
        </w:rPr>
        <w:t>.</w:t>
      </w:r>
      <w:r w:rsidRPr="00FD38BE">
        <w:rPr>
          <w:sz w:val="28"/>
          <w:szCs w:val="28"/>
          <w:lang w:val="uk-UA"/>
        </w:rPr>
        <w:t xml:space="preserve"> Саме тому аксіологічний підхід дозволяє розглядати цифрових суб’єктів не лише як технічні інструменти або елементи правового механізму, а як явище, що здатне трансформувати систему правових цінностей сучасного суспільства.</w:t>
      </w:r>
    </w:p>
    <w:p w:rsidR="00076275" w:rsidRPr="00FD38BE" w:rsidRDefault="00076275" w:rsidP="00076275">
      <w:pPr>
        <w:spacing w:line="360" w:lineRule="auto"/>
        <w:ind w:firstLine="709"/>
        <w:jc w:val="both"/>
        <w:rPr>
          <w:sz w:val="28"/>
          <w:szCs w:val="28"/>
          <w:lang w:val="uk-UA"/>
        </w:rPr>
      </w:pPr>
      <w:r w:rsidRPr="00FD38BE">
        <w:rPr>
          <w:sz w:val="28"/>
          <w:szCs w:val="28"/>
          <w:lang w:val="uk-UA"/>
        </w:rPr>
        <w:t>Наукова потреба в осмисленні категорії «цінність» постає тоді, коли в центрі дослідження опиняється проблема взаємозв’язку між активністю суб’єкта та сукупністю об’єктивних умов, у межах яких він здійснює свою діяльність. Ідеться не лише про констатацію наявності певних соціальних, економічних чи культурних чинників, а про з’ясування того, яким чином вони співвідносяться з інтересами, потребами, цілями та мотиваційними установками суб’єкта.</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 xml:space="preserve">Категорія «цінність» виконує важливу методологічну функцію: вона дає змогу відобразити ступінь і характер відповідності об’єкта, явища, процесу чи правової норми актуальним потребам та стратегічним цілям суб’єкта. Застосування ціннісного підходу дозволяє перейти від суто описового аналізу правових інститутів до їх </w:t>
      </w:r>
      <w:r w:rsidRPr="00FD38BE">
        <w:rPr>
          <w:b/>
          <w:bCs/>
          <w:sz w:val="28"/>
          <w:szCs w:val="28"/>
          <w:lang w:val="uk-UA"/>
        </w:rPr>
        <w:t>оціночного та нормативного осмислення</w:t>
      </w:r>
      <w:r w:rsidRPr="00FD38BE">
        <w:rPr>
          <w:sz w:val="28"/>
          <w:szCs w:val="28"/>
          <w:lang w:val="uk-UA"/>
        </w:rPr>
        <w:t>, що особливо важливо при дослідженні нових явищ, таких як цифрові суб’єкти права [5, с. 109].</w:t>
      </w:r>
    </w:p>
    <w:p w:rsidR="00076275" w:rsidRPr="00FD38BE" w:rsidRDefault="00076275" w:rsidP="00076275">
      <w:pPr>
        <w:spacing w:line="360" w:lineRule="auto"/>
        <w:ind w:firstLine="709"/>
        <w:jc w:val="both"/>
        <w:rPr>
          <w:rFonts w:eastAsia="Calibri"/>
          <w:sz w:val="28"/>
          <w:szCs w:val="28"/>
          <w:lang w:val="uk-UA" w:eastAsia="en-US"/>
        </w:rPr>
      </w:pPr>
      <w:r w:rsidRPr="00FD38BE">
        <w:rPr>
          <w:bCs/>
          <w:sz w:val="28"/>
          <w:szCs w:val="28"/>
          <w:lang w:val="uk-UA"/>
        </w:rPr>
        <w:t xml:space="preserve">На думку А.О. Фальковського, </w:t>
      </w:r>
      <w:r w:rsidRPr="00FD38BE">
        <w:rPr>
          <w:rFonts w:eastAsia="Calibri"/>
          <w:sz w:val="28"/>
          <w:szCs w:val="28"/>
          <w:lang w:val="uk-UA" w:eastAsia="en-US"/>
        </w:rPr>
        <w:t>аксіологічний (ціннісний) підхід у юриспруденції є загальною дослідницькою стратегією, що передбачає аналіз права через призму його узгодженості з певними суспільно значущими цінностями, які, з одного боку, становлять підґрунтя правової системи, а з іншого – реалізуються та гарантуються за допомогою правових механізмів [6, с. 63].</w:t>
      </w:r>
    </w:p>
    <w:p w:rsidR="00076275" w:rsidRPr="00FD38BE" w:rsidRDefault="00076275" w:rsidP="00076275">
      <w:pPr>
        <w:spacing w:line="360" w:lineRule="auto"/>
        <w:ind w:firstLine="709"/>
        <w:jc w:val="both"/>
        <w:rPr>
          <w:sz w:val="28"/>
          <w:szCs w:val="28"/>
          <w:lang w:val="uk-UA"/>
        </w:rPr>
      </w:pPr>
      <w:r w:rsidRPr="00FD38BE">
        <w:rPr>
          <w:sz w:val="28"/>
          <w:szCs w:val="28"/>
          <w:lang w:val="uk-UA"/>
        </w:rPr>
        <w:t>Наукова потреба в осмисленні категорії «цінність» постає тоді, коли в центрі дослідження опиняється проблема взаємозв’язку між активністю суб’єкта та сукупністю об’єктивних умов, у межах яких він здійснює свою діяльність. Ідеться не лише про констатацію наявності певних соціальних, економічних чи культурних чинників, а про з’ясування того, яким чином вони співвідносяться з інтересами, потребами, цілями та мотиваційними установками суб’єкта.</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цьому контексті категорія «цінність» виконує методологічну функцію: вона дає змогу відобразити ступінь і характер відповідності об’єкта, явища, процесу чи норми актуальним потребам та стратегічним цілям суб’єкта. </w:t>
      </w:r>
    </w:p>
    <w:p w:rsidR="00076275" w:rsidRPr="00FD38BE" w:rsidRDefault="00076275" w:rsidP="00076275">
      <w:pPr>
        <w:spacing w:line="360" w:lineRule="auto"/>
        <w:ind w:firstLine="709"/>
        <w:jc w:val="both"/>
        <w:rPr>
          <w:sz w:val="28"/>
          <w:szCs w:val="28"/>
          <w:lang w:val="uk-UA"/>
        </w:rPr>
      </w:pPr>
      <w:r w:rsidRPr="00FD38BE">
        <w:rPr>
          <w:sz w:val="28"/>
          <w:szCs w:val="28"/>
          <w:lang w:val="uk-UA"/>
        </w:rPr>
        <w:t>Саме тому зазначений аспект – акцент на співмірності об’єктивного і суб’єктивного, на кореляції між належним і бажаним становить квінтесенцію ціннісного (аксіологічного) підходу. Він дозволяє перейти від описового аналізу соціальної реальності до її оціночного осмислення, виявляючи нормативний вимір явищ та їх значущість у системі людської діяльності й правового регулювання [4, с. 96].</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Ціннісний (аксіологічний) підхід до цифрових суб’єктів права передбачає їх осмислення не лише як новітньої правової конструкції, зумовленої розвитком </w:t>
      </w:r>
      <w:r w:rsidRPr="00FD38BE">
        <w:rPr>
          <w:sz w:val="28"/>
          <w:szCs w:val="28"/>
          <w:lang w:val="uk-UA"/>
        </w:rPr>
        <w:lastRenderedPageBreak/>
        <w:t>цифрових технологій, а передусім як феномену, що має певну соціальну значущість і співвідноситься з базовими правовими цінностями сучасного суспільства.</w:t>
      </w:r>
    </w:p>
    <w:p w:rsidR="00076275" w:rsidRPr="00FD38BE" w:rsidRDefault="00076275" w:rsidP="00076275">
      <w:pPr>
        <w:spacing w:line="360" w:lineRule="auto"/>
        <w:ind w:firstLine="709"/>
        <w:jc w:val="both"/>
        <w:rPr>
          <w:sz w:val="28"/>
          <w:szCs w:val="28"/>
          <w:lang w:val="uk-UA"/>
        </w:rPr>
      </w:pPr>
      <w:r w:rsidRPr="00FD38BE">
        <w:rPr>
          <w:sz w:val="28"/>
          <w:szCs w:val="28"/>
          <w:lang w:val="uk-UA"/>
        </w:rPr>
        <w:t>У межах цього підходу цифрових суб’єктів права можна розглядати крізь призму їх відповідності фундаментальним цінностям – гідності людини, свободі, справедливості, безпеці, правовій визначеності, автономії волі та верховенству права. Важливим є з’ясування, чи сприяє запровадження та нормативне закріплення цифрових суб’єктів реалізації зазначених цінностей, чи, навпаки, створює ризики їх деформації.</w:t>
      </w:r>
    </w:p>
    <w:p w:rsidR="00076275" w:rsidRPr="00FD38BE" w:rsidRDefault="00076275" w:rsidP="00076275">
      <w:pPr>
        <w:spacing w:line="360" w:lineRule="auto"/>
        <w:ind w:firstLine="709"/>
        <w:jc w:val="both"/>
        <w:rPr>
          <w:sz w:val="28"/>
          <w:szCs w:val="28"/>
          <w:lang w:val="uk-UA"/>
        </w:rPr>
      </w:pPr>
      <w:r w:rsidRPr="00FD38BE">
        <w:rPr>
          <w:sz w:val="28"/>
          <w:szCs w:val="28"/>
          <w:lang w:val="uk-UA"/>
        </w:rPr>
        <w:t>Аксіологічний вимір дозволяє поставити низку принципових питань: Якою мірою цифрові суб’єкти можуть бути інструментом реалізації прав і свобод фізичних та юридичних осіб? Чи не підміняється людська автономія алгоритмічними рішеннями? Яким чином забезпечити баланс між інноваційністю та гарантіями прав людини?</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З позицій ціннісного підходу правове визнання цифрових суб’єктів права має оцінюватися через критерій суспільної корисності та відповідності загальносоціальним і конституційним цінностям. </w:t>
      </w:r>
    </w:p>
    <w:p w:rsidR="00076275" w:rsidRPr="00FD38BE" w:rsidRDefault="00076275" w:rsidP="00076275">
      <w:pPr>
        <w:spacing w:line="360" w:lineRule="auto"/>
        <w:ind w:firstLine="709"/>
        <w:jc w:val="both"/>
        <w:rPr>
          <w:sz w:val="28"/>
          <w:szCs w:val="28"/>
          <w:lang w:val="uk-UA"/>
        </w:rPr>
      </w:pPr>
      <w:r w:rsidRPr="00FD38BE">
        <w:rPr>
          <w:sz w:val="28"/>
          <w:szCs w:val="28"/>
          <w:lang w:val="uk-UA"/>
        </w:rPr>
        <w:t>Таким чином, аксіологічний підхід дозволяє визначити критерії допустимості розширення кола суб’єктів права: відповідність конституційним цінностям, забезпечення юридичної визначеності, підконтрольність та відповідальність, спрямованість на захист прав людини [3, с. 40].</w:t>
      </w:r>
    </w:p>
    <w:p w:rsidR="00076275" w:rsidRPr="00FD38BE" w:rsidRDefault="00076275" w:rsidP="00076275">
      <w:pPr>
        <w:spacing w:line="360" w:lineRule="auto"/>
        <w:ind w:firstLine="709"/>
        <w:jc w:val="both"/>
        <w:rPr>
          <w:sz w:val="28"/>
          <w:szCs w:val="28"/>
          <w:lang w:val="uk-UA"/>
        </w:rPr>
      </w:pPr>
      <w:r w:rsidRPr="00FD38BE">
        <w:rPr>
          <w:sz w:val="28"/>
          <w:szCs w:val="28"/>
          <w:lang w:val="uk-UA"/>
        </w:rPr>
        <w:t>З позицій антропоцентризму цифрові суб’єкти  не можуть розглядатися як самостійні носії власної цінності. Їх правове визнання можливе лише як інструмент забезпечення та реалізації прав і законних інтересів людини. Вони мають функціональний, сервісний характер і не можуть бути поставлені в один ціннісний ряд із фізичною особою.</w:t>
      </w:r>
    </w:p>
    <w:p w:rsidR="00076275" w:rsidRPr="00FD38BE" w:rsidRDefault="00076275" w:rsidP="00076275">
      <w:pPr>
        <w:spacing w:line="360" w:lineRule="auto"/>
        <w:ind w:firstLine="709"/>
        <w:jc w:val="both"/>
        <w:rPr>
          <w:sz w:val="28"/>
          <w:szCs w:val="28"/>
          <w:lang w:val="uk-UA"/>
        </w:rPr>
      </w:pPr>
      <w:r w:rsidRPr="00FD38BE">
        <w:rPr>
          <w:sz w:val="28"/>
          <w:szCs w:val="28"/>
          <w:lang w:val="uk-UA"/>
        </w:rPr>
        <w:t>Однією з ключових тез є збереження антропоцентричного характеру права. Навіть за умов розширення суб’єктного складу правовідносин, людина повинна залишатися вищою соціальною цінністю.</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Цифрові суб’єкти права не можуть розглядатися як самодостатні носії автономної «волі» у класичному розумінні. Їх правовий статус має бути похідним від інтересів та прав людини.</w:t>
      </w:r>
    </w:p>
    <w:p w:rsidR="00076275" w:rsidRPr="00FD38BE" w:rsidRDefault="00076275" w:rsidP="00076275">
      <w:pPr>
        <w:spacing w:line="360" w:lineRule="auto"/>
        <w:ind w:firstLine="709"/>
        <w:jc w:val="both"/>
        <w:rPr>
          <w:sz w:val="28"/>
          <w:szCs w:val="28"/>
          <w:lang w:val="uk-UA"/>
        </w:rPr>
      </w:pPr>
      <w:r w:rsidRPr="00FD38BE">
        <w:rPr>
          <w:sz w:val="28"/>
          <w:szCs w:val="28"/>
          <w:lang w:val="uk-UA"/>
        </w:rPr>
        <w:t>Таким чином, аксіологічний підхід обмежує надмірну «персоніфікацію» цифрових систем та запобігає розмиванню принципу відповідальності.</w:t>
      </w:r>
    </w:p>
    <w:p w:rsidR="00076275" w:rsidRPr="00FD38BE" w:rsidRDefault="00076275" w:rsidP="00076275">
      <w:pPr>
        <w:spacing w:line="360" w:lineRule="auto"/>
        <w:ind w:firstLine="709"/>
        <w:jc w:val="both"/>
        <w:rPr>
          <w:sz w:val="28"/>
          <w:szCs w:val="28"/>
        </w:rPr>
      </w:pPr>
      <w:r w:rsidRPr="00FD38BE">
        <w:rPr>
          <w:sz w:val="28"/>
          <w:szCs w:val="28"/>
          <w:lang w:val="uk-UA"/>
        </w:rPr>
        <w:t xml:space="preserve">Цифрова трансформація правової системи має здійснюватися за принципом </w:t>
      </w:r>
      <w:r w:rsidRPr="00FD38BE">
        <w:rPr>
          <w:i/>
          <w:iCs/>
          <w:sz w:val="28"/>
          <w:szCs w:val="28"/>
        </w:rPr>
        <w:t>human</w:t>
      </w:r>
      <w:r w:rsidRPr="00FD38BE">
        <w:rPr>
          <w:i/>
          <w:iCs/>
          <w:sz w:val="28"/>
          <w:szCs w:val="28"/>
          <w:lang w:val="uk-UA"/>
        </w:rPr>
        <w:t>-</w:t>
      </w:r>
      <w:r w:rsidRPr="00FD38BE">
        <w:rPr>
          <w:i/>
          <w:iCs/>
          <w:sz w:val="28"/>
          <w:szCs w:val="28"/>
        </w:rPr>
        <w:t>centered</w:t>
      </w:r>
      <w:r w:rsidRPr="00FD38BE">
        <w:rPr>
          <w:i/>
          <w:iCs/>
          <w:sz w:val="28"/>
          <w:szCs w:val="28"/>
          <w:lang w:val="uk-UA"/>
        </w:rPr>
        <w:t xml:space="preserve"> </w:t>
      </w:r>
      <w:r w:rsidRPr="00FD38BE">
        <w:rPr>
          <w:i/>
          <w:iCs/>
          <w:sz w:val="28"/>
          <w:szCs w:val="28"/>
        </w:rPr>
        <w:t>law</w:t>
      </w:r>
      <w:r w:rsidRPr="00FD38BE">
        <w:rPr>
          <w:sz w:val="28"/>
          <w:szCs w:val="28"/>
          <w:lang w:val="uk-UA"/>
        </w:rPr>
        <w:t>: технології повинні підсилювати реалізацію прав людини, алгоритмічні рішення мають бути прозорими та підконтрольними, цифрові інновації повинні підвищувати рівень правової визначеності, а не розмивати її [2]. У цьому контексті антропоцентричність виступає не обмеженням розвитку цифрових суб’єктів права, а гарантією збереження гуманістичної природи права як соціального регулятора.</w:t>
      </w:r>
    </w:p>
    <w:p w:rsidR="00076275" w:rsidRPr="00FD38BE" w:rsidRDefault="00076275" w:rsidP="00076275">
      <w:pPr>
        <w:spacing w:line="360" w:lineRule="auto"/>
        <w:ind w:firstLine="709"/>
        <w:jc w:val="both"/>
        <w:rPr>
          <w:sz w:val="28"/>
          <w:szCs w:val="28"/>
          <w:lang w:val="uk-UA"/>
        </w:rPr>
      </w:pPr>
      <w:r w:rsidRPr="00FD38BE">
        <w:rPr>
          <w:sz w:val="28"/>
          <w:szCs w:val="28"/>
        </w:rPr>
        <w:tab/>
      </w:r>
      <w:r w:rsidRPr="00FD38BE">
        <w:rPr>
          <w:sz w:val="28"/>
          <w:szCs w:val="28"/>
          <w:lang w:val="uk-UA"/>
        </w:rPr>
        <w:t xml:space="preserve">Разом з тим, </w:t>
      </w:r>
      <w:r w:rsidRPr="00FD38BE">
        <w:rPr>
          <w:sz w:val="28"/>
          <w:szCs w:val="28"/>
        </w:rPr>
        <w:t>науковець Бен Шнайдерман</w:t>
      </w:r>
      <w:r w:rsidRPr="00FD38BE">
        <w:rPr>
          <w:sz w:val="28"/>
          <w:szCs w:val="28"/>
          <w:lang w:val="uk-UA"/>
        </w:rPr>
        <w:t xml:space="preserve"> розвиває тему HumanCenteredAI (людиноцентричний штучний інтелект). На його глибоке переконання, технологічно-орієнтована сфера штучного інтелекту (ШІ) включає людиноцентричні способи мислення ШІ (HCAI). Це розширення з алгоритмічно-орієнтованої точки зору до прийняття людиноцентричної перспективи може сформувати майбутнє технологій, щоб краще задовольняти потреби людини. Освітяни, дизайнери, розробники програмного забезпечення, менеджери продуктів, оцінювачі та співробітники державних установ можуть спиратися на технології на базі ШІ, для розробки продуктів та послуг, які покращують життя користувачів, дозволяючи людям піклуватися один про одного. Люди завжди були конструкторами інструментів, а тепер вони є конструкторами суперінструментів, чиї винаходи можуть покращити наше здоров'я, сімейне життя, освіту, бізнес, довкілля та багато іншого. Значний прогрес в алгоритмах для машинного та глибокого навчання протягом останнього десятиліття відкрив двері до нових можливостей, і деяких перспектив. Однак світле майбутнє чекає на дослідників ШІ, розробників, бізнес-лідерів, політиків та інших, хто будує на алгоритмах ШІ, включаючи стратегії проектування та тестування HCAI. Це розширене бачення може сформувати майбутнє технологій, щоб краще служити людським цінностям та </w:t>
      </w:r>
      <w:r w:rsidRPr="00FD38BE">
        <w:rPr>
          <w:sz w:val="28"/>
          <w:szCs w:val="28"/>
          <w:lang w:val="uk-UA"/>
        </w:rPr>
        <w:lastRenderedPageBreak/>
        <w:t>потребам. Як зазначали багато технологічних компаній і лідерів думок, мета полягає не в тому, щоб замінити людей, а в тому, щоб надати їм можливості, роблячи дизайнерські рішення, які дають людям контроль над технологіями [1, 3].</w:t>
      </w:r>
    </w:p>
    <w:p w:rsidR="00076275" w:rsidRPr="00FD38BE" w:rsidRDefault="00076275" w:rsidP="00076275">
      <w:pPr>
        <w:spacing w:line="360" w:lineRule="auto"/>
        <w:ind w:firstLine="709"/>
        <w:jc w:val="both"/>
        <w:rPr>
          <w:sz w:val="28"/>
          <w:szCs w:val="28"/>
          <w:lang w:val="uk-UA"/>
        </w:rPr>
      </w:pPr>
      <w:r w:rsidRPr="00FD38BE">
        <w:rPr>
          <w:sz w:val="28"/>
          <w:szCs w:val="28"/>
          <w:lang w:val="uk-UA"/>
        </w:rPr>
        <w:t>Людиноорієнтований підхід зменшить кількість неконтрольованих технологій, заспокоїть страхи перед безробіттям, спричиненим роботами, та надасть користувачам відчуття майстерності та досягнення. Окрім індивідуального досвіду, HCAI дозволить краще контролювати конфіденційність/безпеку, щоб обмежити дезінформацію та протидіяти шкідливим діячам. Небезпека від систем ШІ та HCAI є законними побоюваннями – будь-яка технологія, яка дає людям можливість творити добро, також дає змогу тим, хто чинить зло. Ретельно розроблені засоби контролю, журнали аудиту та контрольована автономія – це деякі зі стратегій, які зацікавлені сторони можуть застосувати для досягнення надійних, безпечних та довірливих систем [1, 4].</w:t>
      </w:r>
    </w:p>
    <w:p w:rsidR="00076275" w:rsidRPr="00FD38BE" w:rsidRDefault="00076275" w:rsidP="00076275">
      <w:pPr>
        <w:spacing w:line="360" w:lineRule="auto"/>
        <w:ind w:firstLine="709"/>
        <w:jc w:val="both"/>
        <w:rPr>
          <w:sz w:val="28"/>
          <w:szCs w:val="28"/>
          <w:lang w:val="uk-UA"/>
        </w:rPr>
      </w:pPr>
      <w:r w:rsidRPr="00FD38BE">
        <w:rPr>
          <w:sz w:val="28"/>
          <w:szCs w:val="28"/>
          <w:lang w:val="uk-UA"/>
        </w:rPr>
        <w:t>Цифрові технології суттєво підвищують швидкість, точність і прогнозованість управлінських рішень. Однак абсолютна орієнтація на ефективність може вступати в суперечність із такими фундаментальними принципами права, як справедливість, пропорційність та індивідуалізація юридичної відповідальності.</w:t>
      </w:r>
    </w:p>
    <w:p w:rsidR="00076275" w:rsidRPr="00FD38BE" w:rsidRDefault="00076275" w:rsidP="00076275">
      <w:pPr>
        <w:spacing w:line="360" w:lineRule="auto"/>
        <w:ind w:firstLine="709"/>
        <w:jc w:val="both"/>
        <w:rPr>
          <w:sz w:val="28"/>
          <w:szCs w:val="28"/>
          <w:lang w:val="uk-UA"/>
        </w:rPr>
      </w:pPr>
      <w:r w:rsidRPr="00FD38BE">
        <w:rPr>
          <w:sz w:val="28"/>
          <w:szCs w:val="28"/>
          <w:lang w:val="uk-UA"/>
        </w:rPr>
        <w:t>Саме тому ціннісний підхід до цифрових суб’єктів права передбачає недопущення алгоритмічної дискримінації, забезпечення прозорості автоматизованих рішень, гарантування права особи на оскарження рішень, прийнятих цифровими системами, збереження контролю людини над критично важливими рішеннями.</w:t>
      </w:r>
    </w:p>
    <w:p w:rsidR="00076275" w:rsidRPr="00FD38BE" w:rsidRDefault="00076275" w:rsidP="00076275">
      <w:pPr>
        <w:spacing w:line="360" w:lineRule="auto"/>
        <w:ind w:firstLine="709"/>
        <w:jc w:val="both"/>
        <w:rPr>
          <w:sz w:val="28"/>
          <w:szCs w:val="28"/>
          <w:lang w:val="uk-UA"/>
        </w:rPr>
      </w:pPr>
      <w:r w:rsidRPr="00FD38BE">
        <w:rPr>
          <w:sz w:val="28"/>
          <w:szCs w:val="28"/>
          <w:lang w:val="uk-UA"/>
        </w:rPr>
        <w:t>Отже, аксіологічний підхід дозволяє сформувати теоретичні межі правового визнання цифрових суб’єктів права та забезпечити баланс між технологічним розвитком і гуманістичною природою права. У цьому контексті цифрові технології повинні не замінювати людину як центрального суб’єкта права, а виступати інструментом підвищення ефективності реалізації її прав і свобод.</w:t>
      </w:r>
    </w:p>
    <w:p w:rsidR="00076275" w:rsidRPr="00FD38BE" w:rsidRDefault="00076275" w:rsidP="00076275">
      <w:pPr>
        <w:spacing w:line="360" w:lineRule="auto"/>
        <w:ind w:firstLine="709"/>
        <w:contextualSpacing/>
        <w:jc w:val="center"/>
        <w:rPr>
          <w:rFonts w:eastAsia="Calibri"/>
          <w:b/>
          <w:sz w:val="28"/>
          <w:szCs w:val="28"/>
          <w:lang w:val="uk-UA" w:eastAsia="en-US"/>
        </w:rPr>
      </w:pPr>
      <w:r w:rsidRPr="00FD38BE">
        <w:rPr>
          <w:rFonts w:eastAsia="Calibri"/>
          <w:b/>
          <w:sz w:val="28"/>
          <w:szCs w:val="28"/>
          <w:lang w:val="uk-UA" w:eastAsia="en-US"/>
        </w:rPr>
        <w:lastRenderedPageBreak/>
        <w:t>СПИСОК ВИКОРИСТАНИХ ДЖЕРЕЛ</w:t>
      </w:r>
    </w:p>
    <w:p w:rsidR="00076275" w:rsidRPr="00FD38BE" w:rsidRDefault="003E2FDE" w:rsidP="00076275">
      <w:pPr>
        <w:numPr>
          <w:ilvl w:val="0"/>
          <w:numId w:val="10"/>
        </w:numPr>
        <w:spacing w:line="360" w:lineRule="auto"/>
        <w:ind w:left="0" w:firstLine="709"/>
        <w:contextualSpacing/>
        <w:jc w:val="both"/>
        <w:rPr>
          <w:rFonts w:eastAsia="Calibri"/>
          <w:sz w:val="28"/>
          <w:szCs w:val="28"/>
          <w:lang w:val="en-US" w:eastAsia="en-US"/>
        </w:rPr>
      </w:pPr>
      <w:hyperlink r:id="rId21" w:history="1">
        <w:r w:rsidR="00076275" w:rsidRPr="00FD38BE">
          <w:rPr>
            <w:rFonts w:eastAsia="Calibri"/>
            <w:sz w:val="28"/>
            <w:szCs w:val="28"/>
            <w:bdr w:val="none" w:sz="0" w:space="0" w:color="auto" w:frame="1"/>
            <w:shd w:val="clear" w:color="auto" w:fill="FFFFFF"/>
            <w:lang w:val="en-US" w:eastAsia="en-US"/>
          </w:rPr>
          <w:t>Ben Shneiderman</w:t>
        </w:r>
      </w:hyperlink>
      <w:r w:rsidR="00076275" w:rsidRPr="00FD38BE">
        <w:rPr>
          <w:rFonts w:eastAsia="Calibri"/>
          <w:sz w:val="28"/>
          <w:szCs w:val="28"/>
          <w:lang w:val="en-US" w:eastAsia="en-US"/>
        </w:rPr>
        <w:t xml:space="preserve">. </w:t>
      </w:r>
      <w:r w:rsidR="00076275" w:rsidRPr="00FD38BE">
        <w:rPr>
          <w:rFonts w:eastAsia="Calibri"/>
          <w:bCs/>
          <w:sz w:val="28"/>
          <w:szCs w:val="28"/>
          <w:shd w:val="clear" w:color="auto" w:fill="FFFFFF"/>
          <w:lang w:val="en-US" w:eastAsia="en-US"/>
        </w:rPr>
        <w:t xml:space="preserve">Human-Centered AI. Oxford university press,2022. 280 с. </w:t>
      </w:r>
      <w:r w:rsidR="00076275" w:rsidRPr="00FD38BE">
        <w:rPr>
          <w:rFonts w:eastAsia="Calibri"/>
          <w:sz w:val="28"/>
          <w:szCs w:val="28"/>
          <w:lang w:val="en-US" w:eastAsia="en-US"/>
        </w:rPr>
        <w:t>DOI: 10.1093/oso/9780192845290.001.0001</w:t>
      </w:r>
    </w:p>
    <w:p w:rsidR="00076275" w:rsidRPr="00FD38BE" w:rsidRDefault="00076275" w:rsidP="00076275">
      <w:pPr>
        <w:numPr>
          <w:ilvl w:val="0"/>
          <w:numId w:val="10"/>
        </w:numPr>
        <w:spacing w:line="360" w:lineRule="auto"/>
        <w:ind w:left="0" w:firstLine="709"/>
        <w:contextualSpacing/>
        <w:jc w:val="both"/>
        <w:rPr>
          <w:rFonts w:eastAsia="Calibri"/>
          <w:sz w:val="28"/>
          <w:szCs w:val="28"/>
          <w:lang w:eastAsia="en-US"/>
        </w:rPr>
      </w:pPr>
      <w:r w:rsidRPr="00FD38BE">
        <w:rPr>
          <w:rFonts w:eastAsia="Calibri"/>
          <w:sz w:val="28"/>
          <w:szCs w:val="28"/>
          <w:lang w:val="en-US" w:eastAsia="en-US"/>
        </w:rPr>
        <w:t>Human-Centered Law</w:t>
      </w:r>
      <w:r w:rsidRPr="00FD38BE">
        <w:rPr>
          <w:rFonts w:eastAsia="Calibri"/>
          <w:sz w:val="28"/>
          <w:szCs w:val="28"/>
          <w:lang w:val="uk-UA" w:eastAsia="en-US"/>
        </w:rPr>
        <w:t xml:space="preserve">. </w:t>
      </w:r>
      <w:hyperlink r:id="rId22" w:tooltip="Posts by Sustainability Directory" w:history="1">
        <w:r w:rsidRPr="00FD38BE">
          <w:rPr>
            <w:rFonts w:eastAsia="Calibri"/>
            <w:sz w:val="28"/>
            <w:szCs w:val="28"/>
            <w:bdr w:val="none" w:sz="0" w:space="0" w:color="auto" w:frame="1"/>
            <w:shd w:val="clear" w:color="auto" w:fill="FCFCFC"/>
            <w:lang w:val="en-US" w:eastAsia="en-US"/>
          </w:rPr>
          <w:t>Sustainability Directory</w:t>
        </w:r>
      </w:hyperlink>
      <w:r w:rsidRPr="00FD38BE">
        <w:rPr>
          <w:rFonts w:eastAsia="Calibri"/>
          <w:sz w:val="28"/>
          <w:szCs w:val="28"/>
          <w:bdr w:val="none" w:sz="0" w:space="0" w:color="auto" w:frame="1"/>
          <w:shd w:val="clear" w:color="auto" w:fill="FCFCFC"/>
          <w:lang w:val="uk-UA" w:eastAsia="en-US"/>
        </w:rPr>
        <w:t xml:space="preserve">. </w:t>
      </w:r>
      <w:r w:rsidRPr="00FD38BE">
        <w:rPr>
          <w:rFonts w:eastAsia="Calibri"/>
          <w:sz w:val="28"/>
          <w:szCs w:val="28"/>
          <w:bdr w:val="none" w:sz="0" w:space="0" w:color="auto" w:frame="1"/>
          <w:shd w:val="clear" w:color="auto" w:fill="FCFCFC"/>
          <w:lang w:eastAsia="en-US"/>
        </w:rPr>
        <w:t xml:space="preserve">29.07.25. </w:t>
      </w:r>
      <w:r w:rsidRPr="00FD38BE">
        <w:rPr>
          <w:rFonts w:eastAsia="Calibri"/>
          <w:sz w:val="28"/>
          <w:szCs w:val="28"/>
          <w:bdr w:val="none" w:sz="0" w:space="0" w:color="auto" w:frame="1"/>
          <w:shd w:val="clear" w:color="auto" w:fill="FCFCFC"/>
          <w:lang w:val="uk-UA" w:eastAsia="en-US"/>
        </w:rPr>
        <w:t>Електронний ресурс. Режим доступу: https://lifestyle.sustainability-directory.com/term/human-centered-law/</w:t>
      </w:r>
    </w:p>
    <w:p w:rsidR="00076275" w:rsidRPr="00FD38BE" w:rsidRDefault="00076275" w:rsidP="00076275">
      <w:pPr>
        <w:numPr>
          <w:ilvl w:val="0"/>
          <w:numId w:val="10"/>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Петришин О.В. Загальна теорія права: Підручник. Видання 2-ге, виправлене й перероблене. Харків «Право», 2025. 576 с.</w:t>
      </w:r>
    </w:p>
    <w:p w:rsidR="00076275" w:rsidRPr="00FD38BE" w:rsidRDefault="00076275" w:rsidP="00076275">
      <w:pPr>
        <w:numPr>
          <w:ilvl w:val="0"/>
          <w:numId w:val="10"/>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 xml:space="preserve">Попович Т.П. Категорія цінностей: загальнофілософський та філософсько-правовий аспект. </w:t>
      </w:r>
      <w:r w:rsidRPr="00FD38BE">
        <w:rPr>
          <w:rFonts w:eastAsia="Calibri"/>
          <w:i/>
          <w:sz w:val="28"/>
          <w:szCs w:val="28"/>
          <w:lang w:val="uk-UA" w:eastAsia="en-US"/>
        </w:rPr>
        <w:t>Закарпатські правові читання</w:t>
      </w:r>
      <w:r w:rsidRPr="00FD38BE">
        <w:rPr>
          <w:rFonts w:eastAsia="Calibri"/>
          <w:sz w:val="28"/>
          <w:szCs w:val="28"/>
          <w:lang w:val="uk-UA" w:eastAsia="en-US"/>
        </w:rPr>
        <w:t>. Том 1, 2019. С. 94-102.</w:t>
      </w:r>
    </w:p>
    <w:p w:rsidR="00076275" w:rsidRPr="00FD38BE" w:rsidRDefault="00076275" w:rsidP="00076275">
      <w:pPr>
        <w:numPr>
          <w:ilvl w:val="0"/>
          <w:numId w:val="10"/>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 xml:space="preserve">Рогозянський В. Ціннісні орієнтири права у формуванні поведінки людини. </w:t>
      </w:r>
      <w:r w:rsidRPr="00FD38BE">
        <w:rPr>
          <w:rFonts w:eastAsia="Calibri"/>
          <w:i/>
          <w:sz w:val="28"/>
          <w:szCs w:val="28"/>
          <w:lang w:val="uk-UA" w:eastAsia="en-US"/>
        </w:rPr>
        <w:t>Вісник Національного університету «Львівська політехніка»</w:t>
      </w:r>
      <w:r w:rsidRPr="00FD38BE">
        <w:rPr>
          <w:rFonts w:eastAsia="Calibri"/>
          <w:sz w:val="28"/>
          <w:szCs w:val="28"/>
          <w:lang w:val="uk-UA" w:eastAsia="en-US"/>
        </w:rPr>
        <w:t xml:space="preserve">. Серія: «Юридичні науки». № 1 (37), 2023. С. 107-112. </w:t>
      </w:r>
      <w:r w:rsidRPr="00FD38BE">
        <w:rPr>
          <w:rFonts w:eastAsia="Calibri"/>
          <w:sz w:val="28"/>
          <w:szCs w:val="28"/>
          <w:lang w:val="en-US" w:eastAsia="en-US"/>
        </w:rPr>
        <w:t>DOI:</w:t>
      </w:r>
      <w:r w:rsidRPr="00FD38BE">
        <w:rPr>
          <w:rFonts w:eastAsia="Calibri"/>
          <w:sz w:val="28"/>
          <w:szCs w:val="28"/>
          <w:lang w:val="uk-UA" w:eastAsia="en-US"/>
        </w:rPr>
        <w:t xml:space="preserve"> </w:t>
      </w:r>
      <w:r w:rsidRPr="00FD38BE">
        <w:rPr>
          <w:rFonts w:eastAsia="Calibri"/>
          <w:sz w:val="28"/>
          <w:szCs w:val="28"/>
          <w:lang w:eastAsia="en-US"/>
        </w:rPr>
        <w:t xml:space="preserve"> http://doi.org/10.23939/law2023.37.107</w:t>
      </w:r>
    </w:p>
    <w:p w:rsidR="00076275" w:rsidRPr="00FD38BE" w:rsidRDefault="00076275" w:rsidP="00076275">
      <w:pPr>
        <w:numPr>
          <w:ilvl w:val="0"/>
          <w:numId w:val="10"/>
        </w:numPr>
        <w:spacing w:line="360" w:lineRule="auto"/>
        <w:ind w:left="0" w:firstLine="709"/>
        <w:contextualSpacing/>
        <w:jc w:val="both"/>
        <w:rPr>
          <w:rFonts w:eastAsia="Calibri"/>
          <w:sz w:val="28"/>
          <w:szCs w:val="28"/>
          <w:lang w:val="uk-UA" w:eastAsia="en-US"/>
        </w:rPr>
      </w:pPr>
      <w:r w:rsidRPr="00FD38BE">
        <w:rPr>
          <w:rFonts w:eastAsia="Calibri"/>
          <w:sz w:val="28"/>
          <w:szCs w:val="28"/>
          <w:lang w:val="uk-UA" w:eastAsia="en-US"/>
        </w:rPr>
        <w:t xml:space="preserve">Фальковський А.О. До визначення поняття аксіологічного дослідницького підходу в методології юриспруденції. </w:t>
      </w:r>
      <w:r w:rsidRPr="00FD38BE">
        <w:rPr>
          <w:rFonts w:eastAsia="Calibri"/>
          <w:i/>
          <w:sz w:val="28"/>
          <w:szCs w:val="28"/>
          <w:lang w:val="uk-UA" w:eastAsia="en-US"/>
        </w:rPr>
        <w:t>Актуальні проблеми держави і права</w:t>
      </w:r>
      <w:r w:rsidRPr="00FD38BE">
        <w:rPr>
          <w:rFonts w:eastAsia="Calibri"/>
          <w:sz w:val="28"/>
          <w:szCs w:val="28"/>
          <w:lang w:val="uk-UA" w:eastAsia="en-US"/>
        </w:rPr>
        <w:t>: Збірник наукових праць. Випуск 40, 2008. С. 59-64.</w:t>
      </w:r>
    </w:p>
    <w:p w:rsidR="00076275" w:rsidRPr="00FD38BE" w:rsidRDefault="00076275" w:rsidP="00076275">
      <w:pPr>
        <w:spacing w:line="360" w:lineRule="auto"/>
        <w:ind w:firstLine="709"/>
        <w:rPr>
          <w:rFonts w:eastAsia="Calibri"/>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pStyle w:val="af2"/>
        <w:spacing w:line="360" w:lineRule="auto"/>
        <w:ind w:firstLine="709"/>
        <w:jc w:val="center"/>
        <w:rPr>
          <w:rFonts w:cs="Times New Roman"/>
          <w:b/>
          <w:bCs/>
          <w:szCs w:val="28"/>
          <w:lang w:val="uk-UA"/>
        </w:rPr>
      </w:pPr>
      <w:r w:rsidRPr="00FD38BE">
        <w:rPr>
          <w:rFonts w:cs="Times New Roman"/>
          <w:b/>
          <w:bCs/>
          <w:szCs w:val="28"/>
          <w:lang w:val="uk-UA"/>
        </w:rPr>
        <w:t>ОСОБЛИВОСТІ СТАНОВЛЕННЯ ТА РОЗВИТКУ ВОЛОНТЕРСЬКИХ ІНІЦІАТИВ В УКРАЇНІ В КОНТЕКСТІ РОСІЙСЬКОЇ АГРЕСІЇ</w:t>
      </w:r>
    </w:p>
    <w:p w:rsidR="00076275" w:rsidRPr="00FD38BE" w:rsidRDefault="00076275" w:rsidP="00076275">
      <w:pPr>
        <w:pStyle w:val="af2"/>
        <w:spacing w:line="360" w:lineRule="auto"/>
        <w:ind w:firstLine="709"/>
        <w:jc w:val="right"/>
        <w:rPr>
          <w:rFonts w:cs="Times New Roman"/>
          <w:i/>
          <w:iCs/>
          <w:szCs w:val="28"/>
          <w:lang w:val="uk-UA"/>
        </w:rPr>
      </w:pPr>
    </w:p>
    <w:p w:rsidR="00076275" w:rsidRPr="00FD38BE" w:rsidRDefault="00076275" w:rsidP="00076275">
      <w:pPr>
        <w:pStyle w:val="af2"/>
        <w:spacing w:line="360" w:lineRule="auto"/>
        <w:ind w:firstLine="709"/>
        <w:jc w:val="center"/>
        <w:rPr>
          <w:rFonts w:cs="Times New Roman"/>
          <w:b/>
          <w:bCs/>
          <w:i/>
          <w:iCs/>
          <w:szCs w:val="28"/>
          <w:lang w:val="uk-UA"/>
        </w:rPr>
      </w:pPr>
      <w:r w:rsidRPr="00FD38BE">
        <w:rPr>
          <w:rFonts w:cs="Times New Roman"/>
          <w:b/>
          <w:bCs/>
          <w:i/>
          <w:iCs/>
          <w:szCs w:val="28"/>
          <w:lang w:val="uk-UA"/>
        </w:rPr>
        <w:t>Голик Юрій Юрійович</w:t>
      </w:r>
    </w:p>
    <w:p w:rsidR="00076275" w:rsidRPr="00FD38BE" w:rsidRDefault="00076275" w:rsidP="00076275">
      <w:pPr>
        <w:pStyle w:val="af2"/>
        <w:spacing w:line="360" w:lineRule="auto"/>
        <w:ind w:firstLine="709"/>
        <w:jc w:val="center"/>
        <w:rPr>
          <w:rFonts w:cs="Times New Roman"/>
          <w:i/>
          <w:iCs/>
          <w:szCs w:val="28"/>
          <w:lang w:val="uk-UA"/>
        </w:rPr>
      </w:pPr>
      <w:r w:rsidRPr="00FD38BE">
        <w:rPr>
          <w:rFonts w:cs="Times New Roman"/>
          <w:i/>
          <w:iCs/>
          <w:szCs w:val="28"/>
          <w:lang w:val="uk-UA"/>
        </w:rPr>
        <w:t>Здобувач 2 курс</w:t>
      </w:r>
    </w:p>
    <w:p w:rsidR="00076275" w:rsidRPr="00FD38BE" w:rsidRDefault="00076275" w:rsidP="00076275">
      <w:pPr>
        <w:pStyle w:val="af2"/>
        <w:spacing w:line="360" w:lineRule="auto"/>
        <w:ind w:firstLine="709"/>
        <w:jc w:val="center"/>
        <w:rPr>
          <w:rFonts w:cs="Times New Roman"/>
          <w:i/>
          <w:iCs/>
          <w:szCs w:val="28"/>
          <w:lang w:val="uk-UA"/>
        </w:rPr>
      </w:pPr>
      <w:r w:rsidRPr="00FD38BE">
        <w:rPr>
          <w:rFonts w:cs="Times New Roman"/>
          <w:i/>
          <w:iCs/>
          <w:szCs w:val="28"/>
          <w:lang w:val="uk-UA"/>
        </w:rPr>
        <w:t>Освітнього рівня вищої освіти: другий (магістерський)</w:t>
      </w:r>
    </w:p>
    <w:p w:rsidR="00076275" w:rsidRPr="00FD38BE" w:rsidRDefault="00076275" w:rsidP="00076275">
      <w:pPr>
        <w:pStyle w:val="af2"/>
        <w:spacing w:line="360" w:lineRule="auto"/>
        <w:ind w:firstLine="709"/>
        <w:jc w:val="center"/>
        <w:rPr>
          <w:rFonts w:cs="Times New Roman"/>
          <w:i/>
          <w:iCs/>
          <w:szCs w:val="28"/>
          <w:lang w:val="uk-UA"/>
        </w:rPr>
      </w:pPr>
      <w:r w:rsidRPr="00FD38BE">
        <w:rPr>
          <w:rFonts w:cs="Times New Roman"/>
          <w:i/>
          <w:iCs/>
          <w:szCs w:val="28"/>
          <w:lang w:val="uk-UA"/>
        </w:rPr>
        <w:t>Спеціальності: 256 «Національна безпека»</w:t>
      </w:r>
    </w:p>
    <w:p w:rsidR="00076275" w:rsidRPr="0085383B" w:rsidRDefault="00076275" w:rsidP="00076275">
      <w:pPr>
        <w:pStyle w:val="af2"/>
        <w:spacing w:line="360" w:lineRule="auto"/>
        <w:ind w:firstLine="709"/>
        <w:jc w:val="center"/>
        <w:rPr>
          <w:rFonts w:cs="Times New Roman"/>
          <w:i/>
          <w:iCs/>
          <w:szCs w:val="28"/>
          <w:lang w:val="uk-UA"/>
        </w:rPr>
      </w:pPr>
      <w:r w:rsidRPr="00FD38BE">
        <w:rPr>
          <w:rFonts w:cs="Times New Roman"/>
          <w:i/>
          <w:iCs/>
          <w:szCs w:val="28"/>
          <w:lang w:val="uk-UA"/>
        </w:rPr>
        <w:t>Національний університет «Острозька академія»</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Волонтерська діяльність у сучасному суспільстві поступово трансформувалася із переважно благодійної допомоги у важливий інструмент </w:t>
      </w:r>
      <w:r w:rsidRPr="00FD38BE">
        <w:rPr>
          <w:rFonts w:cs="Times New Roman"/>
          <w:szCs w:val="28"/>
          <w:lang w:val="uk-UA"/>
        </w:rPr>
        <w:lastRenderedPageBreak/>
        <w:t>формування професійних компетентностей та громадянської активності. Участь у волонтерських ініціативах сприяє здобуттю практичних навичок, пов’язаних із психолого-педагогічною підготовкою, правовими знаннями, а також соціально-медичними аспектами допомоги. З часом добровільна діяльність почала відігравати роль своєрідної платформи для особистісного розвитку, оскільки вона створює умови для професійного становлення, розвитку комунікативних здібностей та реалізації громадянського потенціалу.</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На початковому етапі становлення незалежної України волонтерство мало передусім гуманітарний та медичний характер. Багато благодійних ініціатив виникали за підтримки релігійних громад, зокрема протестантських церков. Серед таких прикладів можна назвати проєкт «Медична клініка на колесах», започаткований Українською лютеранською церквою у 1992 році. Ця ініціатива і сьогодні продовжує функціонувати, надаючи медичну допомогу населенню, передусім жителям віддалених сільських територій. Також активну благодійну діяльність здійснювали громади Армії спасіння, які допомагали людям із тяжкими захворюваннями та тим, хто був позбавлений можливості самостійно пересуватися.</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В свою чергу, новий етап розвитку волонтерського руху в Україні розпочався під час подій Євромайдану. Саме тоді з’явилася значна кількість громадських ініціатив, спрямованих на підтримку протестувальників. Волонтери організовували пункти обігріву, забезпечували харчуванням та надавали першу медичну допомогу. Згодом ці спонтанні об’єднання переросли у більш організовані структури. Серед них варто згадати такі відомі рухи, як Самооборона Майдану, Автомайдан та ЄвромайданSOS. Їхня діяльність стала прикладом високого рівня громадянської мобілізації та соціальної солідарності.</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Після початку збройного протистояння на сході України волонтерський рух набув ще більшого значення. На початковому етапі конфлікту стало очевидно, що державні механізми не здатні повною мірою забезпечити потреби армії. У зв’язку з цим значна частина суспільства долучилася до збору коштів, продуктів харчування, одягу та іншого необхідного обладнання для військових. У результаті волонтерський рух перетворився на масштабну систему </w:t>
      </w:r>
      <w:r w:rsidRPr="00FD38BE">
        <w:rPr>
          <w:rFonts w:cs="Times New Roman"/>
          <w:szCs w:val="28"/>
          <w:lang w:val="uk-UA"/>
        </w:rPr>
        <w:lastRenderedPageBreak/>
        <w:t>громадської підтримки оборонного сектору. Волонтери забезпечували армію найрізноманітнішим спорядженням, починаючи від елементарних засобів захисту і закінчуючи сучасними технічними пристроями. Важливою подією стало створення у 2014 році Ради волонтерів, до складу якої увійшли представники різних регіонів країни. У той самий період була сформована Асоціація народних волонтерів, яка об’єднала організації та благодійні фонди, що надавали допомогу військовослужбовцям, ветеранам і внутрішньо переміщеним особам. Окремі волонтерські групи спеціалізувалися на виробництві необхідного спорядження. Наприклад, організація Черкаські павучки займалася виготовленням маскувальних сіток для військових підрозділів, тоді як ініціатива Укропський сухпай сприяла покращенню забезпечення армії продуктами харчування.</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Особливу роль відіграла медична волонтерська допомога. Вона почала активно формуватися ще під час Революції Гідності, коли добровольці надавали першу допомогу постраждалим. Згодом ця діяльність поширилася і на зону бойових дій, де було створено мобільні медичні групи. Такі ініціативи сприяли покращенню взаємодії між військовими та цивільними медиками. Завдяки волонтерській підтримці значно покращилося забезпечення військових медичними засобами, оскільки державні поставки не завжди відповідали умовам польової медицини.</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Важливу роль у підтримці України відіграла українська діаспора. Однією з перших форм допомоги стала політична підтримка незалежності держави. Завдяки активній діяльності української громади у Канаді ця країна однією з перших серед західних держав офіційно визнала незалежність України. Представники діаспори організовували інформаційні кампанії, зверталися до урядових структур та активно використовували медіа для поширення інформації про Україну [1]. </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Після проголошення незалежності діяльність українців за кордоном спрямовувалася на підтримку демократичних процесів у державі. Вони організовували різноманітні конференції, наукові форуми та програми обміну, що сприяли налагодженню співпраці між Україною та країнами проживання </w:t>
      </w:r>
      <w:r w:rsidRPr="00FD38BE">
        <w:rPr>
          <w:rFonts w:cs="Times New Roman"/>
          <w:szCs w:val="28"/>
          <w:lang w:val="uk-UA"/>
        </w:rPr>
        <w:lastRenderedPageBreak/>
        <w:t xml:space="preserve">діаспори. Події Революції Гідності стали важливим поштовхом до активізації цієї діяльності. Саме тоді відбулося значне об’єднання різних хвиль української еміграції, які разом проводили мітинги, акції та інформаційні кампанії на підтримку демократичних змін. Після анексії Криму та початку війни на сході України українські громади у Великій Британії та інших країнах активно організовували акції солідарності. Вони збирали підписи під петиціями, зверталися до урядів своїх держав із вимогою підтримати Україну та запровадити санкції проти російської влади [2, c. 291]. </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З 2014 року українська діаспора почала надавати допомогу Україні у різних сферах. Йдеться про фінансову підтримку, гуманітарну допомогу, медичне забезпечення та організацію лікування поранених військових за кордоном [65]. Значну роль відіграло створення благодійних фондів, які здійснювали збір коштів для підтримки армії та постраждалого населення.</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Важливою формою підтримки став також політичний вплив на уряди країн проживання. Українські громади активно виступали за надання Україні військової та фінансової допомоги. Наприклад, представники української діаспори в Канаді ініціювали перегляд урядових програм фінансової підтримки України та наполягали на збільшенні її обсягів.</w:t>
      </w:r>
    </w:p>
    <w:p w:rsidR="00076275" w:rsidRPr="00FD38BE" w:rsidRDefault="00076275" w:rsidP="00076275">
      <w:pPr>
        <w:pStyle w:val="af2"/>
        <w:spacing w:line="360" w:lineRule="auto"/>
        <w:ind w:firstLine="709"/>
        <w:jc w:val="both"/>
        <w:rPr>
          <w:rFonts w:cs="Times New Roman"/>
          <w:szCs w:val="28"/>
          <w:lang w:val="uk-UA"/>
        </w:rPr>
      </w:pP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Серед сучасних організацій української діаспори, які відіграють важливу роль у підтримці України, варто відзначити Razom for Ukraine, Nova Ukraine, Ukrainian Congress Committee of America та Американо-український фонд. Організація Razom for Ukraine активно використовує соціальні мережі для мобілізації підтримки та лобіювання українських інтересів у Конгресі США. Крім того, вона займається збором медичного обладнання та інших необхідних ресурсів для України [2, c. 290].</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Організація Nova Ukraine виникла під впливом подій Революції Гідності та функціонує переважно у Каліфорнії. Вона реалізує різноманітні гуманітарні та освітні проєкти, спрямовані на підтримку України. Зокрема, організація фінансує програми стажування для українських фахівців у сфері інформаційних технологій, а також сприяє економічному розвитку регіонів, що постраждали </w:t>
      </w:r>
      <w:r w:rsidRPr="00FD38BE">
        <w:rPr>
          <w:rFonts w:cs="Times New Roman"/>
          <w:szCs w:val="28"/>
          <w:lang w:val="uk-UA"/>
        </w:rPr>
        <w:lastRenderedPageBreak/>
        <w:t>від війни. З 2014 року фонд зібрав понад 35 мільйонів доларів, які були спрямовані на реалізацію різноманітних програм допомоги. Американо-український фонд, заснований у 1991 році, реалізує довгострокові програми, спрямовані на розвиток демократичних інституцій, зміцнення ринкової економіки та розширення стратегічного партнерства між США та Україною [3, c. 65].</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Після початку повномасштабного вторгнення Росії 24 лютого 2022 року діяльність української діаспори набула ще більш масштабного характеру. Українці за кордоном активно поширювали інформацію про події в Україні, організовували гуманітарні штаби для допомоги біженцям та збирали кошти для підтримки військових і цивільного населення [4, c. 5]. </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Одним із важливих напрямів діяльності стала боротьба з дезінформацією. Представники діаспори активно взаємодіють із міжнародними медіа, поширюють перевірені факти через соціальні мережі та організовують інформаційні кампанії, спрямовані на протидію російській пропаганді. Водночас українці за кордоном продовжують підтримувати економічні та культурні зв’язки з Батьківщиною. Вони сприяють розвитку бізнес-контактів, інвестиційних проєктів та міжнародної співпраці. Особливо важливою є роль молодого покоління українців, які здобувають освіту за кордоном і згодом застосовують отримані знання для розвитку України.</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Отже, волонтерський рух в Україні та діяльність української діаспори стали важливими чинниками підтримки держави у складних умовах сучасних викликів. Їхня активність сприяє зміцненню міжнародної солідарності, розвитку громадянського суспільства та формуванню позитивного іміджу України у світі. Волонтери та представники діаспори демонструють високий рівень згуртованості та готовність до спільних дій, що є важливою передумовою для подальшого розвитку та відновлення держави.</w:t>
      </w:r>
    </w:p>
    <w:p w:rsidR="00076275" w:rsidRPr="00FD38BE" w:rsidRDefault="00076275" w:rsidP="00076275">
      <w:pPr>
        <w:pStyle w:val="af2"/>
        <w:spacing w:line="360" w:lineRule="auto"/>
        <w:ind w:firstLine="709"/>
        <w:jc w:val="both"/>
        <w:rPr>
          <w:rFonts w:cs="Times New Roman"/>
          <w:b/>
          <w:bCs/>
          <w:szCs w:val="28"/>
          <w:lang w:val="uk-UA"/>
        </w:rPr>
      </w:pPr>
    </w:p>
    <w:p w:rsidR="00076275" w:rsidRPr="00FD38BE" w:rsidRDefault="00076275" w:rsidP="00076275">
      <w:pPr>
        <w:pStyle w:val="af2"/>
        <w:spacing w:line="360" w:lineRule="auto"/>
        <w:ind w:firstLine="709"/>
        <w:jc w:val="center"/>
        <w:rPr>
          <w:rFonts w:cs="Times New Roman"/>
          <w:b/>
          <w:bCs/>
          <w:szCs w:val="28"/>
          <w:lang w:val="uk-UA"/>
        </w:rPr>
      </w:pPr>
      <w:r w:rsidRPr="00FD38BE">
        <w:rPr>
          <w:rFonts w:cs="Times New Roman"/>
          <w:b/>
          <w:bCs/>
          <w:szCs w:val="28"/>
          <w:lang w:val="uk-UA"/>
        </w:rPr>
        <w:t>СПИСОК ВИКОРИСТАНИХ ДЖЕРЕЛ</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ab/>
        <w:t>1. Diaspora organizations and their humanitarian response in Ukraine - Ukraine. URL: https://www.global-ukraine.org/en (дата звернення: 15.03.2026).</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lastRenderedPageBreak/>
        <w:t xml:space="preserve">2. Панькова О., Касперович О. Український волонтерський рух в умовах збройної російської агресіїв контексті національнихта глобальних викликіві можливостей післявоєнноговідновлення країни. </w:t>
      </w:r>
      <w:r w:rsidRPr="00FD38BE">
        <w:rPr>
          <w:rFonts w:cs="Times New Roman"/>
          <w:i/>
          <w:iCs/>
          <w:szCs w:val="28"/>
          <w:lang w:val="uk-UA"/>
        </w:rPr>
        <w:t>Журнал європейської економіки</w:t>
      </w:r>
      <w:r w:rsidRPr="00FD38BE">
        <w:rPr>
          <w:rFonts w:cs="Times New Roman"/>
          <w:szCs w:val="28"/>
          <w:lang w:val="uk-UA"/>
        </w:rPr>
        <w:t>. Том 21. № 3 (82). Липень–вересень 2022. С.277-294.</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 xml:space="preserve">3. Панькова О. В. Розвиток волонтерської діяльності в Україні як прояв активізації соціальних ресурсів громадянського суспільства: специфіка, проблеми та перспективи. </w:t>
      </w:r>
      <w:r w:rsidRPr="00FD38BE">
        <w:rPr>
          <w:rFonts w:cs="Times New Roman"/>
          <w:i/>
          <w:iCs/>
          <w:szCs w:val="28"/>
          <w:lang w:val="uk-UA"/>
        </w:rPr>
        <w:t>Український соціум</w:t>
      </w:r>
      <w:r w:rsidRPr="00FD38BE">
        <w:rPr>
          <w:rFonts w:cs="Times New Roman"/>
          <w:szCs w:val="28"/>
          <w:lang w:val="uk-UA"/>
        </w:rPr>
        <w:t>. 2016. №2(57). С. 65-64.</w:t>
      </w:r>
    </w:p>
    <w:p w:rsidR="00076275" w:rsidRPr="00FD38BE" w:rsidRDefault="00076275" w:rsidP="00076275">
      <w:pPr>
        <w:pStyle w:val="af2"/>
        <w:spacing w:line="360" w:lineRule="auto"/>
        <w:ind w:firstLine="709"/>
        <w:jc w:val="both"/>
        <w:rPr>
          <w:rFonts w:cs="Times New Roman"/>
          <w:szCs w:val="28"/>
          <w:lang w:val="uk-UA"/>
        </w:rPr>
      </w:pPr>
      <w:r w:rsidRPr="00FD38BE">
        <w:rPr>
          <w:rFonts w:cs="Times New Roman"/>
          <w:szCs w:val="28"/>
          <w:lang w:val="uk-UA"/>
        </w:rPr>
        <w:t>4. Волонтерський рух: світовий досвід та українські громадянські практики : аналіт. доп. Київ: НІСД, 2015. 36 с.</w:t>
      </w:r>
    </w:p>
    <w:p w:rsidR="00076275" w:rsidRPr="00FD38BE" w:rsidRDefault="00076275" w:rsidP="00076275">
      <w:pPr>
        <w:spacing w:line="360" w:lineRule="auto"/>
        <w:ind w:firstLine="709"/>
        <w:jc w:val="both"/>
        <w:rPr>
          <w:sz w:val="28"/>
          <w:szCs w:val="28"/>
        </w:rPr>
      </w:pPr>
    </w:p>
    <w:p w:rsidR="00076275" w:rsidRPr="00FD38BE" w:rsidRDefault="00076275" w:rsidP="00076275">
      <w:pPr>
        <w:spacing w:line="360" w:lineRule="auto"/>
        <w:rPr>
          <w:rFonts w:eastAsiaTheme="minorHAnsi"/>
          <w:b/>
          <w:iCs/>
          <w:kern w:val="2"/>
          <w:sz w:val="28"/>
          <w:szCs w:val="28"/>
          <w:lang w:val="uk-UA" w:eastAsia="en-US"/>
        </w:rPr>
      </w:pPr>
    </w:p>
    <w:p w:rsidR="00076275" w:rsidRPr="00DA2AFA" w:rsidRDefault="00076275" w:rsidP="00076275">
      <w:pPr>
        <w:spacing w:line="360" w:lineRule="auto"/>
        <w:ind w:firstLine="709"/>
        <w:jc w:val="center"/>
        <w:rPr>
          <w:rFonts w:eastAsiaTheme="minorHAnsi"/>
          <w:b/>
          <w:iCs/>
          <w:kern w:val="2"/>
          <w:sz w:val="28"/>
          <w:szCs w:val="28"/>
          <w:lang w:val="uk-UA" w:eastAsia="en-US"/>
        </w:rPr>
      </w:pPr>
      <w:r w:rsidRPr="00FD38BE">
        <w:rPr>
          <w:rFonts w:eastAsiaTheme="minorHAnsi"/>
          <w:b/>
          <w:iCs/>
          <w:kern w:val="2"/>
          <w:sz w:val="28"/>
          <w:szCs w:val="28"/>
          <w:lang w:val="uk-UA" w:eastAsia="en-US"/>
        </w:rPr>
        <w:t>СТІЙКІСТЬ ДЕРЖАВИ В УМОВАХ СУЧАСНИХ ВИКЛИКІВ: НАЦІОНАЛЬНИЙ ТА МІЖНАРОДНО-ПРАВОВИЙ ВИМІР</w:t>
      </w:r>
    </w:p>
    <w:p w:rsidR="00076275" w:rsidRPr="00FD38BE" w:rsidRDefault="00076275" w:rsidP="00076275">
      <w:pPr>
        <w:spacing w:line="360" w:lineRule="auto"/>
        <w:ind w:firstLine="709"/>
        <w:jc w:val="center"/>
        <w:rPr>
          <w:b/>
          <w:i/>
          <w:kern w:val="2"/>
          <w:sz w:val="28"/>
          <w:szCs w:val="28"/>
          <w:lang w:val="uk-UA" w:eastAsia="en-US"/>
        </w:rPr>
      </w:pPr>
      <w:r w:rsidRPr="00FD38BE">
        <w:rPr>
          <w:b/>
          <w:i/>
          <w:kern w:val="2"/>
          <w:sz w:val="28"/>
          <w:szCs w:val="28"/>
          <w:lang w:val="uk-UA" w:eastAsia="en-US"/>
        </w:rPr>
        <w:t>Громовенко Костянтин Вікторович</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д.ю.н., професор, професор кафедри морського та міжнародного права,</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Міжнародний університет,</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 Одеса, Україна</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Загальнотеоретичне дослідження питань національного та міжнародного вимірів стійкості держави в умовах кризових викликів є одним з найактуальніших напрямів наукових досліджень у сучасній Україні. Безпідставна військова агресія російської федерації, з одного боку зумовлює мобілізацію всіх можливих ресурсів нашої держави для надання гідної відсічі, а з іншого, порушує питання збереження національної самобутності та конституційно закріплених орієнтирів державного розвитку. При чому, досягнення зазначених положень має відбуватися у нерозривній єдності із загальносвітовими процесами глобалізації, інтеграції та цифрової трансформації. Перед Україною постали значні виклики, але належна відповідь на них стане індикатором, що підтвердить стійкість нашої держави.</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Поняття «стійкість держави» використовується в політології, правознавстві, теорії публічного управління тощо, однак у теоретико-правовій </w:t>
      </w:r>
      <w:r w:rsidRPr="00FD38BE">
        <w:rPr>
          <w:rFonts w:eastAsiaTheme="minorHAnsi"/>
          <w:bCs/>
          <w:iCs/>
          <w:kern w:val="2"/>
          <w:sz w:val="28"/>
          <w:szCs w:val="28"/>
          <w:lang w:val="uk-UA" w:eastAsia="en-US"/>
        </w:rPr>
        <w:lastRenderedPageBreak/>
        <w:t>площині воно потребує не тільки концептуального, а й нормативного наповнення.</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Важливо наголосити, що стійкість держави характеризує забезпечення рівноваги між збереженням основ державності та належної реакції на кризові виклики.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В юридичній науці підкреслюється, що «У сучасних умовах потенціал стійкості держави та суспільства як складних систем потребує розвитку та адаптивного управління» </w:t>
      </w:r>
      <w:r w:rsidRPr="00FD38BE">
        <w:rPr>
          <w:rFonts w:eastAsiaTheme="minorHAnsi"/>
          <w:kern w:val="2"/>
          <w:sz w:val="28"/>
          <w:szCs w:val="28"/>
          <w:lang w:eastAsia="en-US"/>
        </w:rPr>
        <w:t>[1, с. 9]</w:t>
      </w:r>
      <w:r w:rsidRPr="00FD38BE">
        <w:rPr>
          <w:rFonts w:eastAsiaTheme="minorHAnsi"/>
          <w:kern w:val="2"/>
          <w:sz w:val="28"/>
          <w:szCs w:val="28"/>
          <w:lang w:val="uk-UA" w:eastAsia="en-US"/>
        </w:rPr>
        <w:t>.</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У цьому сенсі стійкість відображає здатність держави модернизовувати інституційні механізми, правові інструменти та управлінські практики без втрати базових ціннісних і конституційних засад.</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Ю. М. Оборотов розмірковуючи про особливості сучасної держави вказував, що її образ «… насамперед, пов'язаний з досягненням суспільного компромісу, вирішенням соціальних протиріч і конфліктів, ефективною управлінською організацією, що, як і за старих часів, активно впливає на хід суспільного розвитку» [5, с. 8].</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Відтак, ключовою роллю сучасної держави залишається забезпечення публічного порядку та захисту прав і свобод людини. Сучасна держава визнаючи права людини найвищою соціальною цінністю, зобов’язується створювати умови для їх реалізації й захисту.  Аналізуючи чинну нормативно-правову базу України, ми можемо ідентифікувати належне закріплення вказаних вимог.</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Так, у статті 3 Конституції України встановлено, що «Права і свободи людини та 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w:t>
      </w:r>
      <w:r w:rsidRPr="00FD38BE">
        <w:rPr>
          <w:rFonts w:eastAsiaTheme="minorHAnsi"/>
          <w:kern w:val="2"/>
          <w:sz w:val="28"/>
          <w:szCs w:val="28"/>
          <w:lang w:eastAsia="en-US"/>
        </w:rPr>
        <w:t>[2].</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Стратегію національної безпеки України закріплено «Людина, її життя і здоров’я, честь і гідність, недоторканність і безпека –  найвища соціальна цінність в Україні. Реалізація цієї норми Конституції України – головна ціль державної політики національної безпеки» </w:t>
      </w:r>
      <w:r w:rsidRPr="00FD38BE">
        <w:rPr>
          <w:rFonts w:eastAsiaTheme="minorHAnsi"/>
          <w:kern w:val="2"/>
          <w:sz w:val="28"/>
          <w:szCs w:val="28"/>
          <w:lang w:eastAsia="en-US"/>
        </w:rPr>
        <w:t>[7].</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 xml:space="preserve">У цьому контексті сучасна держава трансформується з «держави влади» у «державу відповідальності», де легітимність забезпечується не силою примусу, а ефективністю та справедливістю управління. Досягнення зазначених цілей потребує координації національних інтересів із можливостями публічної влади.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Відповідною реакцію на такі процеси стало рішення Ради національної безпеки і оборони України від 20 серпня 2021 року, в якому визначено, що «Запровадження на основі національних інтересів України та з урахуванням міжнародного досвіду багаторівневої комплексної національної системи стійкості сприятиме формуванню на державному, регіональному та місцевому рівнях необхідних спроможностей для запобігання та належного реагування держави і суспільства на широкий спектр загроз та швидкого відновлення після кризових ситуацій» [8].</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Стійкість держави проявляється у кількох взаємопов’язаних сферах. Передусім ідеться про інституційну стійкість, яка виражається у здатності органів державної влади функціонувати безперервно, підтримувати баланс між гілками влади та ефективно реагувати на кризову ситуацію. </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kern w:val="2"/>
          <w:sz w:val="28"/>
          <w:szCs w:val="28"/>
          <w:lang w:val="uk-UA" w:eastAsia="en-US"/>
        </w:rPr>
        <w:t xml:space="preserve">На думку О. О. Резнікової «… важливим елементом стійкості держави є забезпечення безперервності процесу управління навіть за умов настання кризової ситуації» [10, с. 197]. </w:t>
      </w:r>
      <w:r w:rsidRPr="00FD38BE">
        <w:rPr>
          <w:rFonts w:eastAsiaTheme="minorHAnsi"/>
          <w:bCs/>
          <w:iCs/>
          <w:kern w:val="2"/>
          <w:sz w:val="28"/>
          <w:szCs w:val="28"/>
          <w:lang w:val="uk-UA" w:eastAsia="en-US"/>
        </w:rPr>
        <w:t>У цьому контексті безперервність управління набуває значення критерію ефективності стійкості держави, оскільки вона відображає здатність публічної влади зберігати легітимність і довіру суспільства.</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Не менш важливою є правова стійкість, що засновується на стабільності конституційних принципів, передбачуваності правового регулювання та здатності правової системи адаптуватися до нових соціальних реалій без руйнування її основ.</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Водночас стійкість держави має чітко виражений соціальний та аксіологічний вимір. Йдеться про наявність соціальної згуртованості, довіри до публічної влади, визнання прав людини та спільних базових цінностей, які забезпечують легітимність держави в очах суспільства. Саме ціннісна складова </w:t>
      </w:r>
      <w:r w:rsidRPr="00FD38BE">
        <w:rPr>
          <w:rFonts w:eastAsiaTheme="minorHAnsi"/>
          <w:bCs/>
          <w:iCs/>
          <w:kern w:val="2"/>
          <w:sz w:val="28"/>
          <w:szCs w:val="28"/>
          <w:lang w:val="uk-UA" w:eastAsia="en-US"/>
        </w:rPr>
        <w:lastRenderedPageBreak/>
        <w:t>виступає внутрішнім «каркасом» стійкості, без якого інституційні та правові механізми втрачають ефективність.</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У зазначеному аспекті, слід погодитися із твердженням, що «Стійкість держави залежить не лише і не стільки від організації держави, її інституалізації, скільки від тих цінностей і цілей, якими керуються управляючі і ті, ким управляють» [3, с. 368].</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bCs/>
          <w:iCs/>
          <w:kern w:val="2"/>
          <w:sz w:val="28"/>
          <w:szCs w:val="28"/>
          <w:lang w:val="uk-UA" w:eastAsia="en-US"/>
        </w:rPr>
        <w:t xml:space="preserve">Поряд із цим, неможна оминути питання суттєвого впливу зумовленого цифровою трансформацією. </w:t>
      </w:r>
      <w:r w:rsidRPr="00FD38BE">
        <w:rPr>
          <w:rFonts w:eastAsiaTheme="minorHAnsi"/>
          <w:kern w:val="2"/>
          <w:sz w:val="28"/>
          <w:szCs w:val="28"/>
          <w:lang w:val="uk-UA" w:eastAsia="en-US"/>
        </w:rPr>
        <w:t>У цьому вимірі особливої гостроти отримують напрями електронного урядування, забезпечення цифрових публічних послуг,  кібербезпеки і захисту персональних даних. Разом із тим держава має вирішувати й виклики, пов’язані з штучним інтелектом, цифровою нерівністю та етичними ризиками. Отже, сучасна держава стає нормативним модератором цифрового простору.</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Описані процеси породжують питання інформаційної та цифрової стійкості держави, що охоплює здатність захищати інформаційний простір, протидіяти дезінформації та використовувати цифрові технології для підтримки ефективного публічного управління.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Міжнародний вимір стійкості держави передбачає її здатність виконувати міжнародні зобов’язання, забезпечувати імплементацію міжнародних договорів, підтримувати відповідність національного законодавства універсальним стандартам прав людини та зберігати функціонування правової системи навіть в умовах воєнного чи надзвичайного стану.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У зазначеному аспекті, стійкість держави слід розглядати не лише як реакцію на кризу, а як стратегічну здатність до адаптивного розвитку в умовах глобальної взаємозалежності. Її забезпечення потребує системного поєднання національної правової політики та міжнародної співпраці, що відповідає сучасним тенденціям розвитку міжнародного права та державного управління.</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Отже, стійкість держави поєднує інституційну стабільність, правову адаптивність, соціальну згуртованість і легітимність. Саме в такому розумінні стійкість виступає необхідною умовою розвитку держави, її здатності </w:t>
      </w:r>
      <w:r w:rsidRPr="00FD38BE">
        <w:rPr>
          <w:rFonts w:eastAsiaTheme="minorHAnsi"/>
          <w:bCs/>
          <w:iCs/>
          <w:kern w:val="2"/>
          <w:sz w:val="28"/>
          <w:szCs w:val="28"/>
          <w:lang w:val="uk-UA" w:eastAsia="en-US"/>
        </w:rPr>
        <w:lastRenderedPageBreak/>
        <w:t>ефективно виконувати свої функції під впливом сучасних трансформацій та кризових явищ.</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Складним викликом, із яким зіштовхнулася наша держава, стала військова агресія російської федерації. Збройні конфлікти завжди належали до найбільших руйнівних процесів для держави, вони одночасно впливають на її інституційну, правову, економічну, соціальну та ціннісну основи. Відтак, в умовах війни та післявоєнного відновлення стійкість держави набуває особливого значення, для життєздатності держави.</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О. О. Резнікова наголошує, що «Забезпечення стійкості держави до загроз у сфері національної безпеки має надзвичайно важливе значення, оскільки саме до повноважень держави відноситься захист національної державності та безпеки громадян, забезпечення належного урядування та безпеки державних інститутів, а також гарантоване надання життєво важливих послуг населенню» [9, с. 22].</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Стійкість держави в умовах війни отримує прояв у здатності держави зберегти безперервність публічної влади, правопорядку та легітимності, забезпечені базових функції управління і захисту населення, а також адаптації правових та інституційних механізмів до надзвичайних умов без руйнування конституційних засад.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Слушною є думка науковців, що «Держава зобов’язана захищати права і свободи людини, навіть за умов воєнного стану, у тому числі шляхом обмеження в здійсненні деяких прав. Водночас, такі обмеження повинні бути несвавільними та застосовуватися виключно у випадках, коли це дійсно виправдано й необхідно для досягнення визначених законодавством цілей. Окрім того, держава без винятків повинна забезпечувати абсолютні права та дотримуватися принципу верховенства права навіть в умовах надзвичайного стану» </w:t>
      </w:r>
      <w:r w:rsidRPr="00FD38BE">
        <w:rPr>
          <w:rFonts w:eastAsiaTheme="minorHAnsi"/>
          <w:kern w:val="2"/>
          <w:sz w:val="28"/>
          <w:szCs w:val="28"/>
          <w:lang w:eastAsia="en-US"/>
        </w:rPr>
        <w:t>[4, с. 224]</w:t>
      </w:r>
      <w:r w:rsidRPr="00FD38BE">
        <w:rPr>
          <w:rFonts w:eastAsiaTheme="minorHAnsi"/>
          <w:kern w:val="2"/>
          <w:sz w:val="28"/>
          <w:szCs w:val="28"/>
          <w:lang w:val="uk-UA" w:eastAsia="en-US"/>
        </w:rPr>
        <w:t>.</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Відтак вкрай важливим є правовий вимір стійкості, який отримує вираз у ефективному законодавстві, що забезпечує здатність правової системи адаптуватися до воєнних умов, зберігаючи при цьому свою внутрішню цілісність. Війна актуалізує питання тимчасових обмежень прав і свобод, однак </w:t>
      </w:r>
      <w:r w:rsidRPr="00FD38BE">
        <w:rPr>
          <w:rFonts w:eastAsiaTheme="minorHAnsi"/>
          <w:kern w:val="2"/>
          <w:sz w:val="28"/>
          <w:szCs w:val="28"/>
          <w:lang w:val="uk-UA" w:eastAsia="en-US"/>
        </w:rPr>
        <w:lastRenderedPageBreak/>
        <w:t>саме правова визначеність, пропорційність та часові межі таких обмежень виступають індикаторами стійкості правопорядку. Відсутність чітких правових орієнтирів у кризовий період здатне призвести до втрати довіри до держави навіть за умов формального збереження її інституцій.</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Так, Указом Президента України «Про введення воєнного стану в Україні» від 24.02.2022 р., встановлено, що «У зв’язку із введенням в Україні воєнного стану тимчасово, на період дії правового режиму воєнного стану, можуть обмежуватися конституційні права і свободи людини і громадянина, передбачені статтями 30-34, 38, 39, 41-44, 53 Конституції України, а також вводитися тимчасові обмеження прав і законних інтересів юридичних осіб в межах та обсязі, що необхідні для забезпечення можливості запровадження та здійснення заходів правового режиму воєнного стану, які передбачені частиною першою статті 8 Закону України «Про правовий режим воєнного стану»» [6].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Наведена норма має рамковий характер, оскільки не встановлює конкретних механізмів обмеження прав, а визначає їх допустимість як правовий інструмент реагування держави на надзвичайні обставини збройної агресії, зберігаючи при цьому орієнтацію на принципи пропорційності та законності.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Не менш значущим виміром стійкості держави під час війни є інституційна безперервність, яка виявляється у здатності органів державної влади здійснювати свої повноваження навіть за умов територіальних втрат, руйнування інфраструктури та переміщення населення. Особливу роль відіграють правові режими надзвичайного та воєнного стану, які, з одного боку, розширюють певні повноваження держави, а з іншого, потребують чітких правових меж.</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У соціальному та аксіологічному вимірах стійкість держави в умовах війни проявляється через рівень суспільної згуртованості, солідарності та довіри. Війна посилює роль держави як «захисника», здатного інтегрувати суспільство навколо базових цінностей: свободи, гідності, справедливості та безпеки. Саме ціннісна орієнтація держави виступає більш потужним чинником її стійкості, ніж суто адміністративні або силові ресурси.</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У період поствоєнного відновлення акценти стійкості держави, яка знаходилася у стані війни, або військового стану, безумовно мають змінитися. Основним викликом стає перехід від особливих правових режимів воєнного часу до розвитку, що потребує від держави здатності відновлювати порушені інститути, економіку та соціальні зв’язки, не втрачаючи керованості та правової визначеності. У цьому контексті стійкість означає не тільки відбудову зруйнованого, а й структурну модернізацію держави, спрямовану, в тому числі, на усунення довоєнних системних вразливостей.</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Особливого значення у поствоєнний період набуває економічна та фінансова стійкість, що забезпечує ефективне управління ресурсами відновлення, прозорість публічних фінансів і запобігання корупційним ризикам. Водночас має бути забезпечено баланс доцільності та дотримання базових принципів правової держави, що є критичним для підтримки довіри громадян та міжнародних партнерів.</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Характерною, у контексті збереження стійкості Європейського союзу, стала й реакція Європейської Ради на виклики війни в Україні: «Європа повинна стати більш суверенною, більш відповідальною за власну оборону та краще оснащеною для дій та автономного та скоординованого реагування на негайні та майбутні виклики та загрози, використовуючи всебічний підхід. Агресивна війна Росії проти України та її наслідки для європейської та глобальної безпеки в умовах змінного середовища становлять екзистенційний виклик для Європейського Союзу» </w:t>
      </w:r>
      <w:r w:rsidRPr="00FD38BE">
        <w:rPr>
          <w:rFonts w:eastAsiaTheme="minorHAnsi"/>
          <w:kern w:val="2"/>
          <w:sz w:val="28"/>
          <w:szCs w:val="28"/>
          <w:lang w:eastAsia="en-US"/>
        </w:rPr>
        <w:t>[11]</w:t>
      </w:r>
      <w:r w:rsidRPr="00FD38BE">
        <w:rPr>
          <w:rFonts w:eastAsiaTheme="minorHAnsi"/>
          <w:kern w:val="2"/>
          <w:sz w:val="28"/>
          <w:szCs w:val="28"/>
          <w:lang w:val="uk-UA" w:eastAsia="en-US"/>
        </w:rPr>
        <w:t>.</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Таким чином, стійкість держави в умовах війни та поствоєнного відновлення відображає інституційну консолідованість, правову адаптивність, соціальну згуртованість і легітимність. Саме така стійкість дозволяє державі не лише пережити кризові виклики війни, а й використати поствоєнний період як можливість для розвитку.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bCs/>
          <w:iCs/>
          <w:kern w:val="2"/>
          <w:sz w:val="28"/>
          <w:szCs w:val="28"/>
          <w:lang w:val="uk-UA" w:eastAsia="en-US"/>
        </w:rPr>
        <w:t xml:space="preserve">Певним чином підсумовуючи, стає можливим зазначити, що стійкість держави – це інтегральна властивість держави, що формується внаслідок ефективної взаємодії аксіологічних, функціональних та інституційних компонентів і проявляється у її здатності зберігати ідентичність і легітимність в </w:t>
      </w:r>
      <w:r w:rsidRPr="00FD38BE">
        <w:rPr>
          <w:rFonts w:eastAsiaTheme="minorHAnsi"/>
          <w:bCs/>
          <w:iCs/>
          <w:kern w:val="2"/>
          <w:sz w:val="28"/>
          <w:szCs w:val="28"/>
          <w:lang w:val="uk-UA" w:eastAsia="en-US"/>
        </w:rPr>
        <w:lastRenderedPageBreak/>
        <w:t>умовах внутрішніх і зовнішніх викликів, адаптуватися до структурних змін, відновлювати порушені суспільні та управлінські зв’язки та забезпечувати безперервність публічної влади й належний рівень правопорядку.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Виконане дослідження присвячено лише окремим системоутворюючим аспектам стійкості держави та залишає відкритими для подальшого наукового дискурсу розгляд інших складових та характеристик.</w:t>
      </w:r>
    </w:p>
    <w:p w:rsidR="00076275" w:rsidRPr="00FD38BE" w:rsidRDefault="00076275" w:rsidP="00076275">
      <w:pPr>
        <w:spacing w:line="360" w:lineRule="auto"/>
        <w:ind w:firstLine="709"/>
        <w:jc w:val="center"/>
        <w:rPr>
          <w:rFonts w:eastAsiaTheme="minorHAnsi"/>
          <w:b/>
          <w:bCs/>
          <w:kern w:val="2"/>
          <w:sz w:val="28"/>
          <w:szCs w:val="28"/>
          <w:lang w:val="uk-UA" w:eastAsia="en-US"/>
        </w:rPr>
      </w:pPr>
    </w:p>
    <w:p w:rsidR="00076275" w:rsidRPr="00FD38BE" w:rsidRDefault="00076275" w:rsidP="00076275">
      <w:pPr>
        <w:spacing w:line="360" w:lineRule="auto"/>
        <w:ind w:firstLine="709"/>
        <w:contextualSpacing/>
        <w:jc w:val="center"/>
        <w:rPr>
          <w:rFonts w:eastAsia="Calibri"/>
          <w:b/>
          <w:sz w:val="28"/>
          <w:szCs w:val="28"/>
          <w:lang w:val="uk-UA" w:eastAsia="en-US"/>
        </w:rPr>
      </w:pPr>
      <w:r w:rsidRPr="00FD38BE">
        <w:rPr>
          <w:rFonts w:eastAsia="Calibri"/>
          <w:b/>
          <w:sz w:val="28"/>
          <w:szCs w:val="28"/>
          <w:lang w:val="uk-UA" w:eastAsia="en-US"/>
        </w:rPr>
        <w:t>СПИСОК ВИКОРИСТАНИХ ДЖЕРЕЛ</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1.</w:t>
      </w:r>
      <w:r w:rsidRPr="00FD38BE">
        <w:rPr>
          <w:rFonts w:eastAsiaTheme="minorHAnsi"/>
          <w:kern w:val="2"/>
          <w:sz w:val="28"/>
          <w:szCs w:val="28"/>
          <w:lang w:val="uk-UA" w:eastAsia="en-US"/>
        </w:rPr>
        <w:tab/>
        <w:t>Князєва О. В., Іжа М. М., Дядюра К. О., Пахомова Т. І., Домашевська К. О. Стійкість до небезпекових викликів: український та європейський контекст: навч. посібник/ О. В.Князєва, М. М.Іжа, К. О.Дядюра, Т. І.Пахомова, К. О. Домашевська. Одеса: НУ «Одеська політехніка». 2025. 175 с.</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2.</w:t>
      </w:r>
      <w:r w:rsidRPr="00FD38BE">
        <w:rPr>
          <w:rFonts w:eastAsiaTheme="minorHAnsi"/>
          <w:kern w:val="2"/>
          <w:sz w:val="28"/>
          <w:szCs w:val="28"/>
          <w:lang w:val="uk-UA" w:eastAsia="en-US"/>
        </w:rPr>
        <w:tab/>
        <w:t>Конституція України. Верховна Рада України. Закон від 28.06.1996 № 254к/96-ВР. URL: https://zakon.rada.gov.ua/laws/show/254%D0%BA/96-%D0%B2%D1%80#Text (дата звернення: 07.02.2026)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3.</w:t>
      </w:r>
      <w:r w:rsidRPr="00FD38BE">
        <w:rPr>
          <w:rFonts w:eastAsiaTheme="minorHAnsi"/>
          <w:kern w:val="2"/>
          <w:sz w:val="28"/>
          <w:szCs w:val="28"/>
          <w:lang w:val="uk-UA" w:eastAsia="en-US"/>
        </w:rPr>
        <w:tab/>
        <w:t>Креативність загальнотеоретичної юриспруденції : монографія / [Ю. М. Оборотов, В. В. Завальнюк, В. В. Дудченко та ін.] ; за ред. Ю. М. Оборотова. Одеса : Фенікс, 2015. 488 с.</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4.</w:t>
      </w:r>
      <w:r w:rsidRPr="00FD38BE">
        <w:rPr>
          <w:rFonts w:eastAsiaTheme="minorHAnsi"/>
          <w:kern w:val="2"/>
          <w:sz w:val="28"/>
          <w:szCs w:val="28"/>
          <w:lang w:val="uk-UA" w:eastAsia="en-US"/>
        </w:rPr>
        <w:tab/>
        <w:t>Летнянчин Л.І., Яворський В.О. Обмеження в реалізації прав людини та основоположних свобод в умовах воєнного стану через призму практики Європейського суду з прав людини. Науковий вісник Ужгородського Національного Університету. Серія ПРАВО. Випуск 86: частина 1. 2024. С. 220-225. DOI https://doi.org/10.24144/2307-3322.2024.86.1.32</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5.</w:t>
      </w:r>
      <w:r w:rsidRPr="00FD38BE">
        <w:rPr>
          <w:rFonts w:eastAsiaTheme="minorHAnsi"/>
          <w:kern w:val="2"/>
          <w:sz w:val="28"/>
          <w:szCs w:val="28"/>
          <w:lang w:val="uk-UA" w:eastAsia="en-US"/>
        </w:rPr>
        <w:tab/>
        <w:t>Оборотов Ю. М. Поняття «образ держави» та його різновиди в умовах глобалізації. Актуальні проблеми держави і права. Вип. 21. О. : Юрид. л-ра / голов. ред. С. В. Ківалов. 2003. С. 7-12.</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6.</w:t>
      </w:r>
      <w:r w:rsidRPr="00FD38BE">
        <w:rPr>
          <w:rFonts w:eastAsiaTheme="minorHAnsi"/>
          <w:kern w:val="2"/>
          <w:sz w:val="28"/>
          <w:szCs w:val="28"/>
          <w:lang w:val="uk-UA" w:eastAsia="en-US"/>
        </w:rPr>
        <w:tab/>
        <w:t>Про введення воєнного стану в Україні. Указ Президента України від 24.02.2022 № 64/2022. URL: https://zakon.rada.gov.ua/laws/show/64/2022#Text (дата звернення: 07.02.2026)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7.</w:t>
      </w:r>
      <w:r w:rsidRPr="00FD38BE">
        <w:rPr>
          <w:rFonts w:eastAsiaTheme="minorHAnsi"/>
          <w:kern w:val="2"/>
          <w:sz w:val="28"/>
          <w:szCs w:val="28"/>
          <w:lang w:val="uk-UA" w:eastAsia="en-US"/>
        </w:rPr>
        <w:tab/>
        <w:t xml:space="preserve">Про рішення Ради національної безпеки і оборони України від 14 вересня 2020 року «Про Стратегію національної безпеки України». Указ </w:t>
      </w:r>
      <w:r w:rsidRPr="00FD38BE">
        <w:rPr>
          <w:rFonts w:eastAsiaTheme="minorHAnsi"/>
          <w:kern w:val="2"/>
          <w:sz w:val="28"/>
          <w:szCs w:val="28"/>
          <w:lang w:val="uk-UA" w:eastAsia="en-US"/>
        </w:rPr>
        <w:lastRenderedPageBreak/>
        <w:t>Президента України від 14.09.2020 № 392/2020. URL: https://zakon.rada.gov.ua/laws/show/392/2020#Text (дата звернення: 07.02.2026)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8.</w:t>
      </w:r>
      <w:r w:rsidRPr="00FD38BE">
        <w:rPr>
          <w:rFonts w:eastAsiaTheme="minorHAnsi"/>
          <w:kern w:val="2"/>
          <w:sz w:val="28"/>
          <w:szCs w:val="28"/>
          <w:lang w:val="uk-UA" w:eastAsia="en-US"/>
        </w:rPr>
        <w:tab/>
        <w:t>Про рішення Ради національної безпеки і оборони України від 20 серпня 2021 року «Про запровадження національної системи стійкості». Указ Президента України. від 27.09.2021 № 479/2021. URL: https://zakon.rada.gov.ua/laws/show/479/2021#Text (дата звернення: 07.02.2026)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9.</w:t>
      </w:r>
      <w:r w:rsidRPr="00FD38BE">
        <w:rPr>
          <w:rFonts w:eastAsiaTheme="minorHAnsi"/>
          <w:kern w:val="2"/>
          <w:sz w:val="28"/>
          <w:szCs w:val="28"/>
          <w:lang w:val="uk-UA" w:eastAsia="en-US"/>
        </w:rPr>
        <w:tab/>
        <w:t>Резнікова О. О. Механізми забезпечення стійкості держави у сфері національної безпеки. STRATEGIC PRIORITIES. № 3-4 (48).  2018. С. 15-25. URL: file:///C:/Users/admin/Downloads/215-Article%20Text-410-1-10-20190220.pdf (дата звернення: 07.02.2026)</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10.</w:t>
      </w:r>
      <w:r w:rsidRPr="00FD38BE">
        <w:rPr>
          <w:rFonts w:eastAsiaTheme="minorHAnsi"/>
          <w:kern w:val="2"/>
          <w:sz w:val="28"/>
          <w:szCs w:val="28"/>
          <w:lang w:val="uk-UA" w:eastAsia="en-US"/>
        </w:rPr>
        <w:tab/>
        <w:t>Резнікова О. О. Формування стійкості держави. Вісник Львівського університету. Серія філософсько-політологічні студії. Випуск 20. 2018. С. 193-199. URL: http://www.fps-visnyk.lnu.lviv.ua/archive/20_2018/30.pdf (дата звернення: 07.02.2026)</w:t>
      </w:r>
    </w:p>
    <w:p w:rsidR="00076275"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11. European Council conclusions on European defence and security, 26 June 2025. </w:t>
      </w:r>
      <w:r w:rsidRPr="00FD38BE">
        <w:rPr>
          <w:rFonts w:eastAsiaTheme="minorHAnsi"/>
          <w:kern w:val="2"/>
          <w:sz w:val="28"/>
          <w:szCs w:val="28"/>
          <w:lang w:val="en-US" w:eastAsia="en-US"/>
        </w:rPr>
        <w:t>URL</w:t>
      </w:r>
      <w:r w:rsidRPr="00FD38BE">
        <w:rPr>
          <w:rFonts w:eastAsiaTheme="minorHAnsi"/>
          <w:kern w:val="2"/>
          <w:sz w:val="28"/>
          <w:szCs w:val="28"/>
          <w:lang w:eastAsia="en-US"/>
        </w:rPr>
        <w:t xml:space="preserve">: </w:t>
      </w:r>
      <w:hyperlink r:id="rId23" w:history="1">
        <w:r w:rsidRPr="00FD38BE">
          <w:rPr>
            <w:rFonts w:eastAsiaTheme="minorHAnsi"/>
            <w:kern w:val="2"/>
            <w:sz w:val="28"/>
            <w:szCs w:val="28"/>
            <w:u w:val="single"/>
            <w:lang w:val="en-US" w:eastAsia="en-US"/>
          </w:rPr>
          <w:t>https</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www</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consilium</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europa</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eu</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en</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press</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press</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releases</w:t>
        </w:r>
        <w:r w:rsidRPr="00FD38BE">
          <w:rPr>
            <w:rFonts w:eastAsiaTheme="minorHAnsi"/>
            <w:kern w:val="2"/>
            <w:sz w:val="28"/>
            <w:szCs w:val="28"/>
            <w:u w:val="single"/>
            <w:lang w:eastAsia="en-US"/>
          </w:rPr>
          <w:t>/2025/06/26/</w:t>
        </w:r>
        <w:r w:rsidRPr="00FD38BE">
          <w:rPr>
            <w:rFonts w:eastAsiaTheme="minorHAnsi"/>
            <w:kern w:val="2"/>
            <w:sz w:val="28"/>
            <w:szCs w:val="28"/>
            <w:u w:val="single"/>
            <w:lang w:val="en-US" w:eastAsia="en-US"/>
          </w:rPr>
          <w:t>european</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council</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conclusions</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on</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european</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defence</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and</w:t>
        </w:r>
        <w:r w:rsidRPr="00FD38BE">
          <w:rPr>
            <w:rFonts w:eastAsiaTheme="minorHAnsi"/>
            <w:kern w:val="2"/>
            <w:sz w:val="28"/>
            <w:szCs w:val="28"/>
            <w:u w:val="single"/>
            <w:lang w:eastAsia="en-US"/>
          </w:rPr>
          <w:t>-</w:t>
        </w:r>
        <w:r w:rsidRPr="00FD38BE">
          <w:rPr>
            <w:rFonts w:eastAsiaTheme="minorHAnsi"/>
            <w:kern w:val="2"/>
            <w:sz w:val="28"/>
            <w:szCs w:val="28"/>
            <w:u w:val="single"/>
            <w:lang w:val="en-US" w:eastAsia="en-US"/>
          </w:rPr>
          <w:t>security</w:t>
        </w:r>
        <w:r w:rsidRPr="00FD38BE">
          <w:rPr>
            <w:rFonts w:eastAsiaTheme="minorHAnsi"/>
            <w:kern w:val="2"/>
            <w:sz w:val="28"/>
            <w:szCs w:val="28"/>
            <w:u w:val="single"/>
            <w:lang w:eastAsia="en-US"/>
          </w:rPr>
          <w:t>/</w:t>
        </w:r>
      </w:hyperlink>
      <w:r w:rsidRPr="00FD38BE">
        <w:rPr>
          <w:rFonts w:eastAsiaTheme="minorHAnsi"/>
          <w:kern w:val="2"/>
          <w:sz w:val="28"/>
          <w:szCs w:val="28"/>
          <w:lang w:eastAsia="en-US"/>
        </w:rPr>
        <w:t xml:space="preserve"> </w:t>
      </w:r>
      <w:r w:rsidRPr="00FD38BE">
        <w:rPr>
          <w:rFonts w:eastAsiaTheme="minorHAnsi"/>
          <w:kern w:val="2"/>
          <w:sz w:val="28"/>
          <w:szCs w:val="28"/>
          <w:lang w:val="uk-UA" w:eastAsia="en-US"/>
        </w:rPr>
        <w:t>(дата звернення: 21.02.2026)</w:t>
      </w:r>
    </w:p>
    <w:p w:rsidR="00076275" w:rsidRDefault="00076275" w:rsidP="00076275">
      <w:pPr>
        <w:spacing w:line="360" w:lineRule="auto"/>
        <w:ind w:firstLine="709"/>
        <w:jc w:val="center"/>
        <w:rPr>
          <w:rFonts w:eastAsiaTheme="minorHAnsi"/>
          <w:b/>
          <w:kern w:val="2"/>
          <w:sz w:val="28"/>
          <w:szCs w:val="28"/>
          <w:lang w:eastAsia="en-US"/>
        </w:rPr>
      </w:pPr>
    </w:p>
    <w:p w:rsidR="00076275" w:rsidRDefault="00076275" w:rsidP="00076275">
      <w:pPr>
        <w:spacing w:line="360" w:lineRule="auto"/>
        <w:ind w:firstLine="709"/>
        <w:jc w:val="center"/>
        <w:rPr>
          <w:rFonts w:eastAsiaTheme="minorHAnsi"/>
          <w:b/>
          <w:kern w:val="2"/>
          <w:sz w:val="28"/>
          <w:szCs w:val="28"/>
          <w:lang w:eastAsia="en-US"/>
        </w:rPr>
      </w:pPr>
    </w:p>
    <w:p w:rsidR="00076275" w:rsidRPr="00282E94" w:rsidRDefault="00076275" w:rsidP="00076275">
      <w:pPr>
        <w:spacing w:line="360" w:lineRule="auto"/>
        <w:ind w:firstLine="709"/>
        <w:jc w:val="center"/>
        <w:rPr>
          <w:rFonts w:eastAsiaTheme="minorHAnsi"/>
          <w:b/>
          <w:kern w:val="2"/>
          <w:sz w:val="28"/>
          <w:szCs w:val="28"/>
          <w:lang w:eastAsia="en-US"/>
        </w:rPr>
      </w:pPr>
      <w:r w:rsidRPr="00282E94">
        <w:rPr>
          <w:rFonts w:eastAsiaTheme="minorHAnsi"/>
          <w:b/>
          <w:kern w:val="2"/>
          <w:sz w:val="28"/>
          <w:szCs w:val="28"/>
          <w:lang w:eastAsia="en-US"/>
        </w:rPr>
        <w:t>ЗАСТОСУВАННЯ ШТУЧНОГО ІНТЕЛЕКТУ У ДІЯЛЬНОСТІ АДВОКАТА</w:t>
      </w:r>
    </w:p>
    <w:p w:rsidR="00076275" w:rsidRPr="004C2538" w:rsidRDefault="00076275" w:rsidP="00076275">
      <w:pPr>
        <w:spacing w:line="360" w:lineRule="auto"/>
        <w:jc w:val="center"/>
        <w:rPr>
          <w:rFonts w:eastAsia="MS Mincho"/>
          <w:sz w:val="28"/>
          <w:szCs w:val="22"/>
          <w:lang w:eastAsia="en-US"/>
        </w:rPr>
      </w:pPr>
      <w:r w:rsidRPr="004C2538">
        <w:rPr>
          <w:rFonts w:eastAsia="MS Mincho"/>
          <w:b/>
          <w:bCs/>
          <w:sz w:val="28"/>
          <w:szCs w:val="22"/>
          <w:lang w:eastAsia="en-US"/>
        </w:rPr>
        <w:t>Єременко К.В</w:t>
      </w:r>
      <w:r w:rsidRPr="004C2538">
        <w:rPr>
          <w:rFonts w:eastAsia="MS Mincho"/>
          <w:sz w:val="28"/>
          <w:szCs w:val="22"/>
          <w:lang w:eastAsia="en-US"/>
        </w:rPr>
        <w:br/>
        <w:t>Студент 3 курсу</w:t>
      </w:r>
      <w:r w:rsidRPr="004C2538">
        <w:rPr>
          <w:rFonts w:eastAsia="MS Mincho"/>
          <w:sz w:val="28"/>
          <w:szCs w:val="22"/>
          <w:lang w:eastAsia="en-US"/>
        </w:rPr>
        <w:br/>
        <w:t>Коледжу Міжнародного університету</w:t>
      </w:r>
    </w:p>
    <w:p w:rsidR="00076275" w:rsidRDefault="00076275" w:rsidP="00076275">
      <w:pPr>
        <w:spacing w:line="360" w:lineRule="auto"/>
        <w:jc w:val="center"/>
        <w:rPr>
          <w:rFonts w:eastAsia="MS Mincho"/>
          <w:b/>
          <w:sz w:val="28"/>
          <w:szCs w:val="28"/>
          <w:lang w:eastAsia="en-US"/>
        </w:rPr>
      </w:pPr>
      <w:r w:rsidRPr="004C2538">
        <w:rPr>
          <w:rFonts w:eastAsia="MS Mincho"/>
          <w:bCs/>
          <w:sz w:val="28"/>
          <w:szCs w:val="28"/>
          <w:lang w:eastAsia="en-US"/>
        </w:rPr>
        <w:t>Науковий керівник:</w:t>
      </w:r>
      <w:r w:rsidRPr="004C2538">
        <w:rPr>
          <w:rFonts w:eastAsia="MS Mincho"/>
          <w:b/>
          <w:sz w:val="28"/>
          <w:szCs w:val="28"/>
          <w:lang w:eastAsia="en-US"/>
        </w:rPr>
        <w:t xml:space="preserve"> </w:t>
      </w:r>
    </w:p>
    <w:p w:rsidR="00076275" w:rsidRPr="004C2538" w:rsidRDefault="00076275" w:rsidP="00076275">
      <w:pPr>
        <w:spacing w:line="360" w:lineRule="auto"/>
        <w:jc w:val="center"/>
        <w:rPr>
          <w:rFonts w:eastAsia="MS Mincho"/>
          <w:b/>
          <w:sz w:val="28"/>
          <w:szCs w:val="28"/>
          <w:lang w:val="uk-UA" w:eastAsia="en-US"/>
        </w:rPr>
      </w:pPr>
      <w:r w:rsidRPr="004C2538">
        <w:rPr>
          <w:rFonts w:eastAsia="MS Mincho"/>
          <w:b/>
          <w:sz w:val="28"/>
          <w:szCs w:val="28"/>
          <w:lang w:eastAsia="en-US"/>
        </w:rPr>
        <w:t>д.ю.н., професор Боксгорн А.В.</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 xml:space="preserve">Прогресивний розвиток технологій у сфері ШІ у </w:t>
      </w:r>
      <w:r w:rsidRPr="004C2538">
        <w:rPr>
          <w:rFonts w:eastAsia="MS Mincho"/>
          <w:sz w:val="28"/>
          <w:szCs w:val="22"/>
          <w:lang w:val="en-US" w:eastAsia="en-US"/>
        </w:rPr>
        <w:t>XXI</w:t>
      </w:r>
      <w:r w:rsidRPr="004C2538">
        <w:rPr>
          <w:rFonts w:eastAsia="MS Mincho"/>
          <w:sz w:val="28"/>
          <w:szCs w:val="22"/>
          <w:lang w:eastAsia="en-US"/>
        </w:rPr>
        <w:t xml:space="preserve"> столітті суттєво трансформує різні сфери суспільного життя, включаючи юридичну діяльність. Однією з найважливіших інновацій сучасності є технологія штучного інтелекту. Штучний інтелект поступово інтегрується у правову сферу, змінюючи </w:t>
      </w:r>
      <w:r w:rsidRPr="004C2538">
        <w:rPr>
          <w:rFonts w:eastAsia="MS Mincho"/>
          <w:sz w:val="28"/>
          <w:szCs w:val="22"/>
          <w:lang w:eastAsia="en-US"/>
        </w:rPr>
        <w:lastRenderedPageBreak/>
        <w:t>традиційні підходи до аналізу правової інформації, підготовки юридичних документів та надання правничої допомоги. Для адвокатської діяльності використання таких технологій відкриває нові можливості для оптимізації професійної роботи, підвищення ефективності аналізу правових матеріалів та покращення якості правових послуг і швидкості їх надання. [4, С.3]</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 xml:space="preserve">У науковій літературі штучний інтелект визначається як сукупність програмних та технічних </w:t>
      </w:r>
      <w:proofErr w:type="gramStart"/>
      <w:r w:rsidRPr="004C2538">
        <w:rPr>
          <w:rFonts w:eastAsia="MS Mincho"/>
          <w:sz w:val="28"/>
          <w:szCs w:val="22"/>
          <w:lang w:eastAsia="en-US"/>
        </w:rPr>
        <w:t>р</w:t>
      </w:r>
      <w:proofErr w:type="gramEnd"/>
      <w:r w:rsidRPr="004C2538">
        <w:rPr>
          <w:rFonts w:eastAsia="MS Mincho"/>
          <w:sz w:val="28"/>
          <w:szCs w:val="22"/>
          <w:lang w:eastAsia="en-US"/>
        </w:rPr>
        <w:t>ішень, здатних імітувати окремі інтелектуальні функції людини, зокрема аналіз інформації, прийняття рішень та прогнозування результатів певних процесів. У юридичній сфері такі системи використовуються для обробки великих масивів правових даних, пошуку судової практики, аналізу законодавства та автоматизації юридичних процедур.[3, С.2]</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Однією з ключових сфер застосування штучного інтелекту у діяльності адвоката є аналіз нормативно</w:t>
      </w:r>
      <w:r w:rsidRPr="004C2538">
        <w:rPr>
          <w:rFonts w:eastAsia="MS Mincho"/>
          <w:sz w:val="28"/>
          <w:szCs w:val="22"/>
          <w:lang w:eastAsia="en-US"/>
        </w:rPr>
        <w:noBreakHyphen/>
        <w:t>правових актів та судової практики що зазвичай може за</w:t>
      </w:r>
      <w:r w:rsidRPr="004C2538">
        <w:rPr>
          <w:rFonts w:eastAsia="MS Mincho"/>
          <w:sz w:val="28"/>
          <w:szCs w:val="22"/>
          <w:lang w:val="uk-UA" w:eastAsia="en-US"/>
        </w:rPr>
        <w:t>й</w:t>
      </w:r>
      <w:r w:rsidRPr="004C2538">
        <w:rPr>
          <w:rFonts w:eastAsia="MS Mincho"/>
          <w:sz w:val="28"/>
          <w:szCs w:val="22"/>
          <w:lang w:eastAsia="en-US"/>
        </w:rPr>
        <w:t xml:space="preserve">няти дуже багато часу, а за допомогою ШІ можливо одразу аналізувати й підбирати потрібну практику з найбільш доречних практик, замість спочатку пошуку серед непотрібних практик саме потрібної тобі. В Україні для цього вже використовуються такі інструменти, як </w:t>
      </w:r>
      <w:r w:rsidRPr="004C2538">
        <w:rPr>
          <w:rFonts w:eastAsia="MS Mincho"/>
          <w:sz w:val="28"/>
          <w:szCs w:val="22"/>
          <w:lang w:val="en-US" w:eastAsia="en-US"/>
        </w:rPr>
        <w:t>LIGA</w:t>
      </w:r>
      <w:r w:rsidRPr="004C2538">
        <w:rPr>
          <w:rFonts w:eastAsia="MS Mincho"/>
          <w:sz w:val="28"/>
          <w:szCs w:val="22"/>
          <w:lang w:eastAsia="en-US"/>
        </w:rPr>
        <w:t xml:space="preserve">360 або </w:t>
      </w:r>
      <w:r w:rsidRPr="004C2538">
        <w:rPr>
          <w:rFonts w:eastAsia="MS Mincho"/>
          <w:sz w:val="28"/>
          <w:szCs w:val="22"/>
          <w:lang w:val="en-US" w:eastAsia="en-US"/>
        </w:rPr>
        <w:t>Verdictum</w:t>
      </w:r>
      <w:r w:rsidRPr="004C2538">
        <w:rPr>
          <w:rFonts w:eastAsia="MS Mincho"/>
          <w:sz w:val="28"/>
          <w:szCs w:val="22"/>
          <w:lang w:eastAsia="en-US"/>
        </w:rPr>
        <w:t xml:space="preserve">, які мають елементи ШІ для прогнозування ймовірності перемоги в суді.  Сучасні алгоритми здатні за короткий час опрацювати тисячі судових рішень та виявити закономірності їх ухвалення. Це дозволяє адвокату швидше знаходити релевантну практику та формувати аргументовану правову позицію у справі, також за допомогою зробленої ШІ позиції він одразу може попросити зробити йому лінію захисту в діалозі с прокурором під час судового засідання. Тобто такі системи можуть здійснювати пошук аналогічних справ, визначати тенденції судової практики та навіть прогнозувати можливий результат </w:t>
      </w:r>
      <w:proofErr w:type="gramStart"/>
      <w:r w:rsidRPr="004C2538">
        <w:rPr>
          <w:rFonts w:eastAsia="MS Mincho"/>
          <w:sz w:val="28"/>
          <w:szCs w:val="22"/>
          <w:lang w:eastAsia="en-US"/>
        </w:rPr>
        <w:t>судового</w:t>
      </w:r>
      <w:proofErr w:type="gramEnd"/>
      <w:r w:rsidRPr="004C2538">
        <w:rPr>
          <w:rFonts w:eastAsia="MS Mincho"/>
          <w:sz w:val="28"/>
          <w:szCs w:val="22"/>
          <w:lang w:eastAsia="en-US"/>
        </w:rPr>
        <w:t xml:space="preserve"> розгляду.[2, С.70]</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 xml:space="preserve">Важливим напрямом використання штучного інтелекту є автоматизація підготовки юридичних документів. У діяльності адвоката значну частину часу займає підготовка договорів, позовних заяв, процесуальних документів, та інших матеріалів. Системи штучного інтелекту дозволяють автоматизувати цей </w:t>
      </w:r>
      <w:r w:rsidRPr="004C2538">
        <w:rPr>
          <w:rFonts w:eastAsia="MS Mincho"/>
          <w:sz w:val="28"/>
          <w:szCs w:val="22"/>
          <w:lang w:eastAsia="en-US"/>
        </w:rPr>
        <w:lastRenderedPageBreak/>
        <w:t xml:space="preserve">процес шляхом використання шаблонів, алгоритмів обробки інформації та аналізу правових даних. Це дає можливість значно скоротити час </w:t>
      </w:r>
      <w:proofErr w:type="gramStart"/>
      <w:r w:rsidRPr="004C2538">
        <w:rPr>
          <w:rFonts w:eastAsia="MS Mincho"/>
          <w:sz w:val="28"/>
          <w:szCs w:val="22"/>
          <w:lang w:eastAsia="en-US"/>
        </w:rPr>
        <w:t>п</w:t>
      </w:r>
      <w:proofErr w:type="gramEnd"/>
      <w:r w:rsidRPr="004C2538">
        <w:rPr>
          <w:rFonts w:eastAsia="MS Mincho"/>
          <w:sz w:val="28"/>
          <w:szCs w:val="22"/>
          <w:lang w:eastAsia="en-US"/>
        </w:rPr>
        <w:t>ідготовки документів та зменшити кількість технічних помилок.[3, С.5]</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Окрему роль штучний інтелект відіграє у сфері юридичних консультацій. У багатьох країнах уже активно використовуються спеціальні онлайн</w:t>
      </w:r>
      <w:r w:rsidRPr="004C2538">
        <w:rPr>
          <w:rFonts w:eastAsia="MS Mincho"/>
          <w:sz w:val="28"/>
          <w:szCs w:val="22"/>
          <w:lang w:eastAsia="en-US"/>
        </w:rPr>
        <w:noBreakHyphen/>
        <w:t>платформи та чат</w:t>
      </w:r>
      <w:r w:rsidRPr="004C2538">
        <w:rPr>
          <w:rFonts w:eastAsia="MS Mincho"/>
          <w:sz w:val="28"/>
          <w:szCs w:val="22"/>
          <w:lang w:eastAsia="en-US"/>
        </w:rPr>
        <w:noBreakHyphen/>
        <w:t xml:space="preserve">боти, здатні надавати первинні юридичні консультації Наприклад, у США широко використовується сервіс </w:t>
      </w:r>
      <w:r w:rsidRPr="004C2538">
        <w:rPr>
          <w:rFonts w:eastAsia="MS Mincho"/>
          <w:sz w:val="28"/>
          <w:szCs w:val="22"/>
          <w:lang w:val="en-US" w:eastAsia="en-US"/>
        </w:rPr>
        <w:t>DoNotPay</w:t>
      </w:r>
      <w:r w:rsidRPr="004C2538">
        <w:rPr>
          <w:rFonts w:eastAsia="MS Mincho"/>
          <w:sz w:val="28"/>
          <w:szCs w:val="22"/>
          <w:lang w:eastAsia="en-US"/>
        </w:rPr>
        <w:t xml:space="preserve">, який працює у форматі чат-бота. Користувач описує свою проблему (наприклад, штраф за паркування або питання щодо споживчих прав), після чого система аналізує дані та формує готові юридичні документи або інструкції для подальших дій. Алгоритм використовує базу правових норм і типових судових </w:t>
      </w:r>
      <w:proofErr w:type="gramStart"/>
      <w:r w:rsidRPr="004C2538">
        <w:rPr>
          <w:rFonts w:eastAsia="MS Mincho"/>
          <w:sz w:val="28"/>
          <w:szCs w:val="22"/>
          <w:lang w:eastAsia="en-US"/>
        </w:rPr>
        <w:t>р</w:t>
      </w:r>
      <w:proofErr w:type="gramEnd"/>
      <w:r w:rsidRPr="004C2538">
        <w:rPr>
          <w:rFonts w:eastAsia="MS Mincho"/>
          <w:sz w:val="28"/>
          <w:szCs w:val="22"/>
          <w:lang w:eastAsia="en-US"/>
        </w:rPr>
        <w:t xml:space="preserve">ішень, щоб запропонувати оптимальний варіант вирішення проблеми.. Такі системи аналізують запит користувача та на основі правових баз даних пропонують можливі варіанти вирішення проблеми. Такі системи значно </w:t>
      </w:r>
      <w:r w:rsidRPr="004C2538">
        <w:rPr>
          <w:rFonts w:eastAsia="MS Mincho"/>
          <w:b/>
          <w:bCs/>
          <w:sz w:val="28"/>
          <w:szCs w:val="22"/>
          <w:lang w:eastAsia="en-US"/>
        </w:rPr>
        <w:t>спрощують первинну роботу з клієнтами</w:t>
      </w:r>
      <w:r w:rsidRPr="004C2538">
        <w:rPr>
          <w:rFonts w:eastAsia="MS Mincho"/>
          <w:sz w:val="28"/>
          <w:szCs w:val="22"/>
          <w:lang w:eastAsia="en-US"/>
        </w:rPr>
        <w:t xml:space="preserve">. Чат-боти або онлайн-платформи можуть швидко зібрати основну інформацію про проблему клієнта, визначити галузь права та підготувати базові документи. Це економить час адвоката і дозволяє зосередитися на складніших правових питаннях. Для адвоката такі технології можуть слугувати допоміжним інструментом, що дозволяє швидше орієнтуватися у правових питаннях та надавати клієнтам оперативну правову допомогу. Хоча люди можуть обмежитись порадою </w:t>
      </w:r>
      <w:proofErr w:type="gramStart"/>
      <w:r w:rsidRPr="004C2538">
        <w:rPr>
          <w:rFonts w:eastAsia="MS Mincho"/>
          <w:sz w:val="28"/>
          <w:szCs w:val="22"/>
          <w:lang w:eastAsia="en-US"/>
        </w:rPr>
        <w:t>чат-бота</w:t>
      </w:r>
      <w:proofErr w:type="gramEnd"/>
      <w:r w:rsidRPr="004C2538">
        <w:rPr>
          <w:rFonts w:eastAsia="MS Mincho"/>
          <w:sz w:val="28"/>
          <w:szCs w:val="22"/>
          <w:lang w:eastAsia="en-US"/>
        </w:rPr>
        <w:t xml:space="preserve"> і не звернутися до Адвоката.[2, С.72]</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Застосування штучного інтелекту у юридичній сфері також пов’язане з аналізом доказів. У сучасному кримінальному та цивільному процесі дедалі більшого значення набувають цифрові докази, електронні документи, відеозаписи та інші цифрові матеріали. Системи штучного інтелекту здатні здійснювати їх автоматизований аналіз, виявляти важливі деталі та допомагати адвокату у формуванні доказової бази у справі. Безперечно адвокат повинен перевіряти усю надану йому інформацію, але йому вже буде простіше орієнтуватися по ній завдяки відміткам</w:t>
      </w:r>
      <w:proofErr w:type="gramStart"/>
      <w:r w:rsidRPr="004C2538">
        <w:rPr>
          <w:rFonts w:eastAsia="MS Mincho"/>
          <w:sz w:val="28"/>
          <w:szCs w:val="22"/>
          <w:lang w:eastAsia="en-US"/>
        </w:rPr>
        <w:t xml:space="preserve"> Ш</w:t>
      </w:r>
      <w:proofErr w:type="gramEnd"/>
      <w:r w:rsidRPr="004C2538">
        <w:rPr>
          <w:rFonts w:eastAsia="MS Mincho"/>
          <w:sz w:val="28"/>
          <w:szCs w:val="22"/>
          <w:lang w:eastAsia="en-US"/>
        </w:rPr>
        <w:t>І.[1, С.65]</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lastRenderedPageBreak/>
        <w:t>Водночас впровадження штучного інтелекту у діяльність адвокатів породжує низку правових та етичних проблем. Однією з ключових є проблема конфіденційності інформації клієнта. Адвокатська діяльність передбачає суворе дотримання принципу адвокатської таємниці, а використання цифрових технологій створює потенційні ризики витоку інформації або несанкціонованого доступу до неї. Важливо розуміти, що інтеграція штучного інтелекту в адвокатську практику не повинна ігнорувати засадні принципи професійної етики, зокрема щодо збереження адвокатської таємниці. Передача конфіденційних даних клієнта стороннім хмарним сервісам для аналізу створює реальні ризики доступу третіх осіб, що вимагає впровадження жорстких протоколів кібербезпеки та чіткої верифікації кожного цифрового інструменту. Разом із проблемою конфіденційності постає й питання відповідальності за результати роботи алгоритмів: попри високу точність систем ШІ, ризик помилок у правових нормах залишається актуальним. Це зумовлює необхідність законодавчого закріплення принципу виключного контролю адвоката за будь-яким продуктом, згенерованим системою. Адвокат має нести особисту професійну та дисциплінарну відповідальність за надану правничу допомогу, оскільки штучний інтелект є лише допоміжним інструментом, хоча іноді Адвокати можуть скидати на нього усю покладену роботу хоча він не є суб’єктом права, здатним повноцінно оцінити моральні чи стратегічні аспекти справи</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Крім того, важливим є питання правового регулювання використання штучного інтелекту у юридичній діяльності. У більшості держав світу законодавство ще не містить чітких норм щодо застосування таких технологій у правовій практиці. Це створює потребу у формуванні нових правових механізмів, які б визначали межі використання штучного інтелекту, гарантії захисту персональних даних та правила використання автоматизованих систем у правозастосовній діяльності. [5, С.34]</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 xml:space="preserve">Тому штучний інтелект не може повністю замінити адвоката, оскільки юридична діяльність потребує професійної оцінки обставин справи, врахування моральних та етичних аспектів, зрозуміти емоції та мотиви людей, враховувати </w:t>
      </w:r>
      <w:r w:rsidRPr="004C2538">
        <w:rPr>
          <w:rFonts w:eastAsia="MS Mincho"/>
          <w:sz w:val="28"/>
          <w:szCs w:val="22"/>
          <w:lang w:eastAsia="en-US"/>
        </w:rPr>
        <w:lastRenderedPageBreak/>
        <w:t>соціальні особливості та оцінювати саме людські відносини між сторонами спору, а також індивідуального підходу до кожного клієнта. Але використання таких технологій може значно підвищити ефективність роботи адвоката, зменшити витрати часу на рутинні процеси та дозволити зосередитися на стратегічних аспектах правового захисту та підвищити ефективність.</w:t>
      </w:r>
    </w:p>
    <w:p w:rsidR="00076275" w:rsidRPr="004C2538" w:rsidRDefault="00076275" w:rsidP="00076275">
      <w:pPr>
        <w:spacing w:line="360" w:lineRule="auto"/>
        <w:ind w:firstLine="709"/>
        <w:jc w:val="both"/>
        <w:rPr>
          <w:rFonts w:eastAsia="MS Mincho"/>
          <w:sz w:val="28"/>
          <w:szCs w:val="22"/>
          <w:lang w:eastAsia="en-US"/>
        </w:rPr>
      </w:pPr>
      <w:r w:rsidRPr="004C2538">
        <w:rPr>
          <w:rFonts w:eastAsia="MS Mincho"/>
          <w:sz w:val="28"/>
          <w:szCs w:val="22"/>
          <w:lang w:eastAsia="en-US"/>
        </w:rPr>
        <w:t>Отже, штучний інтелект стає важливим інструментом сучасної юридичної практики. Його застосування у діяльності адвоката сприяє підвищенню продуктивності аналізу правової інформації, оптимізації підготовки юридичних документів та покращенню якості правових послуг. Разом з тим розвиток таких технологій потребує належного правового регулювання, забезпечення конфіденційності інформації та визначення меж використання штучного інтелекту у правовій сфері.</w:t>
      </w:r>
    </w:p>
    <w:p w:rsidR="00076275" w:rsidRPr="004C2538" w:rsidRDefault="00076275" w:rsidP="00076275">
      <w:pPr>
        <w:spacing w:line="360" w:lineRule="auto"/>
        <w:ind w:firstLine="709"/>
        <w:jc w:val="center"/>
        <w:rPr>
          <w:rFonts w:eastAsia="MS Mincho"/>
          <w:b/>
          <w:bCs/>
          <w:sz w:val="28"/>
          <w:szCs w:val="22"/>
          <w:lang w:val="uk-UA" w:eastAsia="en-US"/>
        </w:rPr>
      </w:pPr>
      <w:r w:rsidRPr="004C2538">
        <w:rPr>
          <w:rFonts w:eastAsia="MS Mincho"/>
          <w:b/>
          <w:bCs/>
          <w:sz w:val="28"/>
          <w:szCs w:val="22"/>
          <w:lang w:eastAsia="en-US"/>
        </w:rPr>
        <w:br/>
      </w:r>
      <w:r w:rsidRPr="004C2538">
        <w:rPr>
          <w:rFonts w:eastAsia="MS Mincho"/>
          <w:b/>
          <w:bCs/>
          <w:sz w:val="28"/>
          <w:szCs w:val="22"/>
          <w:lang w:val="uk-UA" w:eastAsia="en-US"/>
        </w:rPr>
        <w:t>СПИСОК ВИКОРИСТАНИХ ДЖЕРЕЛ</w:t>
      </w:r>
    </w:p>
    <w:p w:rsidR="00076275" w:rsidRPr="002003DA" w:rsidRDefault="00076275" w:rsidP="00076275">
      <w:pPr>
        <w:pStyle w:val="a7"/>
        <w:numPr>
          <w:ilvl w:val="3"/>
          <w:numId w:val="15"/>
        </w:numPr>
        <w:spacing w:line="360" w:lineRule="auto"/>
        <w:jc w:val="both"/>
        <w:rPr>
          <w:rFonts w:eastAsia="MS Mincho"/>
          <w:sz w:val="28"/>
          <w:szCs w:val="22"/>
          <w:lang w:eastAsia="en-US"/>
        </w:rPr>
      </w:pPr>
      <w:r w:rsidRPr="002003DA">
        <w:rPr>
          <w:rFonts w:eastAsia="MS Mincho"/>
          <w:sz w:val="28"/>
          <w:szCs w:val="22"/>
          <w:lang w:eastAsia="en-US"/>
        </w:rPr>
        <w:t xml:space="preserve">Авдєєва Г. К. Цифрові докази і системи штучного інтелекту у правозастосовній діяльності. </w:t>
      </w:r>
      <w:r w:rsidRPr="002003DA">
        <w:rPr>
          <w:rFonts w:eastAsia="MS Mincho"/>
          <w:sz w:val="28"/>
          <w:szCs w:val="22"/>
          <w:lang w:val="en-US" w:eastAsia="en-US"/>
        </w:rPr>
        <w:t>https</w:t>
      </w:r>
      <w:r w:rsidRPr="002003DA">
        <w:rPr>
          <w:rFonts w:eastAsia="MS Mincho"/>
          <w:sz w:val="28"/>
          <w:szCs w:val="22"/>
          <w:lang w:eastAsia="en-US"/>
        </w:rPr>
        <w:t>://</w:t>
      </w:r>
      <w:r w:rsidRPr="002003DA">
        <w:rPr>
          <w:rFonts w:eastAsia="MS Mincho"/>
          <w:sz w:val="28"/>
          <w:szCs w:val="22"/>
          <w:lang w:val="en-US" w:eastAsia="en-US"/>
        </w:rPr>
        <w:t>dspace</w:t>
      </w:r>
      <w:r w:rsidRPr="002003DA">
        <w:rPr>
          <w:rFonts w:eastAsia="MS Mincho"/>
          <w:sz w:val="28"/>
          <w:szCs w:val="22"/>
          <w:lang w:eastAsia="en-US"/>
        </w:rPr>
        <w:t>.</w:t>
      </w:r>
      <w:r w:rsidRPr="002003DA">
        <w:rPr>
          <w:rFonts w:eastAsia="MS Mincho"/>
          <w:sz w:val="28"/>
          <w:szCs w:val="22"/>
          <w:lang w:val="en-US" w:eastAsia="en-US"/>
        </w:rPr>
        <w:t>nlu</w:t>
      </w:r>
      <w:r w:rsidRPr="002003DA">
        <w:rPr>
          <w:rFonts w:eastAsia="MS Mincho"/>
          <w:sz w:val="28"/>
          <w:szCs w:val="22"/>
          <w:lang w:eastAsia="en-US"/>
        </w:rPr>
        <w:t>.</w:t>
      </w:r>
      <w:r w:rsidRPr="002003DA">
        <w:rPr>
          <w:rFonts w:eastAsia="MS Mincho"/>
          <w:sz w:val="28"/>
          <w:szCs w:val="22"/>
          <w:lang w:val="en-US" w:eastAsia="en-US"/>
        </w:rPr>
        <w:t>edu</w:t>
      </w:r>
      <w:r w:rsidRPr="002003DA">
        <w:rPr>
          <w:rFonts w:eastAsia="MS Mincho"/>
          <w:sz w:val="28"/>
          <w:szCs w:val="22"/>
          <w:lang w:eastAsia="en-US"/>
        </w:rPr>
        <w:t>.</w:t>
      </w:r>
      <w:r w:rsidRPr="002003DA">
        <w:rPr>
          <w:rFonts w:eastAsia="MS Mincho"/>
          <w:sz w:val="28"/>
          <w:szCs w:val="22"/>
          <w:lang w:val="en-US" w:eastAsia="en-US"/>
        </w:rPr>
        <w:t>ua</w:t>
      </w:r>
      <w:r w:rsidRPr="002003DA">
        <w:rPr>
          <w:rFonts w:eastAsia="MS Mincho"/>
          <w:sz w:val="28"/>
          <w:szCs w:val="22"/>
          <w:lang w:eastAsia="en-US"/>
        </w:rPr>
        <w:t>/</w:t>
      </w:r>
      <w:r w:rsidRPr="002003DA">
        <w:rPr>
          <w:rFonts w:eastAsia="MS Mincho"/>
          <w:sz w:val="28"/>
          <w:szCs w:val="22"/>
          <w:lang w:val="en-US" w:eastAsia="en-US"/>
        </w:rPr>
        <w:t>items</w:t>
      </w:r>
      <w:r w:rsidRPr="002003DA">
        <w:rPr>
          <w:rFonts w:eastAsia="MS Mincho"/>
          <w:sz w:val="28"/>
          <w:szCs w:val="22"/>
          <w:lang w:eastAsia="en-US"/>
        </w:rPr>
        <w:t>/8</w:t>
      </w:r>
      <w:r w:rsidRPr="002003DA">
        <w:rPr>
          <w:rFonts w:eastAsia="MS Mincho"/>
          <w:sz w:val="28"/>
          <w:szCs w:val="22"/>
          <w:lang w:val="en-US" w:eastAsia="en-US"/>
        </w:rPr>
        <w:t>dcce</w:t>
      </w:r>
      <w:r w:rsidRPr="002003DA">
        <w:rPr>
          <w:rFonts w:eastAsia="MS Mincho"/>
          <w:sz w:val="28"/>
          <w:szCs w:val="22"/>
          <w:lang w:eastAsia="en-US"/>
        </w:rPr>
        <w:t>675-23</w:t>
      </w:r>
      <w:r w:rsidRPr="002003DA">
        <w:rPr>
          <w:rFonts w:eastAsia="MS Mincho"/>
          <w:sz w:val="28"/>
          <w:szCs w:val="22"/>
          <w:lang w:val="en-US" w:eastAsia="en-US"/>
        </w:rPr>
        <w:t>e</w:t>
      </w:r>
      <w:r w:rsidRPr="002003DA">
        <w:rPr>
          <w:rFonts w:eastAsia="MS Mincho"/>
          <w:sz w:val="28"/>
          <w:szCs w:val="22"/>
          <w:lang w:eastAsia="en-US"/>
        </w:rPr>
        <w:t>4-4</w:t>
      </w:r>
      <w:r w:rsidRPr="002003DA">
        <w:rPr>
          <w:rFonts w:eastAsia="MS Mincho"/>
          <w:sz w:val="28"/>
          <w:szCs w:val="22"/>
          <w:lang w:val="en-US" w:eastAsia="en-US"/>
        </w:rPr>
        <w:t>e</w:t>
      </w:r>
      <w:r w:rsidRPr="002003DA">
        <w:rPr>
          <w:rFonts w:eastAsia="MS Mincho"/>
          <w:sz w:val="28"/>
          <w:szCs w:val="22"/>
          <w:lang w:eastAsia="en-US"/>
        </w:rPr>
        <w:t>6</w:t>
      </w:r>
      <w:r w:rsidRPr="002003DA">
        <w:rPr>
          <w:rFonts w:eastAsia="MS Mincho"/>
          <w:sz w:val="28"/>
          <w:szCs w:val="22"/>
          <w:lang w:val="en-US" w:eastAsia="en-US"/>
        </w:rPr>
        <w:t>d</w:t>
      </w:r>
      <w:r w:rsidRPr="002003DA">
        <w:rPr>
          <w:rFonts w:eastAsia="MS Mincho"/>
          <w:sz w:val="28"/>
          <w:szCs w:val="22"/>
          <w:lang w:eastAsia="en-US"/>
        </w:rPr>
        <w:t>-</w:t>
      </w:r>
      <w:r w:rsidRPr="002003DA">
        <w:rPr>
          <w:rFonts w:eastAsia="MS Mincho"/>
          <w:sz w:val="28"/>
          <w:szCs w:val="22"/>
          <w:lang w:val="en-US" w:eastAsia="en-US"/>
        </w:rPr>
        <w:t>a</w:t>
      </w:r>
      <w:r w:rsidRPr="002003DA">
        <w:rPr>
          <w:rFonts w:eastAsia="MS Mincho"/>
          <w:sz w:val="28"/>
          <w:szCs w:val="22"/>
          <w:lang w:eastAsia="en-US"/>
        </w:rPr>
        <w:t xml:space="preserve">456-679958424443 </w:t>
      </w:r>
    </w:p>
    <w:p w:rsidR="00076275" w:rsidRPr="002003DA" w:rsidRDefault="00076275" w:rsidP="00076275">
      <w:pPr>
        <w:pStyle w:val="a7"/>
        <w:numPr>
          <w:ilvl w:val="3"/>
          <w:numId w:val="15"/>
        </w:numPr>
        <w:spacing w:line="360" w:lineRule="auto"/>
        <w:jc w:val="both"/>
        <w:rPr>
          <w:rFonts w:eastAsia="MS Mincho"/>
          <w:sz w:val="28"/>
          <w:szCs w:val="22"/>
          <w:lang w:eastAsia="en-US"/>
        </w:rPr>
      </w:pPr>
      <w:r w:rsidRPr="002003DA">
        <w:rPr>
          <w:rFonts w:eastAsia="MS Mincho"/>
          <w:sz w:val="28"/>
          <w:szCs w:val="22"/>
          <w:lang w:eastAsia="en-US"/>
        </w:rPr>
        <w:t xml:space="preserve">Козакевич О. М. Застосування штучного інтелекту як інноваційної стратегії доступу до правосуддя. </w:t>
      </w:r>
      <w:hyperlink r:id="rId24" w:history="1">
        <w:r w:rsidRPr="007C25D5">
          <w:rPr>
            <w:rStyle w:val="af0"/>
            <w:rFonts w:eastAsia="MS Mincho"/>
            <w:sz w:val="28"/>
            <w:szCs w:val="22"/>
            <w:lang w:val="en-US" w:eastAsia="en-US"/>
          </w:rPr>
          <w:t>https</w:t>
        </w:r>
        <w:r w:rsidRPr="007C25D5">
          <w:rPr>
            <w:rStyle w:val="af0"/>
            <w:rFonts w:eastAsia="MS Mincho"/>
            <w:sz w:val="28"/>
            <w:szCs w:val="22"/>
            <w:lang w:eastAsia="en-US"/>
          </w:rPr>
          <w:t>://</w:t>
        </w:r>
        <w:r w:rsidRPr="007C25D5">
          <w:rPr>
            <w:rStyle w:val="af0"/>
            <w:rFonts w:eastAsia="MS Mincho"/>
            <w:sz w:val="28"/>
            <w:szCs w:val="22"/>
            <w:lang w:val="en-US" w:eastAsia="en-US"/>
          </w:rPr>
          <w:t>soclaw</w:t>
        </w:r>
        <w:r w:rsidRPr="007C25D5">
          <w:rPr>
            <w:rStyle w:val="af0"/>
            <w:rFonts w:eastAsia="MS Mincho"/>
            <w:sz w:val="28"/>
            <w:szCs w:val="22"/>
            <w:lang w:eastAsia="en-US"/>
          </w:rPr>
          <w:t>.</w:t>
        </w:r>
        <w:r w:rsidRPr="007C25D5">
          <w:rPr>
            <w:rStyle w:val="af0"/>
            <w:rFonts w:eastAsia="MS Mincho"/>
            <w:sz w:val="28"/>
            <w:szCs w:val="22"/>
            <w:lang w:val="en-US" w:eastAsia="en-US"/>
          </w:rPr>
          <w:t>idpnan</w:t>
        </w:r>
        <w:r w:rsidRPr="007C25D5">
          <w:rPr>
            <w:rStyle w:val="af0"/>
            <w:rFonts w:eastAsia="MS Mincho"/>
            <w:sz w:val="28"/>
            <w:szCs w:val="22"/>
            <w:lang w:eastAsia="en-US"/>
          </w:rPr>
          <w:t>.</w:t>
        </w:r>
        <w:r w:rsidRPr="007C25D5">
          <w:rPr>
            <w:rStyle w:val="af0"/>
            <w:rFonts w:eastAsia="MS Mincho"/>
            <w:sz w:val="28"/>
            <w:szCs w:val="22"/>
            <w:lang w:val="en-US" w:eastAsia="en-US"/>
          </w:rPr>
          <w:t>kyiv</w:t>
        </w:r>
        <w:r w:rsidRPr="007C25D5">
          <w:rPr>
            <w:rStyle w:val="af0"/>
            <w:rFonts w:eastAsia="MS Mincho"/>
            <w:sz w:val="28"/>
            <w:szCs w:val="22"/>
            <w:lang w:eastAsia="en-US"/>
          </w:rPr>
          <w:t>.</w:t>
        </w:r>
        <w:r w:rsidRPr="007C25D5">
          <w:rPr>
            <w:rStyle w:val="af0"/>
            <w:rFonts w:eastAsia="MS Mincho"/>
            <w:sz w:val="28"/>
            <w:szCs w:val="22"/>
            <w:lang w:val="en-US" w:eastAsia="en-US"/>
          </w:rPr>
          <w:t>ua</w:t>
        </w:r>
        <w:r w:rsidRPr="007C25D5">
          <w:rPr>
            <w:rStyle w:val="af0"/>
            <w:rFonts w:eastAsia="MS Mincho"/>
            <w:sz w:val="28"/>
            <w:szCs w:val="22"/>
            <w:lang w:eastAsia="en-US"/>
          </w:rPr>
          <w:t>/</w:t>
        </w:r>
        <w:r w:rsidRPr="007C25D5">
          <w:rPr>
            <w:rStyle w:val="af0"/>
            <w:rFonts w:eastAsia="MS Mincho"/>
            <w:sz w:val="28"/>
            <w:szCs w:val="22"/>
            <w:lang w:val="en-US" w:eastAsia="en-US"/>
          </w:rPr>
          <w:t>archive</w:t>
        </w:r>
        <w:r w:rsidRPr="007C25D5">
          <w:rPr>
            <w:rStyle w:val="af0"/>
            <w:rFonts w:eastAsia="MS Mincho"/>
            <w:sz w:val="28"/>
            <w:szCs w:val="22"/>
            <w:lang w:eastAsia="en-US"/>
          </w:rPr>
          <w:t>/2024/3-4/3-4_2024.</w:t>
        </w:r>
        <w:r w:rsidRPr="007C25D5">
          <w:rPr>
            <w:rStyle w:val="af0"/>
            <w:rFonts w:eastAsia="MS Mincho"/>
            <w:sz w:val="28"/>
            <w:szCs w:val="22"/>
            <w:lang w:val="en-US" w:eastAsia="en-US"/>
          </w:rPr>
          <w:t>pdf</w:t>
        </w:r>
      </w:hyperlink>
    </w:p>
    <w:p w:rsidR="00076275" w:rsidRDefault="00076275" w:rsidP="00076275">
      <w:pPr>
        <w:pStyle w:val="a7"/>
        <w:numPr>
          <w:ilvl w:val="3"/>
          <w:numId w:val="15"/>
        </w:numPr>
        <w:spacing w:line="360" w:lineRule="auto"/>
        <w:jc w:val="both"/>
        <w:rPr>
          <w:rFonts w:eastAsia="MS Mincho"/>
          <w:sz w:val="28"/>
          <w:szCs w:val="22"/>
          <w:lang w:eastAsia="en-US"/>
        </w:rPr>
      </w:pPr>
      <w:r w:rsidRPr="002003DA">
        <w:rPr>
          <w:rFonts w:eastAsia="MS Mincho"/>
          <w:sz w:val="28"/>
          <w:szCs w:val="22"/>
          <w:lang w:eastAsia="en-US"/>
        </w:rPr>
        <w:t xml:space="preserve">Кузьменко О. В., Лисенко І. В., Гаряєва Г. М. Актуальні питання використання технології штучного інтелекту в юридичній діяльності. </w:t>
      </w:r>
      <w:hyperlink r:id="rId25" w:history="1">
        <w:r w:rsidRPr="007C25D5">
          <w:rPr>
            <w:rStyle w:val="af0"/>
            <w:rFonts w:eastAsia="MS Mincho"/>
            <w:sz w:val="28"/>
            <w:szCs w:val="22"/>
            <w:lang w:val="en-US" w:eastAsia="en-US"/>
          </w:rPr>
          <w:t>https</w:t>
        </w:r>
        <w:r w:rsidRPr="007C25D5">
          <w:rPr>
            <w:rStyle w:val="af0"/>
            <w:rFonts w:eastAsia="MS Mincho"/>
            <w:sz w:val="28"/>
            <w:szCs w:val="22"/>
            <w:lang w:eastAsia="en-US"/>
          </w:rPr>
          <w:t>://</w:t>
        </w:r>
        <w:r w:rsidRPr="007C25D5">
          <w:rPr>
            <w:rStyle w:val="af0"/>
            <w:rFonts w:eastAsia="MS Mincho"/>
            <w:sz w:val="28"/>
            <w:szCs w:val="22"/>
            <w:lang w:val="en-US" w:eastAsia="en-US"/>
          </w:rPr>
          <w:t>visnyk</w:t>
        </w:r>
        <w:r w:rsidRPr="007C25D5">
          <w:rPr>
            <w:rStyle w:val="af0"/>
            <w:rFonts w:eastAsia="MS Mincho"/>
            <w:sz w:val="28"/>
            <w:szCs w:val="22"/>
            <w:lang w:eastAsia="en-US"/>
          </w:rPr>
          <w:t>-</w:t>
        </w:r>
        <w:r w:rsidRPr="007C25D5">
          <w:rPr>
            <w:rStyle w:val="af0"/>
            <w:rFonts w:eastAsia="MS Mincho"/>
            <w:sz w:val="28"/>
            <w:szCs w:val="22"/>
            <w:lang w:val="en-US" w:eastAsia="en-US"/>
          </w:rPr>
          <w:t>pravo</w:t>
        </w:r>
        <w:r w:rsidRPr="007C25D5">
          <w:rPr>
            <w:rStyle w:val="af0"/>
            <w:rFonts w:eastAsia="MS Mincho"/>
            <w:sz w:val="28"/>
            <w:szCs w:val="22"/>
            <w:lang w:eastAsia="en-US"/>
          </w:rPr>
          <w:t>.</w:t>
        </w:r>
        <w:r w:rsidRPr="007C25D5">
          <w:rPr>
            <w:rStyle w:val="af0"/>
            <w:rFonts w:eastAsia="MS Mincho"/>
            <w:sz w:val="28"/>
            <w:szCs w:val="22"/>
            <w:lang w:val="en-US" w:eastAsia="en-US"/>
          </w:rPr>
          <w:t>uzhnu</w:t>
        </w:r>
        <w:r w:rsidRPr="007C25D5">
          <w:rPr>
            <w:rStyle w:val="af0"/>
            <w:rFonts w:eastAsia="MS Mincho"/>
            <w:sz w:val="28"/>
            <w:szCs w:val="22"/>
            <w:lang w:eastAsia="en-US"/>
          </w:rPr>
          <w:t>.</w:t>
        </w:r>
        <w:r w:rsidRPr="007C25D5">
          <w:rPr>
            <w:rStyle w:val="af0"/>
            <w:rFonts w:eastAsia="MS Mincho"/>
            <w:sz w:val="28"/>
            <w:szCs w:val="22"/>
            <w:lang w:val="en-US" w:eastAsia="en-US"/>
          </w:rPr>
          <w:t>edu</w:t>
        </w:r>
        <w:r w:rsidRPr="007C25D5">
          <w:rPr>
            <w:rStyle w:val="af0"/>
            <w:rFonts w:eastAsia="MS Mincho"/>
            <w:sz w:val="28"/>
            <w:szCs w:val="22"/>
            <w:lang w:eastAsia="en-US"/>
          </w:rPr>
          <w:t>.</w:t>
        </w:r>
        <w:r w:rsidRPr="007C25D5">
          <w:rPr>
            <w:rStyle w:val="af0"/>
            <w:rFonts w:eastAsia="MS Mincho"/>
            <w:sz w:val="28"/>
            <w:szCs w:val="22"/>
            <w:lang w:val="en-US" w:eastAsia="en-US"/>
          </w:rPr>
          <w:t>ua</w:t>
        </w:r>
        <w:r w:rsidRPr="007C25D5">
          <w:rPr>
            <w:rStyle w:val="af0"/>
            <w:rFonts w:eastAsia="MS Mincho"/>
            <w:sz w:val="28"/>
            <w:szCs w:val="22"/>
            <w:lang w:eastAsia="en-US"/>
          </w:rPr>
          <w:t>/</w:t>
        </w:r>
        <w:r w:rsidRPr="007C25D5">
          <w:rPr>
            <w:rStyle w:val="af0"/>
            <w:rFonts w:eastAsia="MS Mincho"/>
            <w:sz w:val="28"/>
            <w:szCs w:val="22"/>
            <w:lang w:val="en-US" w:eastAsia="en-US"/>
          </w:rPr>
          <w:t>article</w:t>
        </w:r>
        <w:r w:rsidRPr="007C25D5">
          <w:rPr>
            <w:rStyle w:val="af0"/>
            <w:rFonts w:eastAsia="MS Mincho"/>
            <w:sz w:val="28"/>
            <w:szCs w:val="22"/>
            <w:lang w:eastAsia="en-US"/>
          </w:rPr>
          <w:t>/</w:t>
        </w:r>
        <w:r w:rsidRPr="007C25D5">
          <w:rPr>
            <w:rStyle w:val="af0"/>
            <w:rFonts w:eastAsia="MS Mincho"/>
            <w:sz w:val="28"/>
            <w:szCs w:val="22"/>
            <w:lang w:val="en-US" w:eastAsia="en-US"/>
          </w:rPr>
          <w:t>view</w:t>
        </w:r>
        <w:r w:rsidRPr="007C25D5">
          <w:rPr>
            <w:rStyle w:val="af0"/>
            <w:rFonts w:eastAsia="MS Mincho"/>
            <w:sz w:val="28"/>
            <w:szCs w:val="22"/>
            <w:lang w:eastAsia="en-US"/>
          </w:rPr>
          <w:t>/339827</w:t>
        </w:r>
      </w:hyperlink>
    </w:p>
    <w:p w:rsidR="00076275" w:rsidRDefault="00076275" w:rsidP="00076275">
      <w:pPr>
        <w:pStyle w:val="a7"/>
        <w:numPr>
          <w:ilvl w:val="3"/>
          <w:numId w:val="15"/>
        </w:numPr>
        <w:spacing w:line="360" w:lineRule="auto"/>
        <w:jc w:val="both"/>
        <w:rPr>
          <w:rFonts w:eastAsia="MS Mincho"/>
          <w:sz w:val="28"/>
          <w:szCs w:val="22"/>
          <w:lang w:eastAsia="en-US"/>
        </w:rPr>
      </w:pPr>
      <w:r w:rsidRPr="002003DA">
        <w:rPr>
          <w:rFonts w:eastAsia="MS Mincho"/>
          <w:sz w:val="28"/>
          <w:szCs w:val="22"/>
          <w:lang w:eastAsia="en-US"/>
        </w:rPr>
        <w:t xml:space="preserve">Матвєєв В. Ю. Штучний інтелект в адвокатській діяльності: можливості, виклики та перспективи правового регулювання. </w:t>
      </w:r>
      <w:hyperlink r:id="rId26" w:history="1">
        <w:r w:rsidRPr="007C25D5">
          <w:rPr>
            <w:rStyle w:val="af0"/>
            <w:rFonts w:eastAsia="MS Mincho"/>
            <w:sz w:val="28"/>
            <w:szCs w:val="22"/>
            <w:lang w:val="en-US" w:eastAsia="en-US"/>
          </w:rPr>
          <w:t>https</w:t>
        </w:r>
        <w:r w:rsidRPr="007C25D5">
          <w:rPr>
            <w:rStyle w:val="af0"/>
            <w:rFonts w:eastAsia="MS Mincho"/>
            <w:sz w:val="28"/>
            <w:szCs w:val="22"/>
            <w:lang w:eastAsia="en-US"/>
          </w:rPr>
          <w:t>://</w:t>
        </w:r>
        <w:r w:rsidRPr="007C25D5">
          <w:rPr>
            <w:rStyle w:val="af0"/>
            <w:rFonts w:eastAsia="MS Mincho"/>
            <w:sz w:val="28"/>
            <w:szCs w:val="22"/>
            <w:lang w:val="en-US" w:eastAsia="en-US"/>
          </w:rPr>
          <w:t>dspace</w:t>
        </w:r>
        <w:r w:rsidRPr="007C25D5">
          <w:rPr>
            <w:rStyle w:val="af0"/>
            <w:rFonts w:eastAsia="MS Mincho"/>
            <w:sz w:val="28"/>
            <w:szCs w:val="22"/>
            <w:lang w:eastAsia="en-US"/>
          </w:rPr>
          <w:t>.</w:t>
        </w:r>
        <w:r w:rsidRPr="007C25D5">
          <w:rPr>
            <w:rStyle w:val="af0"/>
            <w:rFonts w:eastAsia="MS Mincho"/>
            <w:sz w:val="28"/>
            <w:szCs w:val="22"/>
            <w:lang w:val="en-US" w:eastAsia="en-US"/>
          </w:rPr>
          <w:t>onu</w:t>
        </w:r>
        <w:r w:rsidRPr="007C25D5">
          <w:rPr>
            <w:rStyle w:val="af0"/>
            <w:rFonts w:eastAsia="MS Mincho"/>
            <w:sz w:val="28"/>
            <w:szCs w:val="22"/>
            <w:lang w:eastAsia="en-US"/>
          </w:rPr>
          <w:t>.</w:t>
        </w:r>
        <w:r w:rsidRPr="007C25D5">
          <w:rPr>
            <w:rStyle w:val="af0"/>
            <w:rFonts w:eastAsia="MS Mincho"/>
            <w:sz w:val="28"/>
            <w:szCs w:val="22"/>
            <w:lang w:val="en-US" w:eastAsia="en-US"/>
          </w:rPr>
          <w:t>edu</w:t>
        </w:r>
        <w:r w:rsidRPr="007C25D5">
          <w:rPr>
            <w:rStyle w:val="af0"/>
            <w:rFonts w:eastAsia="MS Mincho"/>
            <w:sz w:val="28"/>
            <w:szCs w:val="22"/>
            <w:lang w:eastAsia="en-US"/>
          </w:rPr>
          <w:t>.</w:t>
        </w:r>
        <w:r w:rsidRPr="007C25D5">
          <w:rPr>
            <w:rStyle w:val="af0"/>
            <w:rFonts w:eastAsia="MS Mincho"/>
            <w:sz w:val="28"/>
            <w:szCs w:val="22"/>
            <w:lang w:val="en-US" w:eastAsia="en-US"/>
          </w:rPr>
          <w:t>ua</w:t>
        </w:r>
        <w:r w:rsidRPr="007C25D5">
          <w:rPr>
            <w:rStyle w:val="af0"/>
            <w:rFonts w:eastAsia="MS Mincho"/>
            <w:sz w:val="28"/>
            <w:szCs w:val="22"/>
            <w:lang w:eastAsia="en-US"/>
          </w:rPr>
          <w:t>/</w:t>
        </w:r>
        <w:r w:rsidRPr="007C25D5">
          <w:rPr>
            <w:rStyle w:val="af0"/>
            <w:rFonts w:eastAsia="MS Mincho"/>
            <w:sz w:val="28"/>
            <w:szCs w:val="22"/>
            <w:lang w:val="en-US" w:eastAsia="en-US"/>
          </w:rPr>
          <w:t>items</w:t>
        </w:r>
        <w:r w:rsidRPr="007C25D5">
          <w:rPr>
            <w:rStyle w:val="af0"/>
            <w:rFonts w:eastAsia="MS Mincho"/>
            <w:sz w:val="28"/>
            <w:szCs w:val="22"/>
            <w:lang w:eastAsia="en-US"/>
          </w:rPr>
          <w:t>/</w:t>
        </w:r>
        <w:r w:rsidRPr="007C25D5">
          <w:rPr>
            <w:rStyle w:val="af0"/>
            <w:rFonts w:eastAsia="MS Mincho"/>
            <w:sz w:val="28"/>
            <w:szCs w:val="22"/>
            <w:lang w:val="en-US" w:eastAsia="en-US"/>
          </w:rPr>
          <w:t>e</w:t>
        </w:r>
        <w:r w:rsidRPr="007C25D5">
          <w:rPr>
            <w:rStyle w:val="af0"/>
            <w:rFonts w:eastAsia="MS Mincho"/>
            <w:sz w:val="28"/>
            <w:szCs w:val="22"/>
            <w:lang w:eastAsia="en-US"/>
          </w:rPr>
          <w:t>006</w:t>
        </w:r>
        <w:r w:rsidRPr="007C25D5">
          <w:rPr>
            <w:rStyle w:val="af0"/>
            <w:rFonts w:eastAsia="MS Mincho"/>
            <w:sz w:val="28"/>
            <w:szCs w:val="22"/>
            <w:lang w:val="en-US" w:eastAsia="en-US"/>
          </w:rPr>
          <w:t>fab</w:t>
        </w:r>
        <w:r w:rsidRPr="007C25D5">
          <w:rPr>
            <w:rStyle w:val="af0"/>
            <w:rFonts w:eastAsia="MS Mincho"/>
            <w:sz w:val="28"/>
            <w:szCs w:val="22"/>
            <w:lang w:eastAsia="en-US"/>
          </w:rPr>
          <w:t>0-8</w:t>
        </w:r>
        <w:r w:rsidRPr="007C25D5">
          <w:rPr>
            <w:rStyle w:val="af0"/>
            <w:rFonts w:eastAsia="MS Mincho"/>
            <w:sz w:val="28"/>
            <w:szCs w:val="22"/>
            <w:lang w:val="en-US" w:eastAsia="en-US"/>
          </w:rPr>
          <w:t>efd</w:t>
        </w:r>
        <w:r w:rsidRPr="007C25D5">
          <w:rPr>
            <w:rStyle w:val="af0"/>
            <w:rFonts w:eastAsia="MS Mincho"/>
            <w:sz w:val="28"/>
            <w:szCs w:val="22"/>
            <w:lang w:eastAsia="en-US"/>
          </w:rPr>
          <w:t>-4</w:t>
        </w:r>
        <w:r w:rsidRPr="007C25D5">
          <w:rPr>
            <w:rStyle w:val="af0"/>
            <w:rFonts w:eastAsia="MS Mincho"/>
            <w:sz w:val="28"/>
            <w:szCs w:val="22"/>
            <w:lang w:val="en-US" w:eastAsia="en-US"/>
          </w:rPr>
          <w:t>c</w:t>
        </w:r>
        <w:r w:rsidRPr="007C25D5">
          <w:rPr>
            <w:rStyle w:val="af0"/>
            <w:rFonts w:eastAsia="MS Mincho"/>
            <w:sz w:val="28"/>
            <w:szCs w:val="22"/>
            <w:lang w:eastAsia="en-US"/>
          </w:rPr>
          <w:t>94-</w:t>
        </w:r>
        <w:r w:rsidRPr="007C25D5">
          <w:rPr>
            <w:rStyle w:val="af0"/>
            <w:rFonts w:eastAsia="MS Mincho"/>
            <w:sz w:val="28"/>
            <w:szCs w:val="22"/>
            <w:lang w:val="en-US" w:eastAsia="en-US"/>
          </w:rPr>
          <w:t>af</w:t>
        </w:r>
        <w:r w:rsidRPr="007C25D5">
          <w:rPr>
            <w:rStyle w:val="af0"/>
            <w:rFonts w:eastAsia="MS Mincho"/>
            <w:sz w:val="28"/>
            <w:szCs w:val="22"/>
            <w:lang w:eastAsia="en-US"/>
          </w:rPr>
          <w:t>2</w:t>
        </w:r>
        <w:r w:rsidRPr="007C25D5">
          <w:rPr>
            <w:rStyle w:val="af0"/>
            <w:rFonts w:eastAsia="MS Mincho"/>
            <w:sz w:val="28"/>
            <w:szCs w:val="22"/>
            <w:lang w:val="en-US" w:eastAsia="en-US"/>
          </w:rPr>
          <w:t>b</w:t>
        </w:r>
        <w:r w:rsidRPr="007C25D5">
          <w:rPr>
            <w:rStyle w:val="af0"/>
            <w:rFonts w:eastAsia="MS Mincho"/>
            <w:sz w:val="28"/>
            <w:szCs w:val="22"/>
            <w:lang w:eastAsia="en-US"/>
          </w:rPr>
          <w:t>-</w:t>
        </w:r>
        <w:r w:rsidRPr="007C25D5">
          <w:rPr>
            <w:rStyle w:val="af0"/>
            <w:rFonts w:eastAsia="MS Mincho"/>
            <w:sz w:val="28"/>
            <w:szCs w:val="22"/>
            <w:lang w:val="en-US" w:eastAsia="en-US"/>
          </w:rPr>
          <w:t>f</w:t>
        </w:r>
        <w:r w:rsidRPr="007C25D5">
          <w:rPr>
            <w:rStyle w:val="af0"/>
            <w:rFonts w:eastAsia="MS Mincho"/>
            <w:sz w:val="28"/>
            <w:szCs w:val="22"/>
            <w:lang w:eastAsia="en-US"/>
          </w:rPr>
          <w:t>59</w:t>
        </w:r>
        <w:r w:rsidRPr="007C25D5">
          <w:rPr>
            <w:rStyle w:val="af0"/>
            <w:rFonts w:eastAsia="MS Mincho"/>
            <w:sz w:val="28"/>
            <w:szCs w:val="22"/>
            <w:lang w:val="en-US" w:eastAsia="en-US"/>
          </w:rPr>
          <w:t>af</w:t>
        </w:r>
        <w:r w:rsidRPr="007C25D5">
          <w:rPr>
            <w:rStyle w:val="af0"/>
            <w:rFonts w:eastAsia="MS Mincho"/>
            <w:sz w:val="28"/>
            <w:szCs w:val="22"/>
            <w:lang w:eastAsia="en-US"/>
          </w:rPr>
          <w:t>19</w:t>
        </w:r>
        <w:r w:rsidRPr="007C25D5">
          <w:rPr>
            <w:rStyle w:val="af0"/>
            <w:rFonts w:eastAsia="MS Mincho"/>
            <w:sz w:val="28"/>
            <w:szCs w:val="22"/>
            <w:lang w:val="en-US" w:eastAsia="en-US"/>
          </w:rPr>
          <w:t>ceac</w:t>
        </w:r>
        <w:r w:rsidRPr="007C25D5">
          <w:rPr>
            <w:rStyle w:val="af0"/>
            <w:rFonts w:eastAsia="MS Mincho"/>
            <w:sz w:val="28"/>
            <w:szCs w:val="22"/>
            <w:lang w:eastAsia="en-US"/>
          </w:rPr>
          <w:t>5</w:t>
        </w:r>
      </w:hyperlink>
    </w:p>
    <w:p w:rsidR="00076275" w:rsidRPr="002003DA" w:rsidRDefault="00076275" w:rsidP="00076275">
      <w:pPr>
        <w:pStyle w:val="a7"/>
        <w:numPr>
          <w:ilvl w:val="3"/>
          <w:numId w:val="15"/>
        </w:numPr>
        <w:spacing w:line="360" w:lineRule="auto"/>
        <w:jc w:val="both"/>
        <w:rPr>
          <w:rFonts w:eastAsia="MS Mincho"/>
          <w:sz w:val="28"/>
          <w:szCs w:val="22"/>
          <w:lang w:eastAsia="en-US"/>
        </w:rPr>
      </w:pPr>
      <w:r w:rsidRPr="002003DA">
        <w:rPr>
          <w:rFonts w:eastAsia="MS Mincho"/>
          <w:sz w:val="28"/>
          <w:szCs w:val="22"/>
          <w:lang w:eastAsia="en-US"/>
        </w:rPr>
        <w:t xml:space="preserve">Цховребов Р.Т Правова регламентація етичних засад адвокатської діяльності в умовах цифрової трансформації суспільств </w:t>
      </w:r>
      <w:r w:rsidRPr="002003DA">
        <w:rPr>
          <w:rFonts w:eastAsia="MS Mincho"/>
          <w:sz w:val="28"/>
          <w:szCs w:val="22"/>
          <w:lang w:val="uk-UA" w:eastAsia="en-US"/>
        </w:rPr>
        <w:t>https://jes.nuoua.od.ua/archive/4_2025/34.pdf</w:t>
      </w:r>
    </w:p>
    <w:p w:rsidR="00076275" w:rsidRDefault="00076275" w:rsidP="00076275">
      <w:pPr>
        <w:spacing w:line="360" w:lineRule="auto"/>
        <w:contextualSpacing/>
        <w:jc w:val="both"/>
        <w:rPr>
          <w:rFonts w:eastAsia="MS Mincho"/>
          <w:sz w:val="28"/>
          <w:szCs w:val="22"/>
          <w:lang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hd w:val="clear" w:color="auto" w:fill="FFFFFF"/>
        <w:spacing w:line="360" w:lineRule="auto"/>
        <w:ind w:firstLine="709"/>
        <w:jc w:val="center"/>
        <w:rPr>
          <w:b/>
          <w:bCs/>
          <w:caps/>
          <w:sz w:val="28"/>
          <w:szCs w:val="28"/>
          <w:lang w:val="uk-UA"/>
        </w:rPr>
      </w:pPr>
      <w:r w:rsidRPr="00FD38BE">
        <w:rPr>
          <w:b/>
          <w:bCs/>
          <w:caps/>
          <w:sz w:val="28"/>
          <w:szCs w:val="28"/>
          <w:lang w:val="uk-UA"/>
        </w:rPr>
        <w:lastRenderedPageBreak/>
        <w:t>КРИЗА НЕВИКОНАННЯ ДЕРЖАВОЮ СОЦІАЛЬНИХ Зобов’язань: ІНСТИТУЦІЙНА ПРОБЛЕМА ЧИ НЕЕФЕКТИВНІСТЬ ПРАВОСУДДЯ?</w:t>
      </w:r>
    </w:p>
    <w:p w:rsidR="00076275" w:rsidRPr="00FD38BE" w:rsidRDefault="00076275" w:rsidP="00076275">
      <w:pPr>
        <w:shd w:val="clear" w:color="auto" w:fill="FFFFFF"/>
        <w:spacing w:line="360" w:lineRule="auto"/>
        <w:ind w:firstLine="709"/>
        <w:jc w:val="center"/>
        <w:rPr>
          <w:b/>
          <w:bCs/>
          <w:i/>
          <w:iCs/>
          <w:sz w:val="28"/>
          <w:szCs w:val="28"/>
          <w:lang w:val="uk-UA"/>
        </w:rPr>
      </w:pPr>
      <w:r w:rsidRPr="00FD38BE">
        <w:rPr>
          <w:b/>
          <w:bCs/>
          <w:i/>
          <w:iCs/>
          <w:sz w:val="28"/>
          <w:szCs w:val="28"/>
          <w:lang w:val="uk-UA"/>
        </w:rPr>
        <w:t>Завальнюк І.В.</w:t>
      </w:r>
    </w:p>
    <w:p w:rsidR="00076275" w:rsidRPr="00FD38BE" w:rsidRDefault="00076275" w:rsidP="00076275">
      <w:pPr>
        <w:shd w:val="clear" w:color="auto" w:fill="FFFFFF"/>
        <w:spacing w:line="360" w:lineRule="auto"/>
        <w:ind w:firstLine="709"/>
        <w:jc w:val="center"/>
        <w:rPr>
          <w:b/>
          <w:bCs/>
          <w:i/>
          <w:iCs/>
          <w:sz w:val="28"/>
          <w:szCs w:val="28"/>
          <w:lang w:val="uk-UA"/>
        </w:rPr>
      </w:pPr>
      <w:r w:rsidRPr="00FD38BE">
        <w:rPr>
          <w:i/>
          <w:iCs/>
          <w:sz w:val="28"/>
          <w:szCs w:val="28"/>
          <w:lang w:val="uk-UA"/>
        </w:rPr>
        <w:t xml:space="preserve">доктор юридичних наук, </w:t>
      </w:r>
    </w:p>
    <w:p w:rsidR="00076275" w:rsidRPr="00FD38BE" w:rsidRDefault="00076275" w:rsidP="00076275">
      <w:pPr>
        <w:shd w:val="clear" w:color="auto" w:fill="FFFFFF"/>
        <w:spacing w:line="360" w:lineRule="auto"/>
        <w:ind w:firstLine="709"/>
        <w:jc w:val="center"/>
        <w:rPr>
          <w:i/>
          <w:iCs/>
          <w:sz w:val="28"/>
          <w:szCs w:val="28"/>
          <w:lang w:val="uk-UA"/>
        </w:rPr>
      </w:pPr>
      <w:r w:rsidRPr="00FD38BE">
        <w:rPr>
          <w:i/>
          <w:iCs/>
          <w:sz w:val="28"/>
          <w:szCs w:val="28"/>
          <w:lang w:val="uk-UA"/>
        </w:rPr>
        <w:t>суддя Одеського окружного адміністративного суду,</w:t>
      </w:r>
    </w:p>
    <w:p w:rsidR="00076275" w:rsidRPr="00FD38BE" w:rsidRDefault="00076275" w:rsidP="00076275">
      <w:pPr>
        <w:shd w:val="clear" w:color="auto" w:fill="FFFFFF"/>
        <w:spacing w:line="360" w:lineRule="auto"/>
        <w:ind w:firstLine="709"/>
        <w:jc w:val="center"/>
        <w:rPr>
          <w:i/>
          <w:iCs/>
          <w:sz w:val="28"/>
          <w:szCs w:val="28"/>
          <w:lang w:val="uk-UA"/>
        </w:rPr>
      </w:pPr>
      <w:r w:rsidRPr="00FD38BE">
        <w:rPr>
          <w:i/>
          <w:iCs/>
          <w:sz w:val="28"/>
          <w:szCs w:val="28"/>
          <w:lang w:val="uk-UA"/>
        </w:rPr>
        <w:t>професор кафедри державно-правових дисциплін</w:t>
      </w:r>
    </w:p>
    <w:p w:rsidR="00076275" w:rsidRPr="00FD38BE" w:rsidRDefault="00076275" w:rsidP="00076275">
      <w:pPr>
        <w:shd w:val="clear" w:color="auto" w:fill="FFFFFF"/>
        <w:spacing w:line="360" w:lineRule="auto"/>
        <w:ind w:firstLine="709"/>
        <w:jc w:val="center"/>
        <w:rPr>
          <w:i/>
          <w:iCs/>
          <w:sz w:val="28"/>
          <w:szCs w:val="28"/>
          <w:lang w:val="uk-UA"/>
        </w:rPr>
      </w:pPr>
      <w:r w:rsidRPr="00FD38BE">
        <w:rPr>
          <w:i/>
          <w:iCs/>
          <w:sz w:val="28"/>
          <w:szCs w:val="28"/>
          <w:lang w:val="uk-UA"/>
        </w:rPr>
        <w:t>Міжнародного університету</w:t>
      </w:r>
    </w:p>
    <w:p w:rsidR="00076275" w:rsidRPr="00FD38BE" w:rsidRDefault="00076275" w:rsidP="00076275">
      <w:pPr>
        <w:shd w:val="clear" w:color="auto" w:fill="FFFFFF"/>
        <w:spacing w:line="360" w:lineRule="auto"/>
        <w:ind w:firstLine="709"/>
        <w:jc w:val="center"/>
        <w:rPr>
          <w:i/>
          <w:iCs/>
          <w:sz w:val="28"/>
          <w:szCs w:val="28"/>
          <w:lang w:val="uk-UA"/>
        </w:rPr>
      </w:pPr>
      <w:r w:rsidRPr="00FD38BE">
        <w:rPr>
          <w:i/>
          <w:iCs/>
          <w:sz w:val="28"/>
          <w:szCs w:val="28"/>
          <w:lang w:val="uk-UA"/>
        </w:rPr>
        <w:t>м. Одеса, Україна</w:t>
      </w:r>
    </w:p>
    <w:p w:rsidR="00076275" w:rsidRPr="00FD38BE" w:rsidRDefault="00076275" w:rsidP="00076275">
      <w:pPr>
        <w:spacing w:line="360" w:lineRule="auto"/>
        <w:ind w:firstLine="709"/>
        <w:jc w:val="both"/>
        <w:rPr>
          <w:sz w:val="28"/>
          <w:szCs w:val="28"/>
          <w:lang w:val="uk-UA"/>
        </w:rPr>
      </w:pPr>
      <w:r w:rsidRPr="00FD38BE">
        <w:rPr>
          <w:rFonts w:eastAsia="Calibri"/>
          <w:kern w:val="2"/>
          <w:sz w:val="28"/>
          <w:szCs w:val="28"/>
          <w:lang w:val="uk-UA" w:eastAsia="en-US"/>
        </w:rPr>
        <w:t xml:space="preserve">Поштовхом до наукового осмислення порушеної проблематики став судовий розгляд адміністративної справи, у якій пенсіонер, тривалий час не отримуючи належні за рішеннями судів виплати та доплати, звинуватив у відповідній бездіяльності безпосередньо саму державу Україна в особі її Уряду. При цьому, варто зазначити, що </w:t>
      </w:r>
      <w:r w:rsidRPr="00FD38BE">
        <w:rPr>
          <w:sz w:val="28"/>
          <w:szCs w:val="28"/>
          <w:lang w:val="uk-UA"/>
        </w:rPr>
        <w:t xml:space="preserve">проблема невиконання державою своїх соціальних зобов'язань, підтверджених остаточними судовими рішеннями, становить один із найскладніших, наймасштабніших та найглибших викликів для правової системи України, її економічної стабільності та міжнародного авторитету. </w:t>
      </w:r>
      <w:r w:rsidRPr="00FD38BE">
        <w:rPr>
          <w:sz w:val="28"/>
          <w:szCs w:val="28"/>
        </w:rPr>
        <w:t>Ця проблематика виходить далеко за межі звичайних</w:t>
      </w:r>
      <w:r w:rsidRPr="00FD38BE">
        <w:rPr>
          <w:sz w:val="28"/>
          <w:szCs w:val="28"/>
          <w:lang w:val="uk-UA"/>
        </w:rPr>
        <w:t xml:space="preserve"> публічно-правових</w:t>
      </w:r>
      <w:r w:rsidRPr="00FD38BE">
        <w:rPr>
          <w:sz w:val="28"/>
          <w:szCs w:val="28"/>
        </w:rPr>
        <w:t xml:space="preserve"> спорів між окремим громадянином та державними органами, трансформувавшись протягом останніх десятиліть у системну, багатовимірну кризу, що загрожує основоположним принципам верховенства права та конституційного ладу.</w:t>
      </w:r>
    </w:p>
    <w:p w:rsidR="00076275" w:rsidRPr="00FD38BE" w:rsidRDefault="00076275" w:rsidP="00076275">
      <w:pPr>
        <w:spacing w:line="360" w:lineRule="auto"/>
        <w:ind w:firstLine="709"/>
        <w:jc w:val="both"/>
        <w:rPr>
          <w:sz w:val="28"/>
          <w:szCs w:val="28"/>
          <w:lang w:val="uk-UA"/>
        </w:rPr>
      </w:pPr>
      <w:r w:rsidRPr="00FD38BE">
        <w:rPr>
          <w:sz w:val="28"/>
          <w:szCs w:val="28"/>
          <w:lang w:val="uk-UA"/>
        </w:rPr>
        <w:t>Центральне питання цієї складної наукової та практичної дискусії полягає у визначенні першопричини: чи є ця криза прямим наслідком глибокої інституційної дисфункції самої держави (зокрема її законодавчої та виконавчої гілок), чи вона значною мірою породжена внутрішньою неефективністю національних механізмів судового захисту, надмірним формалізмом та нездатністю судів забезпечити належний контроль за виконанням власних рішень?</w:t>
      </w:r>
    </w:p>
    <w:p w:rsidR="00076275" w:rsidRPr="00FD38BE" w:rsidRDefault="00076275" w:rsidP="00076275">
      <w:pPr>
        <w:spacing w:line="360" w:lineRule="auto"/>
        <w:ind w:firstLine="709"/>
        <w:jc w:val="both"/>
        <w:rPr>
          <w:sz w:val="28"/>
          <w:szCs w:val="28"/>
          <w:bdr w:val="none" w:sz="0" w:space="0" w:color="auto" w:frame="1"/>
          <w:lang w:val="uk-UA"/>
        </w:rPr>
      </w:pPr>
      <w:r w:rsidRPr="00FD38BE">
        <w:rPr>
          <w:sz w:val="28"/>
          <w:szCs w:val="28"/>
          <w:bdr w:val="none" w:sz="0" w:space="0" w:color="auto" w:frame="1"/>
        </w:rPr>
        <w:t>Європейський суд з прав людини (</w:t>
      </w:r>
      <w:r w:rsidRPr="00FD38BE">
        <w:rPr>
          <w:sz w:val="28"/>
          <w:szCs w:val="28"/>
          <w:bdr w:val="none" w:sz="0" w:space="0" w:color="auto" w:frame="1"/>
          <w:lang w:val="uk-UA"/>
        </w:rPr>
        <w:t xml:space="preserve">далі – </w:t>
      </w:r>
      <w:r w:rsidRPr="00FD38BE">
        <w:rPr>
          <w:sz w:val="28"/>
          <w:szCs w:val="28"/>
          <w:bdr w:val="none" w:sz="0" w:space="0" w:color="auto" w:frame="1"/>
        </w:rPr>
        <w:t xml:space="preserve">ЄСПЛ) у своїх численних та послідовних рішеннях неодноразово наголошував, що право на справедливий </w:t>
      </w:r>
      <w:r w:rsidRPr="00FD38BE">
        <w:rPr>
          <w:sz w:val="28"/>
          <w:szCs w:val="28"/>
          <w:bdr w:val="none" w:sz="0" w:space="0" w:color="auto" w:frame="1"/>
        </w:rPr>
        <w:lastRenderedPageBreak/>
        <w:t>суд, гарантоване статтею 6 Конвенції про захист прав людини і основоположних свобод</w:t>
      </w:r>
      <w:r w:rsidRPr="00FD38BE">
        <w:rPr>
          <w:sz w:val="28"/>
          <w:szCs w:val="28"/>
          <w:bdr w:val="none" w:sz="0" w:space="0" w:color="auto" w:frame="1"/>
          <w:lang w:val="uk-UA"/>
        </w:rPr>
        <w:t xml:space="preserve"> </w:t>
      </w:r>
      <w:r w:rsidRPr="00FD38BE">
        <w:rPr>
          <w:sz w:val="28"/>
          <w:szCs w:val="28"/>
          <w:bdr w:val="none" w:sz="0" w:space="0" w:color="auto" w:frame="1"/>
        </w:rPr>
        <w:t>[1], було б ілюзорним та позбавленим будь-якого практичного сенсу, якби національні правові системи дозволяли, щоб остаточне, обов'язкове судове рішення залишалося невиконаним на шкоду одній зі сторін</w:t>
      </w:r>
      <w:r w:rsidRPr="00FD38BE">
        <w:rPr>
          <w:sz w:val="28"/>
          <w:szCs w:val="28"/>
          <w:bdr w:val="none" w:sz="0" w:space="0" w:color="auto" w:frame="1"/>
          <w:lang w:val="uk-UA"/>
        </w:rPr>
        <w:t xml:space="preserve"> </w:t>
      </w:r>
      <w:r w:rsidRPr="00FD38BE">
        <w:rPr>
          <w:sz w:val="28"/>
          <w:szCs w:val="28"/>
          <w:bdr w:val="none" w:sz="0" w:space="0" w:color="auto" w:frame="1"/>
        </w:rPr>
        <w:t>[2,3,4,5].</w:t>
      </w:r>
    </w:p>
    <w:p w:rsidR="00076275" w:rsidRPr="00FD38BE" w:rsidRDefault="00076275" w:rsidP="00076275">
      <w:pPr>
        <w:spacing w:line="360" w:lineRule="auto"/>
        <w:ind w:firstLine="709"/>
        <w:jc w:val="both"/>
        <w:rPr>
          <w:sz w:val="28"/>
          <w:szCs w:val="28"/>
        </w:rPr>
      </w:pPr>
      <w:r w:rsidRPr="00FD38BE">
        <w:rPr>
          <w:sz w:val="28"/>
          <w:szCs w:val="28"/>
          <w:bdr w:val="none" w:sz="0" w:space="0" w:color="auto" w:frame="1"/>
        </w:rPr>
        <w:t>Відповідно до усталеної міжнародної практики та прецедентного права, забезпечення ефективного доступу до правосуддя вимагає від держави не просто пасивного визнання прав громадянина, а позитивних, активних дій, спрямованих на фактичне поновлення цих прав; у таких обставинах держава не може залишатися бездіяльною, і в цьому контексті європейська юриспруденція не залишає місця для розрізнення між прямими діями та системною бездіяльністю органів державної влади. Відмова або неспроможність держави виконати рішення суду розцінюється як фундаментальне порушення права на ефективний засіб юридичного захисту</w:t>
      </w:r>
      <w:r w:rsidRPr="00FD38BE">
        <w:rPr>
          <w:sz w:val="28"/>
          <w:szCs w:val="28"/>
          <w:bdr w:val="none" w:sz="0" w:space="0" w:color="auto" w:frame="1"/>
          <w:lang w:val="uk-UA"/>
        </w:rPr>
        <w:t xml:space="preserve"> </w:t>
      </w:r>
      <w:r w:rsidRPr="00FD38BE">
        <w:rPr>
          <w:sz w:val="28"/>
          <w:szCs w:val="28"/>
          <w:bdr w:val="none" w:sz="0" w:space="0" w:color="auto" w:frame="1"/>
        </w:rPr>
        <w:t>[6].</w:t>
      </w:r>
    </w:p>
    <w:p w:rsidR="00076275" w:rsidRPr="00FD38BE" w:rsidRDefault="00076275" w:rsidP="00076275">
      <w:pPr>
        <w:spacing w:line="360" w:lineRule="auto"/>
        <w:ind w:firstLine="709"/>
        <w:jc w:val="both"/>
        <w:rPr>
          <w:sz w:val="28"/>
          <w:szCs w:val="28"/>
          <w:lang w:val="uk-UA"/>
        </w:rPr>
      </w:pPr>
      <w:r w:rsidRPr="00FD38BE">
        <w:rPr>
          <w:sz w:val="28"/>
          <w:szCs w:val="28"/>
        </w:rPr>
        <w:t xml:space="preserve">Аналіз поточної ситуації в Україні свідчить про наявність масштабного, перманентного конфлікту між задекларованими в Конституції </w:t>
      </w:r>
      <w:r w:rsidRPr="00FD38BE">
        <w:rPr>
          <w:sz w:val="28"/>
          <w:szCs w:val="28"/>
          <w:lang w:val="uk-UA"/>
        </w:rPr>
        <w:t xml:space="preserve">України </w:t>
      </w:r>
      <w:r w:rsidRPr="00FD38BE">
        <w:rPr>
          <w:sz w:val="28"/>
          <w:szCs w:val="28"/>
        </w:rPr>
        <w:t>[7]</w:t>
      </w:r>
      <w:r w:rsidRPr="00FD38BE">
        <w:rPr>
          <w:sz w:val="28"/>
          <w:szCs w:val="28"/>
          <w:lang w:val="uk-UA"/>
        </w:rPr>
        <w:t xml:space="preserve"> </w:t>
      </w:r>
      <w:r w:rsidRPr="00FD38BE">
        <w:rPr>
          <w:sz w:val="28"/>
          <w:szCs w:val="28"/>
        </w:rPr>
        <w:t>та законах України соціальними правами та реальними економічними, бюджетними можливостями держави. Цей розрив призводить до накопичення колосальної, астрономічної заборгованості за судовими рішеннями, яка обчислюється десятками мільярдів гривень</w:t>
      </w:r>
      <w:r w:rsidRPr="00FD38BE">
        <w:rPr>
          <w:sz w:val="28"/>
          <w:szCs w:val="28"/>
          <w:lang w:val="uk-UA"/>
        </w:rPr>
        <w:t xml:space="preserve"> </w:t>
      </w:r>
      <w:r w:rsidRPr="00FD38BE">
        <w:rPr>
          <w:sz w:val="28"/>
          <w:szCs w:val="28"/>
        </w:rPr>
        <w:t xml:space="preserve">[8]. </w:t>
      </w:r>
    </w:p>
    <w:p w:rsidR="00076275" w:rsidRPr="00FD38BE" w:rsidRDefault="00076275" w:rsidP="00076275">
      <w:pPr>
        <w:spacing w:line="360" w:lineRule="auto"/>
        <w:ind w:firstLine="709"/>
        <w:jc w:val="both"/>
        <w:rPr>
          <w:sz w:val="28"/>
          <w:szCs w:val="28"/>
          <w:lang w:val="uk-UA"/>
        </w:rPr>
      </w:pPr>
      <w:r w:rsidRPr="00FD38BE">
        <w:rPr>
          <w:sz w:val="28"/>
          <w:szCs w:val="28"/>
          <w:lang w:val="uk-UA"/>
        </w:rPr>
        <w:t>Відповідні органи виконавчої влади, стикаючись із катастрофічним дефіцитом бюджетного фінансування для покриття цих боргів, вдаються до створення складно формалізованих процедур та активного підзаконного нормотворення з єдиною метою — відтермінування, реструктуризації або фактичного нівелювання фінансових виплат. Водночас судова система, яка генерує ці рішення, виявляється нездатною забезпечити їх примусове виконання через брак дієвих інструментів впливу на розпорядників бюджетних коштів та загальну перевантаженість.</w:t>
      </w:r>
      <w:r w:rsidRPr="00FD38BE">
        <w:rPr>
          <w:rFonts w:eastAsia="Calibri"/>
          <w:kern w:val="2"/>
          <w:sz w:val="28"/>
          <w:szCs w:val="28"/>
          <w:lang w:val="uk-UA" w:eastAsia="en-US"/>
        </w:rPr>
        <w:t xml:space="preserve"> Так, с</w:t>
      </w:r>
      <w:r w:rsidRPr="00FD38BE">
        <w:rPr>
          <w:rFonts w:eastAsia="Calibri"/>
          <w:kern w:val="2"/>
          <w:sz w:val="28"/>
          <w:szCs w:val="28"/>
          <w:lang w:eastAsia="en-US"/>
        </w:rPr>
        <w:t xml:space="preserve">уди зобов’язані застосовувати закон і забезпечувати захист прав, однак вони не наділені інструментами прямого впливу на бюджетне планування чи розподіл фінансових ресурсів. За </w:t>
      </w:r>
      <w:r w:rsidRPr="00FD38BE">
        <w:rPr>
          <w:rFonts w:eastAsia="Calibri"/>
          <w:kern w:val="2"/>
          <w:sz w:val="28"/>
          <w:szCs w:val="28"/>
          <w:lang w:eastAsia="en-US"/>
        </w:rPr>
        <w:lastRenderedPageBreak/>
        <w:t>відсутності достатнього фінансування навіть юридично бездоганне рішення може залишатися невиконаним тривалий час.</w:t>
      </w:r>
    </w:p>
    <w:p w:rsidR="00076275" w:rsidRPr="00FD38BE" w:rsidRDefault="00076275" w:rsidP="00076275">
      <w:pPr>
        <w:spacing w:line="360" w:lineRule="auto"/>
        <w:ind w:firstLine="709"/>
        <w:jc w:val="both"/>
        <w:rPr>
          <w:sz w:val="28"/>
          <w:szCs w:val="28"/>
          <w:lang w:val="uk-UA"/>
        </w:rPr>
      </w:pPr>
      <w:r w:rsidRPr="00FD38BE">
        <w:rPr>
          <w:sz w:val="28"/>
          <w:szCs w:val="28"/>
          <w:lang w:val="uk-UA"/>
        </w:rPr>
        <w:t>Отже, д</w:t>
      </w:r>
      <w:r w:rsidRPr="00FD38BE">
        <w:rPr>
          <w:sz w:val="28"/>
          <w:szCs w:val="28"/>
        </w:rPr>
        <w:t>етальний аналіз першопричин накопичення заборгованості за соціальними зобов'язаннями безперечно та безальтернативно вказує на домінуючу роль інституційного фактора виконавчої та законодавчої гілок влади. Основною матеріальною причиною невиконання державою соціальних зобов'язань є колосальний, історично сформований розрив між задекларованими в популістських законах соціальними гарантіями та реальними можливостями дохідної частини Державного бюджету України.</w:t>
      </w:r>
    </w:p>
    <w:p w:rsidR="00076275" w:rsidRPr="00FD38BE" w:rsidRDefault="00076275" w:rsidP="00076275">
      <w:pPr>
        <w:spacing w:line="360" w:lineRule="auto"/>
        <w:ind w:firstLine="709"/>
        <w:jc w:val="both"/>
        <w:rPr>
          <w:sz w:val="28"/>
          <w:szCs w:val="28"/>
          <w:lang w:val="uk-UA"/>
        </w:rPr>
      </w:pPr>
      <w:r w:rsidRPr="00FD38BE">
        <w:rPr>
          <w:sz w:val="28"/>
          <w:szCs w:val="28"/>
        </w:rPr>
        <w:t>Ця проблема має глибоке структурне коріння, що прогресує з кожним бюджетним роком, і особливо різко загострилася на тлі повномасштабної збройної агресії. Держава опинилася в ситуації, коли загальний тягар державного боргу поглинає ресурси, необхідні для соціальних виплат.</w:t>
      </w:r>
    </w:p>
    <w:p w:rsidR="00076275" w:rsidRPr="00FD38BE" w:rsidRDefault="00076275" w:rsidP="00076275">
      <w:pPr>
        <w:spacing w:line="360" w:lineRule="auto"/>
        <w:ind w:firstLine="709"/>
        <w:jc w:val="both"/>
        <w:rPr>
          <w:sz w:val="28"/>
          <w:szCs w:val="28"/>
          <w:lang w:val="uk-UA"/>
        </w:rPr>
      </w:pPr>
      <w:r w:rsidRPr="00FD38BE">
        <w:rPr>
          <w:sz w:val="28"/>
          <w:szCs w:val="28"/>
          <w:lang w:val="uk-UA"/>
        </w:rPr>
        <w:t>Зіштовхнувшись із неможливістю математично профінансувати багатомільярдні борги, виконавча влада, замість ініціювання перед парламентом питання про кардинальне реформування системи соціального забезпечення або скасування фінансово незабезпечених пільг, вдається до створення складних юридичних механізмів бюрократичного гальмування. Ці механізми (через прийняття спеціальних законів та підзаконних актів) мають на меті формально продемонструвати повагу до судових рішень в очах європейської спільноти, але де-факто унеможливлюють їх повне і своєчасне виконання, розтягуючи виплати на десятиліття.</w:t>
      </w:r>
    </w:p>
    <w:p w:rsidR="00076275" w:rsidRPr="00FD38BE" w:rsidRDefault="00076275" w:rsidP="00076275">
      <w:pPr>
        <w:spacing w:line="360" w:lineRule="auto"/>
        <w:ind w:firstLine="709"/>
        <w:jc w:val="both"/>
        <w:rPr>
          <w:sz w:val="28"/>
          <w:szCs w:val="28"/>
          <w:bdr w:val="none" w:sz="0" w:space="0" w:color="auto" w:frame="1"/>
          <w:lang w:val="uk-UA"/>
        </w:rPr>
      </w:pPr>
      <w:r w:rsidRPr="00FD38BE">
        <w:rPr>
          <w:sz w:val="28"/>
          <w:szCs w:val="28"/>
          <w:bdr w:val="none" w:sz="0" w:space="0" w:color="auto" w:frame="1"/>
          <w:lang w:val="uk-UA"/>
        </w:rPr>
        <w:t>Яскравим прикладом такої інституційної політики було прийняття Закону України «Про гарантії держави щодо виконання судових рішень» № 4901-</w:t>
      </w:r>
      <w:r w:rsidRPr="00FD38BE">
        <w:rPr>
          <w:sz w:val="28"/>
          <w:szCs w:val="28"/>
          <w:bdr w:val="none" w:sz="0" w:space="0" w:color="auto" w:frame="1"/>
        </w:rPr>
        <w:t>VI</w:t>
      </w:r>
      <w:r w:rsidRPr="00FD38BE">
        <w:rPr>
          <w:sz w:val="28"/>
          <w:szCs w:val="28"/>
          <w:bdr w:val="none" w:sz="0" w:space="0" w:color="auto" w:frame="1"/>
          <w:lang w:val="uk-UA"/>
        </w:rPr>
        <w:t xml:space="preserve">, який набрав чинності 1 січня 2013 року [9]. Не дивлячись на задекларовану мету прийняття та дії даного закону, </w:t>
      </w:r>
      <w:r w:rsidRPr="00FD38BE">
        <w:rPr>
          <w:sz w:val="28"/>
          <w:szCs w:val="28"/>
          <w:bdr w:val="none" w:sz="0" w:space="0" w:color="auto" w:frame="1"/>
        </w:rPr>
        <w:t xml:space="preserve">на практиці </w:t>
      </w:r>
      <w:r w:rsidRPr="00FD38BE">
        <w:rPr>
          <w:sz w:val="28"/>
          <w:szCs w:val="28"/>
          <w:bdr w:val="none" w:sz="0" w:space="0" w:color="auto" w:frame="1"/>
          <w:lang w:val="uk-UA"/>
        </w:rPr>
        <w:t>він</w:t>
      </w:r>
      <w:r w:rsidRPr="00FD38BE">
        <w:rPr>
          <w:sz w:val="28"/>
          <w:szCs w:val="28"/>
          <w:bdr w:val="none" w:sz="0" w:space="0" w:color="auto" w:frame="1"/>
        </w:rPr>
        <w:t xml:space="preserve"> майже миттєво перетворився на чергову декларативну «мертву» норму через його хронічне недофінансування</w:t>
      </w:r>
      <w:r w:rsidRPr="00FD38BE">
        <w:rPr>
          <w:sz w:val="28"/>
          <w:szCs w:val="28"/>
          <w:bdr w:val="none" w:sz="0" w:space="0" w:color="auto" w:frame="1"/>
          <w:lang w:val="uk-UA"/>
        </w:rPr>
        <w:t xml:space="preserve"> </w:t>
      </w:r>
      <w:r w:rsidRPr="00FD38BE">
        <w:rPr>
          <w:sz w:val="28"/>
          <w:szCs w:val="28"/>
          <w:bdr w:val="none" w:sz="0" w:space="0" w:color="auto" w:frame="1"/>
        </w:rPr>
        <w:t>[10].</w:t>
      </w:r>
    </w:p>
    <w:p w:rsidR="00076275" w:rsidRPr="00FD38BE" w:rsidRDefault="00076275" w:rsidP="00076275">
      <w:pPr>
        <w:spacing w:line="360" w:lineRule="auto"/>
        <w:ind w:firstLine="709"/>
        <w:jc w:val="both"/>
        <w:rPr>
          <w:sz w:val="28"/>
          <w:szCs w:val="28"/>
          <w:bdr w:val="none" w:sz="0" w:space="0" w:color="auto" w:frame="1"/>
          <w:lang w:val="uk-UA"/>
        </w:rPr>
      </w:pPr>
      <w:r w:rsidRPr="00FD38BE">
        <w:rPr>
          <w:sz w:val="28"/>
          <w:szCs w:val="28"/>
          <w:bdr w:val="none" w:sz="0" w:space="0" w:color="auto" w:frame="1"/>
          <w:lang w:val="uk-UA"/>
        </w:rPr>
        <w:t xml:space="preserve">Новітнім та найбільш показовим інструментом відвертого інституційного опору виконанню рішень судів стала урядова нормотворчість, зокрема Постанова Кабінету Міністрів України № 821 [12]. </w:t>
      </w:r>
      <w:r w:rsidRPr="00FD38BE">
        <w:rPr>
          <w:sz w:val="28"/>
          <w:szCs w:val="28"/>
          <w:bdr w:val="none" w:sz="0" w:space="0" w:color="auto" w:frame="1"/>
        </w:rPr>
        <w:t xml:space="preserve">Цей підзаконний </w:t>
      </w:r>
      <w:r w:rsidRPr="00FD38BE">
        <w:rPr>
          <w:sz w:val="28"/>
          <w:szCs w:val="28"/>
          <w:bdr w:val="none" w:sz="0" w:space="0" w:color="auto" w:frame="1"/>
        </w:rPr>
        <w:lastRenderedPageBreak/>
        <w:t>нормативно-правовий акт запровадив так званий «особливий порядок виконання», згідно з яким органи Пенсійного фонду України отримали легалізовану урядом можливість виконувати судові рішення про перерахунок пенсії та виплату різниці не в повному обсязі одноразово (як того вимагає рішення суду), а застосовуючи поетапний механізм виплати боргів, що утворилися за минулий час</w:t>
      </w:r>
      <w:r w:rsidRPr="00FD38BE">
        <w:rPr>
          <w:sz w:val="28"/>
          <w:szCs w:val="28"/>
          <w:bdr w:val="none" w:sz="0" w:space="0" w:color="auto" w:frame="1"/>
          <w:lang w:val="uk-UA"/>
        </w:rPr>
        <w:t xml:space="preserve"> </w:t>
      </w:r>
      <w:r w:rsidRPr="00FD38BE">
        <w:rPr>
          <w:sz w:val="28"/>
          <w:szCs w:val="28"/>
          <w:bdr w:val="none" w:sz="0" w:space="0" w:color="auto" w:frame="1"/>
        </w:rPr>
        <w:t>[12].</w:t>
      </w:r>
    </w:p>
    <w:p w:rsidR="00076275" w:rsidRPr="00FD38BE" w:rsidRDefault="00076275" w:rsidP="00076275">
      <w:pPr>
        <w:shd w:val="clear" w:color="auto" w:fill="FFFFFF"/>
        <w:spacing w:line="360" w:lineRule="auto"/>
        <w:ind w:firstLine="709"/>
        <w:jc w:val="both"/>
        <w:rPr>
          <w:sz w:val="28"/>
          <w:szCs w:val="28"/>
          <w:bdr w:val="none" w:sz="0" w:space="0" w:color="auto" w:frame="1"/>
          <w:lang w:val="uk-UA"/>
        </w:rPr>
      </w:pPr>
      <w:r w:rsidRPr="00FD38BE">
        <w:rPr>
          <w:sz w:val="28"/>
          <w:szCs w:val="28"/>
          <w:bdr w:val="none" w:sz="0" w:space="0" w:color="auto" w:frame="1"/>
          <w:lang w:val="uk-UA"/>
        </w:rPr>
        <w:t>Такі дії виконавчої влади беззаперечно свідчать про те, що невиконання судових рішень є цілеспрямованою урядовою політикою управління державним боргом.</w:t>
      </w:r>
    </w:p>
    <w:p w:rsidR="00076275" w:rsidRPr="00FD38BE" w:rsidRDefault="00076275" w:rsidP="00076275">
      <w:pPr>
        <w:shd w:val="clear" w:color="auto" w:fill="FFFFFF"/>
        <w:spacing w:line="360" w:lineRule="auto"/>
        <w:ind w:firstLine="709"/>
        <w:jc w:val="both"/>
        <w:rPr>
          <w:sz w:val="28"/>
          <w:szCs w:val="28"/>
          <w:bdr w:val="none" w:sz="0" w:space="0" w:color="auto" w:frame="1"/>
          <w:lang w:val="uk-UA"/>
        </w:rPr>
      </w:pPr>
      <w:r w:rsidRPr="00FD38BE">
        <w:rPr>
          <w:sz w:val="28"/>
          <w:szCs w:val="28"/>
          <w:bdr w:val="none" w:sz="0" w:space="0" w:color="auto" w:frame="1"/>
          <w:lang w:val="uk-UA"/>
        </w:rPr>
        <w:t xml:space="preserve">Варто нагадати, що статтею 129-1 Конституції України передбачено, що </w:t>
      </w:r>
      <w:r w:rsidRPr="00FD38BE">
        <w:rPr>
          <w:sz w:val="28"/>
          <w:szCs w:val="28"/>
          <w:shd w:val="clear" w:color="auto" w:fill="FFFFFF"/>
          <w:lang w:val="uk-UA"/>
        </w:rPr>
        <w:t xml:space="preserve">суд ухвалює рішення іменем України; судове рішення є обов’язковим до виконання. </w:t>
      </w:r>
      <w:r w:rsidRPr="00FD38BE">
        <w:rPr>
          <w:sz w:val="28"/>
          <w:szCs w:val="28"/>
          <w:bdr w:val="none" w:sz="0" w:space="0" w:color="auto" w:frame="1"/>
          <w:lang w:val="uk-UA"/>
        </w:rPr>
        <w:t>В свою чергу, статтею 370 КАС України визначено, що с</w:t>
      </w:r>
      <w:r w:rsidRPr="00FD38BE">
        <w:rPr>
          <w:sz w:val="28"/>
          <w:szCs w:val="28"/>
          <w:lang w:val="uk-UA"/>
        </w:rPr>
        <w:t xml:space="preserve">удове рішення, яке набрало законної сили, є обов’язковим для учасників справи, для їхніх правонаступників, а також для всіх органів, підприємств, установ та організацій, посадових чи службових осіб, інших фізичних осіб і підлягає виконанню на всій території України, а у випадках, встановлених міжнародними договорами, згода на обов’язковість яких надана Верховною </w:t>
      </w:r>
      <w:r w:rsidRPr="00FD38BE">
        <w:rPr>
          <w:sz w:val="28"/>
          <w:szCs w:val="28"/>
        </w:rPr>
        <w:t>Радою України, або за принципом взаємності, - за її межами.</w:t>
      </w:r>
      <w:bookmarkStart w:id="2" w:name="n12454"/>
      <w:bookmarkEnd w:id="2"/>
      <w:r w:rsidRPr="00FD38BE">
        <w:rPr>
          <w:sz w:val="28"/>
          <w:szCs w:val="28"/>
          <w:bdr w:val="none" w:sz="0" w:space="0" w:color="auto" w:frame="1"/>
          <w:lang w:val="uk-UA"/>
        </w:rPr>
        <w:t xml:space="preserve"> </w:t>
      </w:r>
      <w:r w:rsidRPr="00FD38BE">
        <w:rPr>
          <w:sz w:val="28"/>
          <w:szCs w:val="28"/>
        </w:rPr>
        <w:t>Невиконання судового рішення тягне за собою відповідальність, встановлену законом</w:t>
      </w:r>
      <w:r w:rsidRPr="00FD38BE">
        <w:rPr>
          <w:sz w:val="28"/>
          <w:szCs w:val="28"/>
          <w:bdr w:val="none" w:sz="0" w:space="0" w:color="auto" w:frame="1"/>
        </w:rPr>
        <w:t xml:space="preserve"> [1</w:t>
      </w:r>
      <w:r w:rsidRPr="00FD38BE">
        <w:rPr>
          <w:sz w:val="28"/>
          <w:szCs w:val="28"/>
          <w:bdr w:val="none" w:sz="0" w:space="0" w:color="auto" w:frame="1"/>
          <w:lang w:val="uk-UA"/>
        </w:rPr>
        <w:t>3</w:t>
      </w:r>
      <w:r w:rsidRPr="00FD38BE">
        <w:rPr>
          <w:sz w:val="28"/>
          <w:szCs w:val="28"/>
          <w:bdr w:val="none" w:sz="0" w:space="0" w:color="auto" w:frame="1"/>
        </w:rPr>
        <w:t>]</w:t>
      </w:r>
      <w:r w:rsidRPr="00FD38BE">
        <w:rPr>
          <w:sz w:val="28"/>
          <w:szCs w:val="28"/>
          <w:bdr w:val="none" w:sz="0" w:space="0" w:color="auto" w:frame="1"/>
          <w:lang w:val="uk-UA"/>
        </w:rPr>
        <w:t>.</w:t>
      </w:r>
    </w:p>
    <w:p w:rsidR="00076275" w:rsidRPr="00FD38BE" w:rsidRDefault="00076275" w:rsidP="00076275">
      <w:pPr>
        <w:spacing w:line="360" w:lineRule="auto"/>
        <w:ind w:firstLine="709"/>
        <w:jc w:val="both"/>
        <w:rPr>
          <w:sz w:val="28"/>
          <w:szCs w:val="28"/>
          <w:bdr w:val="none" w:sz="0" w:space="0" w:color="auto" w:frame="1"/>
          <w:lang w:val="uk-UA"/>
        </w:rPr>
      </w:pPr>
      <w:r w:rsidRPr="00FD38BE">
        <w:rPr>
          <w:sz w:val="28"/>
          <w:szCs w:val="28"/>
          <w:bdr w:val="none" w:sz="0" w:space="0" w:color="auto" w:frame="1"/>
          <w:lang w:val="uk-UA"/>
        </w:rPr>
        <w:t xml:space="preserve">Отже, хоча юридично постанова Кабміну не може скасовувати або обмежувати обов'язковість виконання судового рішення, яке набрало законної сили, запроваджений нею механізм фактично є намаганням відтермінувати повне виконання судових рішень на невизначений термін через бюджетні обмеження. </w:t>
      </w:r>
      <w:r w:rsidRPr="00FD38BE">
        <w:rPr>
          <w:sz w:val="28"/>
          <w:szCs w:val="28"/>
          <w:bdr w:val="none" w:sz="0" w:space="0" w:color="auto" w:frame="1"/>
        </w:rPr>
        <w:t>Це вказує на глибоку інституційну проблему неповаги до верховенства права: виконавча влада розглядає судові рішення не як безумовний імператив до негайного виконання, а як один із видів кредиторської заборгованості, який можна реструктуризувати в односторонньому порядку.</w:t>
      </w:r>
    </w:p>
    <w:p w:rsidR="00076275" w:rsidRPr="00FD38BE" w:rsidRDefault="00076275" w:rsidP="00076275">
      <w:pPr>
        <w:spacing w:line="360" w:lineRule="auto"/>
        <w:ind w:firstLine="709"/>
        <w:jc w:val="both"/>
        <w:rPr>
          <w:sz w:val="28"/>
          <w:szCs w:val="28"/>
          <w:lang w:val="uk-UA"/>
        </w:rPr>
      </w:pPr>
      <w:r w:rsidRPr="00FD38BE">
        <w:rPr>
          <w:sz w:val="28"/>
          <w:szCs w:val="28"/>
          <w:bdr w:val="none" w:sz="0" w:space="0" w:color="auto" w:frame="1"/>
          <w:lang w:val="uk-UA"/>
        </w:rPr>
        <w:t xml:space="preserve">При цьому, </w:t>
      </w:r>
      <w:r w:rsidRPr="00FD38BE">
        <w:rPr>
          <w:sz w:val="28"/>
          <w:szCs w:val="28"/>
          <w:lang w:val="uk-UA"/>
        </w:rPr>
        <w:t xml:space="preserve">суди, опинившись у ситуації, коли їхні рішення масово ігноруються іншими гілками влади, виявилися інституційно нездатними виробити дієві інструменти примусу держави до виконання її зобов'язань. </w:t>
      </w:r>
      <w:r w:rsidRPr="00FD38BE">
        <w:rPr>
          <w:sz w:val="28"/>
          <w:szCs w:val="28"/>
        </w:rPr>
        <w:t xml:space="preserve">Крім </w:t>
      </w:r>
      <w:r w:rsidRPr="00FD38BE">
        <w:rPr>
          <w:sz w:val="28"/>
          <w:szCs w:val="28"/>
        </w:rPr>
        <w:lastRenderedPageBreak/>
        <w:t xml:space="preserve">того, надмірний формалізм та внутрішні проблеми адміністрування правосуддя перетворюють сам процес судового захисту </w:t>
      </w:r>
      <w:r w:rsidRPr="00FD38BE">
        <w:rPr>
          <w:sz w:val="28"/>
          <w:szCs w:val="28"/>
          <w:lang w:val="uk-UA"/>
        </w:rPr>
        <w:t xml:space="preserve">фактично </w:t>
      </w:r>
      <w:r w:rsidRPr="00FD38BE">
        <w:rPr>
          <w:sz w:val="28"/>
          <w:szCs w:val="28"/>
        </w:rPr>
        <w:t>на роки поневірянь.</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Таким чином, аналіз спірної проблеми свідчить, що невиконання державою соціальних зобов'язань в Україні є </w:t>
      </w:r>
      <w:r w:rsidRPr="00FD38BE">
        <w:rPr>
          <w:sz w:val="28"/>
          <w:szCs w:val="28"/>
          <w:bdr w:val="none" w:sz="0" w:space="0" w:color="auto" w:frame="1"/>
          <w:lang w:val="uk-UA"/>
        </w:rPr>
        <w:t>насамперед глибокою структурною, інституційною та макроекономічною кризою самої держави</w:t>
      </w:r>
      <w:r w:rsidRPr="00FD38BE">
        <w:rPr>
          <w:sz w:val="28"/>
          <w:szCs w:val="28"/>
          <w:lang w:val="uk-UA"/>
        </w:rPr>
        <w:t xml:space="preserve">, і лише похідною, вторинною мірою — наслідком процедурної неефективності судового захисту. Очевидно, що за обставин, що склалися, жодні, навіть ідеально та бездоганно вибудовані судові процедури, не здатні забезпечити примусове виконання майнових рішень проти держави-боржника, якщо на єдиному казначейському рахунку фізично відсутні кошти для покриття цих мільярдних витрат.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Судова система України де-факто опинилася в ролі заручника цієї макроекономічної пастки: керуючись безпосередньо нормами Конституції України, суди змушені виносити тисячі законних, але свідомо невиконуваних з фінансової точки зору судових рішень. </w:t>
      </w:r>
      <w:r w:rsidRPr="00FD38BE">
        <w:rPr>
          <w:sz w:val="28"/>
          <w:szCs w:val="28"/>
        </w:rPr>
        <w:t>Це поступово перетворює судову систему з дієвого механізму захисту прав людини на своєрідну бюрократичну «фабрику ілюзорних сподівань».</w:t>
      </w:r>
    </w:p>
    <w:p w:rsidR="00076275" w:rsidRPr="00FD38BE" w:rsidRDefault="00076275" w:rsidP="00076275">
      <w:pPr>
        <w:spacing w:line="360" w:lineRule="auto"/>
        <w:ind w:firstLine="709"/>
        <w:jc w:val="both"/>
        <w:rPr>
          <w:sz w:val="28"/>
          <w:szCs w:val="28"/>
          <w:lang w:val="uk-UA"/>
        </w:rPr>
      </w:pPr>
      <w:r w:rsidRPr="00FD38BE">
        <w:rPr>
          <w:sz w:val="28"/>
          <w:szCs w:val="28"/>
          <w:lang w:val="uk-UA"/>
        </w:rPr>
        <w:t>На наше глибоке переконання, доки держава не синхронізує своє матеріальне соціальне законодавство з реальними економічними показниками, рівнем зовнішнього та внутрішнього боргу, доходною частиною державного бюджету, будь-які спроби подолати проблему невиконання судових рішень виключно юридично-процесуальними інструментами залишатимуться безрезультатною імітацією реформ. Більше того, б</w:t>
      </w:r>
      <w:r w:rsidRPr="00FD38BE">
        <w:rPr>
          <w:sz w:val="28"/>
          <w:szCs w:val="28"/>
        </w:rPr>
        <w:t>ез цих кроків проблема невиконання судових рішень продовжуватиме руйнувати довіру до державних інституцій та авторитет правосуддя.</w:t>
      </w:r>
    </w:p>
    <w:p w:rsidR="00076275" w:rsidRPr="00FD38BE" w:rsidRDefault="00076275" w:rsidP="00076275">
      <w:pPr>
        <w:spacing w:line="360" w:lineRule="auto"/>
        <w:ind w:firstLine="709"/>
        <w:jc w:val="center"/>
        <w:rPr>
          <w:rFonts w:eastAsia="Calibri"/>
          <w:kern w:val="2"/>
          <w:sz w:val="28"/>
          <w:szCs w:val="28"/>
          <w:lang w:val="uk-UA" w:eastAsia="en-US"/>
        </w:rPr>
      </w:pPr>
    </w:p>
    <w:p w:rsidR="00076275" w:rsidRPr="00FD38BE" w:rsidRDefault="00076275" w:rsidP="00076275">
      <w:pPr>
        <w:spacing w:line="360" w:lineRule="auto"/>
        <w:ind w:firstLine="709"/>
        <w:jc w:val="center"/>
        <w:rPr>
          <w:rFonts w:eastAsia="Calibri"/>
          <w:b/>
          <w:bCs/>
          <w:kern w:val="2"/>
          <w:sz w:val="28"/>
          <w:szCs w:val="28"/>
          <w:lang w:val="uk-UA" w:eastAsia="en-US"/>
        </w:rPr>
      </w:pPr>
      <w:bookmarkStart w:id="3" w:name="_Hlk225012856"/>
      <w:r w:rsidRPr="00FD38BE">
        <w:rPr>
          <w:rFonts w:eastAsia="Calibri"/>
          <w:b/>
          <w:bCs/>
          <w:kern w:val="2"/>
          <w:sz w:val="28"/>
          <w:szCs w:val="28"/>
          <w:lang w:val="uk-UA" w:eastAsia="en-US"/>
        </w:rPr>
        <w:t>СПИСОК ВИКОРИСТАНИХ ДЖЕРЕЛ</w:t>
      </w:r>
    </w:p>
    <w:bookmarkEnd w:id="3"/>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rFonts w:eastAsia="Calibri"/>
          <w:kern w:val="2"/>
          <w:sz w:val="28"/>
          <w:szCs w:val="28"/>
          <w:lang w:eastAsia="en-US"/>
        </w:rPr>
        <w:t>Конвенція про захист прав людини і основоположних свобод</w:t>
      </w:r>
      <w:proofErr w:type="gramStart"/>
      <w:r w:rsidRPr="00FD38BE">
        <w:rPr>
          <w:rFonts w:eastAsia="Calibri"/>
          <w:kern w:val="2"/>
          <w:sz w:val="28"/>
          <w:szCs w:val="28"/>
          <w:lang w:eastAsia="en-US"/>
        </w:rPr>
        <w:t xml:space="preserve"> :</w:t>
      </w:r>
      <w:proofErr w:type="gramEnd"/>
      <w:r w:rsidRPr="00FD38BE">
        <w:rPr>
          <w:rFonts w:eastAsia="Calibri"/>
          <w:kern w:val="2"/>
          <w:sz w:val="28"/>
          <w:szCs w:val="28"/>
          <w:lang w:eastAsia="en-US"/>
        </w:rPr>
        <w:t xml:space="preserve"> міжнародний документ від 04.11.1950. Рада Європи. </w:t>
      </w:r>
      <w:r w:rsidRPr="00FD38BE">
        <w:rPr>
          <w:rFonts w:eastAsia="Calibri"/>
          <w:i/>
          <w:iCs/>
          <w:kern w:val="2"/>
          <w:sz w:val="28"/>
          <w:szCs w:val="28"/>
          <w:lang w:eastAsia="en-US"/>
        </w:rPr>
        <w:t xml:space="preserve">Урядовий кур’єр. </w:t>
      </w:r>
      <w:r w:rsidRPr="00FD38BE">
        <w:rPr>
          <w:rFonts w:eastAsia="Calibri"/>
          <w:kern w:val="2"/>
          <w:sz w:val="28"/>
          <w:szCs w:val="28"/>
          <w:lang w:eastAsia="en-US"/>
        </w:rPr>
        <w:t>2010. 17 листоп. No 215.</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lastRenderedPageBreak/>
        <w:t>Рішення ЄСПЛ від 19.03.1997 року у справі «Горнсбі проти Греції» (</w:t>
      </w:r>
      <w:r w:rsidRPr="00FD38BE">
        <w:rPr>
          <w:sz w:val="28"/>
          <w:szCs w:val="28"/>
        </w:rPr>
        <w:t>Hornsby</w:t>
      </w:r>
      <w:r w:rsidRPr="00FD38BE">
        <w:rPr>
          <w:sz w:val="28"/>
          <w:szCs w:val="28"/>
          <w:lang w:val="uk-UA"/>
        </w:rPr>
        <w:t xml:space="preserve"> </w:t>
      </w:r>
      <w:r w:rsidRPr="00FD38BE">
        <w:rPr>
          <w:sz w:val="28"/>
          <w:szCs w:val="28"/>
        </w:rPr>
        <w:t>v</w:t>
      </w:r>
      <w:r w:rsidRPr="00FD38BE">
        <w:rPr>
          <w:sz w:val="28"/>
          <w:szCs w:val="28"/>
          <w:lang w:val="uk-UA"/>
        </w:rPr>
        <w:t xml:space="preserve">. </w:t>
      </w:r>
      <w:proofErr w:type="gramStart"/>
      <w:r w:rsidRPr="00FD38BE">
        <w:rPr>
          <w:sz w:val="28"/>
          <w:szCs w:val="28"/>
        </w:rPr>
        <w:t>Greece</w:t>
      </w:r>
      <w:r w:rsidRPr="00FD38BE">
        <w:rPr>
          <w:sz w:val="28"/>
          <w:szCs w:val="28"/>
          <w:lang w:val="uk-UA"/>
        </w:rPr>
        <w:t xml:space="preserve">) // </w:t>
      </w:r>
      <w:r w:rsidRPr="00FD38BE">
        <w:rPr>
          <w:sz w:val="28"/>
          <w:szCs w:val="28"/>
          <w:lang w:val="en-US"/>
        </w:rPr>
        <w:t>URL</w:t>
      </w:r>
      <w:r w:rsidRPr="00FD38BE">
        <w:rPr>
          <w:sz w:val="28"/>
          <w:szCs w:val="28"/>
          <w:lang w:val="uk-UA"/>
        </w:rPr>
        <w:t xml:space="preserve">: </w:t>
      </w:r>
      <w:hyperlink r:id="rId27" w:anchor="Text" w:history="1">
        <w:r w:rsidRPr="00FD38BE">
          <w:rPr>
            <w:sz w:val="28"/>
            <w:szCs w:val="28"/>
            <w:u w:val="single"/>
            <w:lang w:val="uk-UA"/>
          </w:rPr>
          <w:t>https://zakon.rada.gov.ua/laws/show/980_079#Text</w:t>
        </w:r>
      </w:hyperlink>
      <w:r w:rsidRPr="00FD38BE">
        <w:rPr>
          <w:sz w:val="28"/>
          <w:szCs w:val="28"/>
          <w:lang w:val="uk-UA"/>
        </w:rPr>
        <w:t xml:space="preserve"> </w:t>
      </w:r>
      <w:r w:rsidRPr="00FD38BE">
        <w:rPr>
          <w:rFonts w:eastAsia="Calibri"/>
          <w:kern w:val="2"/>
          <w:sz w:val="28"/>
          <w:szCs w:val="28"/>
          <w:lang w:val="uk-UA" w:eastAsia="en-US"/>
        </w:rPr>
        <w:t>(дата звернення: 02.03.2026)</w:t>
      </w:r>
      <w:proofErr w:type="gramEnd"/>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Рішення ЄСПЛ від 15.10.2009 року у справі «Юрій Миколайович І</w:t>
      </w:r>
      <w:r w:rsidRPr="00FD38BE">
        <w:rPr>
          <w:rFonts w:eastAsia="Calibri"/>
          <w:kern w:val="2"/>
          <w:sz w:val="28"/>
          <w:szCs w:val="28"/>
          <w:lang w:val="uk-UA" w:eastAsia="en-US"/>
        </w:rPr>
        <w:t xml:space="preserve">ванов проти України» // </w:t>
      </w:r>
      <w:r w:rsidRPr="00FD38BE">
        <w:rPr>
          <w:rFonts w:eastAsia="Calibri"/>
          <w:kern w:val="2"/>
          <w:sz w:val="28"/>
          <w:szCs w:val="28"/>
          <w:lang w:val="en-US" w:eastAsia="en-US"/>
        </w:rPr>
        <w:t>URL</w:t>
      </w:r>
      <w:r w:rsidRPr="00FD38BE">
        <w:rPr>
          <w:rFonts w:eastAsia="Calibri"/>
          <w:kern w:val="2"/>
          <w:sz w:val="28"/>
          <w:szCs w:val="28"/>
          <w:lang w:val="uk-UA" w:eastAsia="en-US"/>
        </w:rPr>
        <w:t xml:space="preserve">: </w:t>
      </w:r>
      <w:hyperlink r:id="rId28" w:anchor="Text" w:history="1">
        <w:r w:rsidRPr="00FD38BE">
          <w:rPr>
            <w:rFonts w:eastAsia="Calibri"/>
            <w:kern w:val="2"/>
            <w:sz w:val="28"/>
            <w:szCs w:val="28"/>
            <w:u w:val="single"/>
            <w:lang w:val="uk-UA" w:eastAsia="en-US"/>
          </w:rPr>
          <w:t>https://zakon.rada.gov.ua/laws/show/974_479#Text</w:t>
        </w:r>
      </w:hyperlink>
      <w:r w:rsidRPr="00FD38BE">
        <w:rPr>
          <w:rFonts w:eastAsia="Calibri"/>
          <w:kern w:val="2"/>
          <w:sz w:val="28"/>
          <w:szCs w:val="28"/>
          <w:lang w:val="uk-UA" w:eastAsia="en-US"/>
        </w:rPr>
        <w:t xml:space="preserve"> (дата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Рішення ЄСПЛ від 07.05.2002 року у справі «Б</w:t>
      </w:r>
      <w:r w:rsidRPr="00FD38BE">
        <w:rPr>
          <w:rFonts w:eastAsia="Calibri"/>
          <w:kern w:val="2"/>
          <w:sz w:val="28"/>
          <w:szCs w:val="28"/>
          <w:lang w:eastAsia="en-US"/>
        </w:rPr>
        <w:t>урдов проти Росії»</w:t>
      </w:r>
      <w:r w:rsidRPr="00FD38BE">
        <w:rPr>
          <w:rFonts w:eastAsia="Calibri"/>
          <w:kern w:val="2"/>
          <w:sz w:val="28"/>
          <w:szCs w:val="28"/>
          <w:lang w:val="uk-UA" w:eastAsia="en-US"/>
        </w:rPr>
        <w:t xml:space="preserve"> </w:t>
      </w:r>
      <w:r w:rsidRPr="00FD38BE">
        <w:rPr>
          <w:rFonts w:eastAsia="Calibri"/>
          <w:kern w:val="2"/>
          <w:sz w:val="28"/>
          <w:szCs w:val="28"/>
          <w:lang w:eastAsia="en-US"/>
        </w:rPr>
        <w:t xml:space="preserve">// </w:t>
      </w:r>
      <w:r w:rsidRPr="00FD38BE">
        <w:rPr>
          <w:rFonts w:eastAsia="Calibri"/>
          <w:kern w:val="2"/>
          <w:sz w:val="28"/>
          <w:szCs w:val="28"/>
          <w:lang w:val="en-US" w:eastAsia="en-US"/>
        </w:rPr>
        <w:t>URL</w:t>
      </w:r>
      <w:r w:rsidRPr="00FD38BE">
        <w:rPr>
          <w:rFonts w:eastAsia="Calibri"/>
          <w:kern w:val="2"/>
          <w:sz w:val="28"/>
          <w:szCs w:val="28"/>
          <w:lang w:val="uk-UA" w:eastAsia="en-US"/>
        </w:rPr>
        <w:t xml:space="preserve">: </w:t>
      </w:r>
      <w:r w:rsidRPr="00FD38BE">
        <w:rPr>
          <w:rFonts w:eastAsia="Calibri"/>
          <w:kern w:val="2"/>
          <w:sz w:val="28"/>
          <w:szCs w:val="28"/>
          <w:lang w:eastAsia="en-US"/>
        </w:rPr>
        <w:t xml:space="preserve"> </w:t>
      </w:r>
      <w:hyperlink r:id="rId29" w:anchor="Text" w:history="1">
        <w:r w:rsidRPr="00FD38BE">
          <w:rPr>
            <w:rFonts w:eastAsia="Calibri"/>
            <w:kern w:val="2"/>
            <w:sz w:val="28"/>
            <w:szCs w:val="28"/>
            <w:u w:val="single"/>
            <w:lang w:eastAsia="en-US"/>
          </w:rPr>
          <w:t>https://zakon.rada.gov.ua/laws/show/980_045#Text</w:t>
        </w:r>
      </w:hyperlink>
      <w:r w:rsidRPr="00FD38BE">
        <w:rPr>
          <w:rFonts w:eastAsia="Calibri"/>
          <w:kern w:val="2"/>
          <w:sz w:val="28"/>
          <w:szCs w:val="28"/>
          <w:lang w:val="uk-UA" w:eastAsia="en-US"/>
        </w:rPr>
        <w:t xml:space="preserve"> (дата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 xml:space="preserve">Рішення ЄСПЛ від 29.06.2004 року у справі </w:t>
      </w:r>
      <w:r w:rsidRPr="00FD38BE">
        <w:rPr>
          <w:rFonts w:eastAsia="Calibri"/>
          <w:kern w:val="2"/>
          <w:sz w:val="28"/>
          <w:szCs w:val="28"/>
          <w:lang w:eastAsia="en-US"/>
        </w:rPr>
        <w:t>«Жовнер проти України»</w:t>
      </w:r>
      <w:r w:rsidRPr="00FD38BE">
        <w:rPr>
          <w:rFonts w:eastAsia="Calibri"/>
          <w:kern w:val="2"/>
          <w:sz w:val="28"/>
          <w:szCs w:val="28"/>
          <w:lang w:val="uk-UA" w:eastAsia="en-US"/>
        </w:rPr>
        <w:t xml:space="preserve"> </w:t>
      </w:r>
      <w:r w:rsidRPr="00FD38BE">
        <w:rPr>
          <w:rFonts w:eastAsia="Calibri"/>
          <w:kern w:val="2"/>
          <w:sz w:val="28"/>
          <w:szCs w:val="28"/>
          <w:lang w:eastAsia="en-US"/>
        </w:rPr>
        <w:t xml:space="preserve">// </w:t>
      </w:r>
      <w:r w:rsidRPr="00FD38BE">
        <w:rPr>
          <w:rFonts w:eastAsia="Calibri"/>
          <w:kern w:val="2"/>
          <w:sz w:val="28"/>
          <w:szCs w:val="28"/>
          <w:lang w:val="en-US" w:eastAsia="en-US"/>
        </w:rPr>
        <w:t>URL</w:t>
      </w:r>
      <w:r w:rsidRPr="00FD38BE">
        <w:rPr>
          <w:rFonts w:eastAsia="Calibri"/>
          <w:kern w:val="2"/>
          <w:sz w:val="28"/>
          <w:szCs w:val="28"/>
          <w:lang w:val="uk-UA" w:eastAsia="en-US"/>
        </w:rPr>
        <w:t xml:space="preserve">: </w:t>
      </w:r>
      <w:hyperlink r:id="rId30" w:anchor="Text" w:history="1">
        <w:r w:rsidRPr="00FD38BE">
          <w:rPr>
            <w:rFonts w:eastAsia="Calibri"/>
            <w:kern w:val="2"/>
            <w:sz w:val="28"/>
            <w:szCs w:val="28"/>
            <w:u w:val="single"/>
            <w:lang w:val="uk-UA" w:eastAsia="en-US"/>
          </w:rPr>
          <w:t>https://zakon.rada.gov.ua/laws/show/980_221#Text</w:t>
        </w:r>
      </w:hyperlink>
      <w:r w:rsidRPr="00FD38BE">
        <w:rPr>
          <w:rFonts w:eastAsia="Calibri"/>
          <w:kern w:val="2"/>
          <w:sz w:val="28"/>
          <w:szCs w:val="28"/>
          <w:lang w:val="uk-UA" w:eastAsia="en-US"/>
        </w:rPr>
        <w:t xml:space="preserve"> (дата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Рішення ЄСПЛ від 12.10.2017 року у справі «</w:t>
      </w:r>
      <w:r w:rsidRPr="00FD38BE">
        <w:rPr>
          <w:rFonts w:eastAsia="Calibri"/>
          <w:kern w:val="2"/>
          <w:sz w:val="28"/>
          <w:szCs w:val="28"/>
          <w:lang w:val="uk-UA" w:eastAsia="en-US"/>
        </w:rPr>
        <w:t xml:space="preserve">Бурмич та інші проти України» // </w:t>
      </w:r>
      <w:r w:rsidRPr="00FD38BE">
        <w:rPr>
          <w:rFonts w:eastAsia="Calibri"/>
          <w:kern w:val="2"/>
          <w:sz w:val="28"/>
          <w:szCs w:val="28"/>
          <w:lang w:val="en-US" w:eastAsia="en-US"/>
        </w:rPr>
        <w:t>URL</w:t>
      </w:r>
      <w:r w:rsidRPr="00FD38BE">
        <w:rPr>
          <w:rFonts w:eastAsia="Calibri"/>
          <w:kern w:val="2"/>
          <w:sz w:val="28"/>
          <w:szCs w:val="28"/>
          <w:lang w:val="uk-UA" w:eastAsia="en-US"/>
        </w:rPr>
        <w:t xml:space="preserve">: </w:t>
      </w:r>
      <w:hyperlink r:id="rId31" w:anchor="{%22itemid%22:[%22001-192193%22]}" w:history="1">
        <w:r w:rsidRPr="00FD38BE">
          <w:rPr>
            <w:rFonts w:eastAsia="Calibri"/>
            <w:kern w:val="2"/>
            <w:sz w:val="28"/>
            <w:szCs w:val="28"/>
            <w:u w:val="single"/>
            <w:lang w:eastAsia="en-US"/>
          </w:rPr>
          <w:t>https</w:t>
        </w:r>
        <w:r w:rsidRPr="00FD38BE">
          <w:rPr>
            <w:rFonts w:eastAsia="Calibri"/>
            <w:kern w:val="2"/>
            <w:sz w:val="28"/>
            <w:szCs w:val="28"/>
            <w:u w:val="single"/>
            <w:lang w:val="uk-UA" w:eastAsia="en-US"/>
          </w:rPr>
          <w:t>://</w:t>
        </w:r>
        <w:r w:rsidRPr="00FD38BE">
          <w:rPr>
            <w:rFonts w:eastAsia="Calibri"/>
            <w:kern w:val="2"/>
            <w:sz w:val="28"/>
            <w:szCs w:val="28"/>
            <w:u w:val="single"/>
            <w:lang w:eastAsia="en-US"/>
          </w:rPr>
          <w:t>hudoc</w:t>
        </w:r>
        <w:r w:rsidRPr="00FD38BE">
          <w:rPr>
            <w:rFonts w:eastAsia="Calibri"/>
            <w:kern w:val="2"/>
            <w:sz w:val="28"/>
            <w:szCs w:val="28"/>
            <w:u w:val="single"/>
            <w:lang w:val="uk-UA" w:eastAsia="en-US"/>
          </w:rPr>
          <w:t>.</w:t>
        </w:r>
        <w:r w:rsidRPr="00FD38BE">
          <w:rPr>
            <w:rFonts w:eastAsia="Calibri"/>
            <w:kern w:val="2"/>
            <w:sz w:val="28"/>
            <w:szCs w:val="28"/>
            <w:u w:val="single"/>
            <w:lang w:eastAsia="en-US"/>
          </w:rPr>
          <w:t>echr</w:t>
        </w:r>
        <w:r w:rsidRPr="00FD38BE">
          <w:rPr>
            <w:rFonts w:eastAsia="Calibri"/>
            <w:kern w:val="2"/>
            <w:sz w:val="28"/>
            <w:szCs w:val="28"/>
            <w:u w:val="single"/>
            <w:lang w:val="uk-UA" w:eastAsia="en-US"/>
          </w:rPr>
          <w:t>.</w:t>
        </w:r>
        <w:r w:rsidRPr="00FD38BE">
          <w:rPr>
            <w:rFonts w:eastAsia="Calibri"/>
            <w:kern w:val="2"/>
            <w:sz w:val="28"/>
            <w:szCs w:val="28"/>
            <w:u w:val="single"/>
            <w:lang w:eastAsia="en-US"/>
          </w:rPr>
          <w:t>coe</w:t>
        </w:r>
        <w:r w:rsidRPr="00FD38BE">
          <w:rPr>
            <w:rFonts w:eastAsia="Calibri"/>
            <w:kern w:val="2"/>
            <w:sz w:val="28"/>
            <w:szCs w:val="28"/>
            <w:u w:val="single"/>
            <w:lang w:val="uk-UA" w:eastAsia="en-US"/>
          </w:rPr>
          <w:t>.</w:t>
        </w:r>
        <w:r w:rsidRPr="00FD38BE">
          <w:rPr>
            <w:rFonts w:eastAsia="Calibri"/>
            <w:kern w:val="2"/>
            <w:sz w:val="28"/>
            <w:szCs w:val="28"/>
            <w:u w:val="single"/>
            <w:lang w:eastAsia="en-US"/>
          </w:rPr>
          <w:t>int</w:t>
        </w:r>
        <w:r w:rsidRPr="00FD38BE">
          <w:rPr>
            <w:rFonts w:eastAsia="Calibri"/>
            <w:kern w:val="2"/>
            <w:sz w:val="28"/>
            <w:szCs w:val="28"/>
            <w:u w:val="single"/>
            <w:lang w:val="uk-UA" w:eastAsia="en-US"/>
          </w:rPr>
          <w:t>/</w:t>
        </w:r>
        <w:r w:rsidRPr="00FD38BE">
          <w:rPr>
            <w:rFonts w:eastAsia="Calibri"/>
            <w:kern w:val="2"/>
            <w:sz w:val="28"/>
            <w:szCs w:val="28"/>
            <w:u w:val="single"/>
            <w:lang w:eastAsia="en-US"/>
          </w:rPr>
          <w:t>fre</w:t>
        </w:r>
        <w:r w:rsidRPr="00FD38BE">
          <w:rPr>
            <w:rFonts w:eastAsia="Calibri"/>
            <w:kern w:val="2"/>
            <w:sz w:val="28"/>
            <w:szCs w:val="28"/>
            <w:u w:val="single"/>
            <w:lang w:val="uk-UA" w:eastAsia="en-US"/>
          </w:rPr>
          <w:t>#{%22</w:t>
        </w:r>
        <w:r w:rsidRPr="00FD38BE">
          <w:rPr>
            <w:rFonts w:eastAsia="Calibri"/>
            <w:kern w:val="2"/>
            <w:sz w:val="28"/>
            <w:szCs w:val="28"/>
            <w:u w:val="single"/>
            <w:lang w:eastAsia="en-US"/>
          </w:rPr>
          <w:t>itemid</w:t>
        </w:r>
        <w:r w:rsidRPr="00FD38BE">
          <w:rPr>
            <w:rFonts w:eastAsia="Calibri"/>
            <w:kern w:val="2"/>
            <w:sz w:val="28"/>
            <w:szCs w:val="28"/>
            <w:u w:val="single"/>
            <w:lang w:val="uk-UA" w:eastAsia="en-US"/>
          </w:rPr>
          <w:t>%22:[%22001-192193%22]}</w:t>
        </w:r>
      </w:hyperlink>
      <w:r w:rsidRPr="00FD38BE">
        <w:rPr>
          <w:rFonts w:eastAsia="Calibri"/>
          <w:kern w:val="2"/>
          <w:sz w:val="28"/>
          <w:szCs w:val="28"/>
          <w:lang w:val="uk-UA" w:eastAsia="en-US"/>
        </w:rPr>
        <w:t xml:space="preserve"> (дата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rFonts w:eastAsia="Calibri"/>
          <w:kern w:val="2"/>
          <w:sz w:val="28"/>
          <w:szCs w:val="28"/>
          <w:lang w:val="uk-UA" w:eastAsia="en-US"/>
        </w:rPr>
        <w:t>Конституція України</w:t>
      </w:r>
      <w:r w:rsidRPr="00FD38BE">
        <w:rPr>
          <w:rFonts w:eastAsia="Calibri"/>
          <w:kern w:val="2"/>
          <w:sz w:val="28"/>
          <w:szCs w:val="28"/>
          <w:lang w:eastAsia="en-US"/>
        </w:rPr>
        <w:t xml:space="preserve"> </w:t>
      </w:r>
      <w:r w:rsidRPr="00FD38BE">
        <w:rPr>
          <w:rFonts w:eastAsia="Calibri"/>
          <w:kern w:val="2"/>
          <w:sz w:val="28"/>
          <w:szCs w:val="28"/>
          <w:lang w:val="uk-UA" w:eastAsia="en-US"/>
        </w:rPr>
        <w:t xml:space="preserve">: </w:t>
      </w:r>
      <w:r w:rsidRPr="00FD38BE">
        <w:rPr>
          <w:rFonts w:eastAsia="Calibri"/>
          <w:kern w:val="2"/>
          <w:sz w:val="28"/>
          <w:szCs w:val="28"/>
          <w:lang w:eastAsia="en-US"/>
        </w:rPr>
        <w:t>Закон від 28.06.1996</w:t>
      </w:r>
      <w:r w:rsidRPr="00FD38BE">
        <w:rPr>
          <w:rFonts w:eastAsia="Calibri"/>
          <w:kern w:val="2"/>
          <w:sz w:val="28"/>
          <w:szCs w:val="28"/>
          <w:lang w:val="uk-UA" w:eastAsia="en-US"/>
        </w:rPr>
        <w:t xml:space="preserve"> </w:t>
      </w:r>
      <w:r w:rsidRPr="00FD38BE">
        <w:rPr>
          <w:rFonts w:eastAsia="Calibri"/>
          <w:kern w:val="2"/>
          <w:sz w:val="28"/>
          <w:szCs w:val="28"/>
          <w:lang w:eastAsia="en-US"/>
        </w:rPr>
        <w:t xml:space="preserve">№ 254к/96-ВР. </w:t>
      </w:r>
      <w:r w:rsidRPr="00FD38BE">
        <w:rPr>
          <w:rFonts w:eastAsia="Calibri"/>
          <w:i/>
          <w:iCs/>
          <w:kern w:val="2"/>
          <w:sz w:val="28"/>
          <w:szCs w:val="28"/>
          <w:lang w:eastAsia="en-US"/>
        </w:rPr>
        <w:t>Відомості Верховно</w:t>
      </w:r>
      <w:proofErr w:type="gramStart"/>
      <w:r w:rsidRPr="00FD38BE">
        <w:rPr>
          <w:rFonts w:eastAsia="Calibri"/>
          <w:i/>
          <w:iCs/>
          <w:kern w:val="2"/>
          <w:sz w:val="28"/>
          <w:szCs w:val="28"/>
          <w:lang w:eastAsia="en-US"/>
        </w:rPr>
        <w:t>ї̈ Р</w:t>
      </w:r>
      <w:proofErr w:type="gramEnd"/>
      <w:r w:rsidRPr="00FD38BE">
        <w:rPr>
          <w:rFonts w:eastAsia="Calibri"/>
          <w:i/>
          <w:iCs/>
          <w:kern w:val="2"/>
          <w:sz w:val="28"/>
          <w:szCs w:val="28"/>
          <w:lang w:eastAsia="en-US"/>
        </w:rPr>
        <w:t>ади України.</w:t>
      </w:r>
      <w:r w:rsidRPr="00FD38BE">
        <w:rPr>
          <w:rFonts w:eastAsia="Calibri"/>
          <w:kern w:val="2"/>
          <w:sz w:val="28"/>
          <w:szCs w:val="28"/>
          <w:lang w:val="uk-UA" w:eastAsia="en-US"/>
        </w:rPr>
        <w:t xml:space="preserve"> </w:t>
      </w:r>
      <w:r w:rsidRPr="00FD38BE">
        <w:rPr>
          <w:rFonts w:eastAsia="Calibri"/>
          <w:kern w:val="2"/>
          <w:sz w:val="28"/>
          <w:szCs w:val="28"/>
          <w:lang w:eastAsia="en-US"/>
        </w:rPr>
        <w:t xml:space="preserve">1996. № 30. </w:t>
      </w:r>
      <w:r w:rsidRPr="00FD38BE">
        <w:rPr>
          <w:rFonts w:eastAsia="Calibri"/>
          <w:kern w:val="2"/>
          <w:sz w:val="28"/>
          <w:szCs w:val="28"/>
          <w:lang w:val="uk-UA" w:eastAsia="en-US"/>
        </w:rPr>
        <w:t>с</w:t>
      </w:r>
      <w:r w:rsidRPr="00FD38BE">
        <w:rPr>
          <w:rFonts w:eastAsia="Calibri"/>
          <w:kern w:val="2"/>
          <w:sz w:val="28"/>
          <w:szCs w:val="28"/>
          <w:lang w:eastAsia="en-US"/>
        </w:rPr>
        <w:t>т. 141.</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rFonts w:eastAsia="Calibri"/>
          <w:kern w:val="2"/>
          <w:sz w:val="28"/>
          <w:szCs w:val="28"/>
          <w:lang w:val="uk-UA" w:eastAsia="en-US"/>
        </w:rPr>
        <w:t xml:space="preserve">Пенсійний фонд заборгував пенсіонерам 85 млрд грн: кому віддадуть гроші </w:t>
      </w:r>
      <w:r w:rsidRPr="00FD38BE">
        <w:rPr>
          <w:rFonts w:eastAsia="Calibri"/>
          <w:kern w:val="2"/>
          <w:sz w:val="28"/>
          <w:szCs w:val="28"/>
          <w:lang w:eastAsia="en-US"/>
        </w:rPr>
        <w:t>//</w:t>
      </w:r>
      <w:r w:rsidRPr="00FD38BE">
        <w:rPr>
          <w:rFonts w:eastAsia="Calibri"/>
          <w:kern w:val="2"/>
          <w:sz w:val="28"/>
          <w:szCs w:val="28"/>
          <w:lang w:val="uk-UA" w:eastAsia="en-US"/>
        </w:rPr>
        <w:t xml:space="preserve"> </w:t>
      </w:r>
      <w:r w:rsidRPr="00FD38BE">
        <w:rPr>
          <w:rFonts w:eastAsia="Calibri"/>
          <w:kern w:val="2"/>
          <w:sz w:val="28"/>
          <w:szCs w:val="28"/>
          <w:lang w:val="en-US" w:eastAsia="en-US"/>
        </w:rPr>
        <w:t>URL</w:t>
      </w:r>
      <w:r w:rsidRPr="00FD38BE">
        <w:rPr>
          <w:rFonts w:eastAsia="Calibri"/>
          <w:kern w:val="2"/>
          <w:sz w:val="28"/>
          <w:szCs w:val="28"/>
          <w:lang w:val="uk-UA" w:eastAsia="en-US"/>
        </w:rPr>
        <w:t xml:space="preserve">: </w:t>
      </w:r>
      <w:hyperlink r:id="rId32" w:history="1">
        <w:r w:rsidRPr="00FD38BE">
          <w:rPr>
            <w:sz w:val="28"/>
            <w:szCs w:val="28"/>
            <w:u w:val="single"/>
          </w:rPr>
          <w:t>https://thepage.ua/ua/news/sudovi-rishennya-shodo-pensij-chomu-derzhava-zaborguvala-desyatki-milyardiv-i-sho-zminitsya</w:t>
        </w:r>
      </w:hyperlink>
      <w:r w:rsidRPr="00FD38BE">
        <w:rPr>
          <w:sz w:val="28"/>
          <w:szCs w:val="28"/>
          <w:lang w:val="uk-UA"/>
        </w:rPr>
        <w:t xml:space="preserve"> </w:t>
      </w:r>
      <w:r w:rsidRPr="00FD38BE">
        <w:rPr>
          <w:rFonts w:eastAsia="Calibri"/>
          <w:kern w:val="2"/>
          <w:sz w:val="28"/>
          <w:szCs w:val="28"/>
          <w:lang w:val="uk-UA" w:eastAsia="en-US"/>
        </w:rPr>
        <w:t>(дата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bdr w:val="none" w:sz="0" w:space="0" w:color="auto" w:frame="1"/>
          <w:lang w:val="uk-UA"/>
        </w:rPr>
        <w:t xml:space="preserve"> Про гарантії держави щодо виконання судових рішень : Закон України від 05.06.2012 року № 4901-</w:t>
      </w:r>
      <w:r w:rsidRPr="00FD38BE">
        <w:rPr>
          <w:sz w:val="28"/>
          <w:szCs w:val="28"/>
          <w:bdr w:val="none" w:sz="0" w:space="0" w:color="auto" w:frame="1"/>
        </w:rPr>
        <w:t>VI</w:t>
      </w:r>
      <w:r w:rsidRPr="00FD38BE">
        <w:rPr>
          <w:sz w:val="28"/>
          <w:szCs w:val="28"/>
          <w:bdr w:val="none" w:sz="0" w:space="0" w:color="auto" w:frame="1"/>
          <w:lang w:val="uk-UA"/>
        </w:rPr>
        <w:t xml:space="preserve"> </w:t>
      </w:r>
      <w:r w:rsidRPr="00FD38BE">
        <w:rPr>
          <w:i/>
          <w:iCs/>
          <w:sz w:val="28"/>
          <w:szCs w:val="28"/>
          <w:bdr w:val="none" w:sz="0" w:space="0" w:color="auto" w:frame="1"/>
          <w:lang w:val="uk-UA"/>
        </w:rPr>
        <w:t xml:space="preserve">//  </w:t>
      </w:r>
      <w:r w:rsidRPr="00FD38BE">
        <w:rPr>
          <w:rFonts w:eastAsia="Calibri"/>
          <w:i/>
          <w:iCs/>
          <w:kern w:val="2"/>
          <w:sz w:val="28"/>
          <w:szCs w:val="28"/>
          <w:shd w:val="clear" w:color="auto" w:fill="FFFFFF"/>
          <w:lang w:val="uk-UA" w:eastAsia="en-US"/>
        </w:rPr>
        <w:t>Відомості Верховної Ради (ВВР</w:t>
      </w:r>
      <w:r w:rsidRPr="00FD38BE">
        <w:rPr>
          <w:rFonts w:eastAsia="Calibri"/>
          <w:kern w:val="2"/>
          <w:sz w:val="28"/>
          <w:szCs w:val="28"/>
          <w:shd w:val="clear" w:color="auto" w:fill="FFFFFF"/>
          <w:lang w:val="uk-UA" w:eastAsia="en-US"/>
        </w:rPr>
        <w:t xml:space="preserve">), 2013, № 17, ст.158. </w:t>
      </w:r>
      <w:r w:rsidRPr="00FD38BE">
        <w:rPr>
          <w:rFonts w:eastAsia="Calibri"/>
          <w:kern w:val="2"/>
          <w:sz w:val="28"/>
          <w:szCs w:val="28"/>
          <w:shd w:val="clear" w:color="auto" w:fill="FFFFFF"/>
          <w:lang w:val="en-US" w:eastAsia="en-US"/>
        </w:rPr>
        <w:t>URL</w:t>
      </w:r>
      <w:r w:rsidRPr="00FD38BE">
        <w:rPr>
          <w:rFonts w:eastAsia="Calibri"/>
          <w:kern w:val="2"/>
          <w:sz w:val="28"/>
          <w:szCs w:val="28"/>
          <w:shd w:val="clear" w:color="auto" w:fill="FFFFFF"/>
          <w:lang w:val="uk-UA" w:eastAsia="en-US"/>
        </w:rPr>
        <w:t xml:space="preserve">: </w:t>
      </w:r>
      <w:hyperlink r:id="rId33" w:anchor="Text" w:history="1">
        <w:r w:rsidRPr="00FD38BE">
          <w:rPr>
            <w:rFonts w:eastAsia="Calibri"/>
            <w:kern w:val="2"/>
            <w:sz w:val="28"/>
            <w:szCs w:val="28"/>
            <w:u w:val="single"/>
            <w:shd w:val="clear" w:color="auto" w:fill="FFFFFF"/>
            <w:lang w:val="uk-UA" w:eastAsia="en-US"/>
          </w:rPr>
          <w:t>https://zakon.rada.gov.ua/laws/show/4901-17#Text</w:t>
        </w:r>
      </w:hyperlink>
      <w:r w:rsidRPr="00FD38BE">
        <w:rPr>
          <w:rFonts w:eastAsia="Calibri"/>
          <w:kern w:val="2"/>
          <w:sz w:val="28"/>
          <w:szCs w:val="28"/>
          <w:shd w:val="clear" w:color="auto" w:fill="FFFFFF"/>
          <w:lang w:val="uk-UA" w:eastAsia="en-US"/>
        </w:rPr>
        <w:t xml:space="preserve"> </w:t>
      </w:r>
      <w:r w:rsidRPr="00FD38BE">
        <w:rPr>
          <w:rFonts w:eastAsia="Calibri"/>
          <w:kern w:val="2"/>
          <w:sz w:val="28"/>
          <w:szCs w:val="28"/>
          <w:lang w:val="uk-UA" w:eastAsia="en-US"/>
        </w:rPr>
        <w:t>(дата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bdr w:val="none" w:sz="0" w:space="0" w:color="auto" w:frame="1"/>
          <w:lang w:val="uk-UA"/>
        </w:rPr>
        <w:t xml:space="preserve">Перспективи Закону «Про гарантії держави щодо виконання судових рішень» </w:t>
      </w:r>
      <w:r w:rsidRPr="00FD38BE">
        <w:rPr>
          <w:sz w:val="28"/>
          <w:szCs w:val="28"/>
          <w:bdr w:val="none" w:sz="0" w:space="0" w:color="auto" w:frame="1"/>
        </w:rPr>
        <w:t>//</w:t>
      </w:r>
      <w:r w:rsidRPr="00FD38BE">
        <w:rPr>
          <w:sz w:val="28"/>
          <w:szCs w:val="28"/>
          <w:bdr w:val="none" w:sz="0" w:space="0" w:color="auto" w:frame="1"/>
          <w:lang w:val="uk-UA"/>
        </w:rPr>
        <w:t xml:space="preserve"> </w:t>
      </w:r>
      <w:r w:rsidRPr="00FD38BE">
        <w:rPr>
          <w:sz w:val="28"/>
          <w:szCs w:val="28"/>
          <w:bdr w:val="none" w:sz="0" w:space="0" w:color="auto" w:frame="1"/>
          <w:lang w:val="en-US"/>
        </w:rPr>
        <w:t>URL</w:t>
      </w:r>
      <w:r w:rsidRPr="00FD38BE">
        <w:rPr>
          <w:sz w:val="28"/>
          <w:szCs w:val="28"/>
          <w:bdr w:val="none" w:sz="0" w:space="0" w:color="auto" w:frame="1"/>
          <w:lang w:val="uk-UA"/>
        </w:rPr>
        <w:t xml:space="preserve">: </w:t>
      </w:r>
      <w:hyperlink r:id="rId34" w:history="1">
        <w:r w:rsidRPr="00FD38BE">
          <w:rPr>
            <w:sz w:val="28"/>
            <w:szCs w:val="28"/>
            <w:u w:val="single"/>
            <w:bdr w:val="none" w:sz="0" w:space="0" w:color="auto" w:frame="1"/>
            <w:lang w:val="uk-UA"/>
          </w:rPr>
          <w:t>https://www.misechko.law/read/publication/perspektivi_zakonu_pro_garantiyi_derzhavi</w:t>
        </w:r>
      </w:hyperlink>
      <w:r w:rsidRPr="00FD38BE">
        <w:rPr>
          <w:sz w:val="28"/>
          <w:szCs w:val="28"/>
          <w:bdr w:val="none" w:sz="0" w:space="0" w:color="auto" w:frame="1"/>
          <w:lang w:val="uk-UA"/>
        </w:rPr>
        <w:t xml:space="preserve"> </w:t>
      </w:r>
      <w:r w:rsidRPr="00FD38BE">
        <w:rPr>
          <w:rFonts w:eastAsia="Calibri"/>
          <w:kern w:val="2"/>
          <w:sz w:val="28"/>
          <w:szCs w:val="28"/>
          <w:lang w:val="uk-UA" w:eastAsia="en-US"/>
        </w:rPr>
        <w:t>(дата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bdr w:val="none" w:sz="0" w:space="0" w:color="auto" w:frame="1"/>
          <w:lang w:val="uk-UA"/>
        </w:rPr>
        <w:t xml:space="preserve"> </w:t>
      </w:r>
      <w:r w:rsidRPr="00FD38BE">
        <w:rPr>
          <w:rFonts w:eastAsia="Calibri"/>
          <w:kern w:val="2"/>
          <w:sz w:val="28"/>
          <w:szCs w:val="28"/>
          <w:shd w:val="clear" w:color="auto" w:fill="FFFFFF"/>
          <w:lang w:val="uk-UA" w:eastAsia="en-US"/>
        </w:rPr>
        <w:t xml:space="preserve">Про затвердження Порядку здійснення з бюджету Пенсійного фонду України видатків на виплату пенсій (щомісячного довічного грошового </w:t>
      </w:r>
      <w:r w:rsidRPr="00FD38BE">
        <w:rPr>
          <w:rFonts w:eastAsia="Calibri"/>
          <w:kern w:val="2"/>
          <w:sz w:val="28"/>
          <w:szCs w:val="28"/>
          <w:shd w:val="clear" w:color="auto" w:fill="FFFFFF"/>
          <w:lang w:val="uk-UA" w:eastAsia="en-US"/>
        </w:rPr>
        <w:lastRenderedPageBreak/>
        <w:t xml:space="preserve">утримання суддям у відставці), призначених (перерахованих) на виконання судових рішень : </w:t>
      </w:r>
      <w:r w:rsidRPr="00FD38BE">
        <w:rPr>
          <w:sz w:val="28"/>
          <w:szCs w:val="28"/>
          <w:bdr w:val="none" w:sz="0" w:space="0" w:color="auto" w:frame="1"/>
          <w:lang w:val="uk-UA"/>
        </w:rPr>
        <w:t xml:space="preserve">Постанова Кабінету Міністрів України від 14.07.2025 року № 821 // </w:t>
      </w:r>
      <w:r w:rsidRPr="00FD38BE">
        <w:rPr>
          <w:sz w:val="28"/>
          <w:szCs w:val="28"/>
          <w:bdr w:val="none" w:sz="0" w:space="0" w:color="auto" w:frame="1"/>
          <w:lang w:val="en-US"/>
        </w:rPr>
        <w:t>URL</w:t>
      </w:r>
      <w:r w:rsidRPr="00FD38BE">
        <w:rPr>
          <w:sz w:val="28"/>
          <w:szCs w:val="28"/>
          <w:bdr w:val="none" w:sz="0" w:space="0" w:color="auto" w:frame="1"/>
          <w:lang w:val="uk-UA"/>
        </w:rPr>
        <w:t xml:space="preserve">: </w:t>
      </w:r>
      <w:hyperlink r:id="rId35" w:anchor="Text" w:history="1">
        <w:r w:rsidRPr="00FD38BE">
          <w:rPr>
            <w:sz w:val="28"/>
            <w:szCs w:val="28"/>
            <w:u w:val="single"/>
            <w:bdr w:val="none" w:sz="0" w:space="0" w:color="auto" w:frame="1"/>
            <w:lang w:val="uk-UA"/>
          </w:rPr>
          <w:t>https://zakon.rada.gov.ua/laws/show/821-2025-%D0%BF#Text</w:t>
        </w:r>
      </w:hyperlink>
      <w:r w:rsidRPr="00FD38BE">
        <w:rPr>
          <w:sz w:val="28"/>
          <w:szCs w:val="28"/>
          <w:bdr w:val="none" w:sz="0" w:space="0" w:color="auto" w:frame="1"/>
          <w:lang w:val="uk-UA"/>
        </w:rPr>
        <w:t xml:space="preserve"> </w:t>
      </w:r>
      <w:r w:rsidRPr="00FD38BE">
        <w:rPr>
          <w:rFonts w:eastAsia="Calibri"/>
          <w:kern w:val="2"/>
          <w:sz w:val="28"/>
          <w:szCs w:val="28"/>
          <w:lang w:val="uk-UA" w:eastAsia="en-US"/>
        </w:rPr>
        <w:t>(дата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 xml:space="preserve"> Борг держави за пенсійними рішеннями судів сягнув 85 млрд грн: що змінила постанова Кабміну № 821 </w:t>
      </w:r>
      <w:r w:rsidRPr="00FD38BE">
        <w:rPr>
          <w:sz w:val="28"/>
          <w:szCs w:val="28"/>
        </w:rPr>
        <w:t xml:space="preserve">// </w:t>
      </w:r>
      <w:r w:rsidRPr="00FD38BE">
        <w:rPr>
          <w:sz w:val="28"/>
          <w:szCs w:val="28"/>
          <w:lang w:val="en-US"/>
        </w:rPr>
        <w:t>URL</w:t>
      </w:r>
      <w:r w:rsidRPr="00FD38BE">
        <w:rPr>
          <w:sz w:val="28"/>
          <w:szCs w:val="28"/>
          <w:lang w:val="uk-UA"/>
        </w:rPr>
        <w:t xml:space="preserve">:  </w:t>
      </w:r>
      <w:hyperlink r:id="rId36" w:anchor="google_vignette" w:history="1">
        <w:r w:rsidRPr="00FD38BE">
          <w:rPr>
            <w:sz w:val="28"/>
            <w:szCs w:val="28"/>
            <w:u w:val="single"/>
            <w:lang w:val="uk-UA"/>
          </w:rPr>
          <w:t>https://socportal.info/ua/news/borg-derzhavi-za-pensiinimi-rishennyami-sudiv-syagnuv-85-mlrd-grn-shcho-zminila-postanova-kabminu-821/#google_vignette</w:t>
        </w:r>
      </w:hyperlink>
      <w:r w:rsidRPr="00FD38BE">
        <w:rPr>
          <w:sz w:val="28"/>
          <w:szCs w:val="28"/>
          <w:lang w:val="uk-UA"/>
        </w:rPr>
        <w:t xml:space="preserve"> </w:t>
      </w:r>
      <w:r w:rsidRPr="00FD38BE">
        <w:rPr>
          <w:rFonts w:eastAsia="Calibri"/>
          <w:kern w:val="2"/>
          <w:sz w:val="28"/>
          <w:szCs w:val="28"/>
          <w:lang w:val="uk-UA" w:eastAsia="en-US"/>
        </w:rPr>
        <w:t>(дата звернення: 02.03.2026)</w:t>
      </w:r>
    </w:p>
    <w:p w:rsidR="00076275" w:rsidRPr="00FD38BE" w:rsidRDefault="00076275" w:rsidP="00076275">
      <w:pPr>
        <w:numPr>
          <w:ilvl w:val="0"/>
          <w:numId w:val="11"/>
        </w:numPr>
        <w:spacing w:line="360" w:lineRule="auto"/>
        <w:ind w:left="0" w:firstLine="709"/>
        <w:contextualSpacing/>
        <w:jc w:val="both"/>
        <w:rPr>
          <w:rFonts w:eastAsia="Calibri"/>
          <w:kern w:val="2"/>
          <w:sz w:val="28"/>
          <w:szCs w:val="28"/>
          <w:lang w:val="uk-UA" w:eastAsia="en-US"/>
        </w:rPr>
      </w:pPr>
      <w:r w:rsidRPr="00FD38BE">
        <w:rPr>
          <w:sz w:val="28"/>
          <w:szCs w:val="28"/>
          <w:lang w:val="uk-UA"/>
        </w:rPr>
        <w:t xml:space="preserve"> Кодекс адміністративного судочинства України</w:t>
      </w:r>
      <w:r w:rsidRPr="00FD38BE">
        <w:rPr>
          <w:rFonts w:eastAsia="Calibri"/>
          <w:kern w:val="2"/>
          <w:sz w:val="28"/>
          <w:szCs w:val="28"/>
          <w:lang w:val="uk-UA" w:eastAsia="en-US"/>
        </w:rPr>
        <w:t xml:space="preserve"> : Закон України від 06.07.2005 № 2747-</w:t>
      </w:r>
      <w:r w:rsidRPr="00FD38BE">
        <w:rPr>
          <w:rFonts w:eastAsia="Calibri"/>
          <w:kern w:val="2"/>
          <w:sz w:val="28"/>
          <w:szCs w:val="28"/>
          <w:lang w:eastAsia="en-US"/>
        </w:rPr>
        <w:t>IV</w:t>
      </w:r>
      <w:r w:rsidRPr="00FD38BE">
        <w:rPr>
          <w:rFonts w:eastAsia="Calibri"/>
          <w:kern w:val="2"/>
          <w:sz w:val="28"/>
          <w:szCs w:val="28"/>
          <w:lang w:val="uk-UA" w:eastAsia="en-US"/>
        </w:rPr>
        <w:t xml:space="preserve"> // </w:t>
      </w:r>
      <w:r w:rsidRPr="00FD38BE">
        <w:rPr>
          <w:rFonts w:eastAsia="Calibri"/>
          <w:i/>
          <w:iCs/>
          <w:kern w:val="2"/>
          <w:sz w:val="28"/>
          <w:szCs w:val="28"/>
          <w:lang w:val="uk-UA" w:eastAsia="en-US"/>
        </w:rPr>
        <w:t>Відомості Верховної ради України</w:t>
      </w:r>
      <w:r w:rsidRPr="00FD38BE">
        <w:rPr>
          <w:rFonts w:eastAsia="Calibri"/>
          <w:kern w:val="2"/>
          <w:sz w:val="28"/>
          <w:szCs w:val="28"/>
          <w:lang w:val="uk-UA" w:eastAsia="en-US"/>
        </w:rPr>
        <w:t xml:space="preserve">. – 2005. - № 35-36, № 37. – ст. 446. </w:t>
      </w:r>
      <w:r w:rsidRPr="00FD38BE">
        <w:rPr>
          <w:rFonts w:eastAsia="Calibri"/>
          <w:kern w:val="2"/>
          <w:sz w:val="28"/>
          <w:szCs w:val="28"/>
          <w:lang w:eastAsia="en-US"/>
        </w:rPr>
        <w:t>URL</w:t>
      </w:r>
      <w:r w:rsidRPr="00FD38BE">
        <w:rPr>
          <w:rFonts w:eastAsia="Calibri"/>
          <w:kern w:val="2"/>
          <w:sz w:val="28"/>
          <w:szCs w:val="28"/>
          <w:lang w:val="uk-UA" w:eastAsia="en-US"/>
        </w:rPr>
        <w:t>:</w:t>
      </w:r>
      <w:r w:rsidRPr="00FD38BE">
        <w:rPr>
          <w:rFonts w:eastAsia="Calibri"/>
          <w:kern w:val="2"/>
          <w:sz w:val="28"/>
          <w:szCs w:val="28"/>
          <w:lang w:eastAsia="en-US"/>
        </w:rPr>
        <w:t xml:space="preserve"> </w:t>
      </w:r>
      <w:hyperlink r:id="rId37" w:history="1">
        <w:r w:rsidRPr="00FD38BE">
          <w:rPr>
            <w:rFonts w:eastAsia="Calibri"/>
            <w:kern w:val="2"/>
            <w:sz w:val="28"/>
            <w:szCs w:val="28"/>
            <w:u w:val="single"/>
            <w:lang w:eastAsia="en-US"/>
          </w:rPr>
          <w:t>http://zakon.rada.gov.ua/laws/show/2747-15</w:t>
        </w:r>
      </w:hyperlink>
      <w:r w:rsidRPr="00FD38BE">
        <w:rPr>
          <w:rFonts w:eastAsia="Calibri"/>
          <w:kern w:val="2"/>
          <w:sz w:val="28"/>
          <w:szCs w:val="28"/>
          <w:lang w:val="uk-UA" w:eastAsia="en-US"/>
        </w:rPr>
        <w:t xml:space="preserve"> (дата звернення: 02.03.2026)</w:t>
      </w:r>
    </w:p>
    <w:p w:rsidR="00076275"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AE7C44" w:rsidRDefault="00076275" w:rsidP="00076275">
      <w:pPr>
        <w:spacing w:line="360" w:lineRule="auto"/>
        <w:jc w:val="center"/>
        <w:rPr>
          <w:b/>
          <w:sz w:val="28"/>
          <w:szCs w:val="28"/>
        </w:rPr>
      </w:pPr>
      <w:r w:rsidRPr="00AE7C44">
        <w:rPr>
          <w:b/>
          <w:sz w:val="28"/>
          <w:szCs w:val="28"/>
        </w:rPr>
        <w:t>ІСТОРИКО-ПРАВОВІ АСПЕКТИ СТАНОВЛЕННЯ КОНЦЕСІЇ ЯК ФОРМИ ПУБЛІЧНО-ПРИВАТНОГО ПАРТНЕРСТВА</w:t>
      </w:r>
    </w:p>
    <w:p w:rsidR="00076275" w:rsidRPr="00AE7C44" w:rsidRDefault="00076275" w:rsidP="00076275">
      <w:pPr>
        <w:spacing w:line="360" w:lineRule="auto"/>
        <w:jc w:val="center"/>
        <w:rPr>
          <w:b/>
          <w:i/>
          <w:sz w:val="28"/>
          <w:szCs w:val="28"/>
        </w:rPr>
      </w:pPr>
      <w:r w:rsidRPr="00AE7C44">
        <w:rPr>
          <w:b/>
          <w:i/>
          <w:sz w:val="28"/>
          <w:szCs w:val="28"/>
        </w:rPr>
        <w:t>Зайцев Є.О.</w:t>
      </w:r>
    </w:p>
    <w:p w:rsidR="00076275" w:rsidRPr="00FB777D" w:rsidRDefault="00076275" w:rsidP="00076275">
      <w:pPr>
        <w:spacing w:line="360" w:lineRule="auto"/>
        <w:jc w:val="center"/>
        <w:rPr>
          <w:i/>
          <w:sz w:val="28"/>
          <w:szCs w:val="28"/>
        </w:rPr>
      </w:pPr>
      <w:r w:rsidRPr="00FB777D">
        <w:rPr>
          <w:i/>
          <w:sz w:val="28"/>
          <w:szCs w:val="28"/>
        </w:rPr>
        <w:t xml:space="preserve">аспірант кафедри </w:t>
      </w:r>
      <w:r>
        <w:rPr>
          <w:i/>
          <w:sz w:val="28"/>
          <w:szCs w:val="28"/>
        </w:rPr>
        <w:t>державно-правових дисциплін</w:t>
      </w:r>
    </w:p>
    <w:p w:rsidR="00076275" w:rsidRDefault="00076275" w:rsidP="00076275">
      <w:pPr>
        <w:spacing w:line="360" w:lineRule="auto"/>
        <w:jc w:val="center"/>
        <w:rPr>
          <w:i/>
          <w:sz w:val="28"/>
          <w:szCs w:val="28"/>
        </w:rPr>
      </w:pPr>
      <w:r w:rsidRPr="00374583">
        <w:rPr>
          <w:i/>
          <w:sz w:val="28"/>
          <w:szCs w:val="28"/>
        </w:rPr>
        <w:t xml:space="preserve">Міжнародний </w:t>
      </w:r>
      <w:r>
        <w:rPr>
          <w:i/>
          <w:sz w:val="28"/>
          <w:szCs w:val="28"/>
        </w:rPr>
        <w:t>університет</w:t>
      </w:r>
    </w:p>
    <w:p w:rsidR="00076275" w:rsidRDefault="00076275" w:rsidP="00076275">
      <w:pPr>
        <w:spacing w:line="360" w:lineRule="auto"/>
        <w:jc w:val="center"/>
        <w:rPr>
          <w:b/>
          <w:bCs/>
          <w:sz w:val="28"/>
          <w:szCs w:val="28"/>
        </w:rPr>
      </w:pPr>
      <w:r>
        <w:rPr>
          <w:i/>
          <w:sz w:val="28"/>
          <w:szCs w:val="28"/>
        </w:rPr>
        <w:t>м. Одеса, Україна</w:t>
      </w:r>
      <w:r w:rsidRPr="00A84907">
        <w:rPr>
          <w:b/>
          <w:bCs/>
          <w:sz w:val="28"/>
          <w:szCs w:val="28"/>
        </w:rPr>
        <w:t xml:space="preserve"> </w:t>
      </w:r>
    </w:p>
    <w:p w:rsidR="00076275" w:rsidRPr="00B03EDA" w:rsidRDefault="00076275" w:rsidP="00076275">
      <w:pPr>
        <w:spacing w:line="360" w:lineRule="auto"/>
        <w:ind w:firstLine="567"/>
        <w:jc w:val="both"/>
        <w:rPr>
          <w:sz w:val="28"/>
          <w:szCs w:val="28"/>
        </w:rPr>
      </w:pPr>
      <w:r>
        <w:rPr>
          <w:sz w:val="28"/>
          <w:szCs w:val="28"/>
        </w:rPr>
        <w:t xml:space="preserve">Публічно-приватне партнерство як особлива форма співробітництва між державою та приватним сектором має глибоке коріння. Перші відомі протоформи публічно-приватного партнерства (далі по тексту – ПП партнерства, ППП) функціонували ще у </w:t>
      </w:r>
      <w:r>
        <w:rPr>
          <w:sz w:val="28"/>
          <w:szCs w:val="28"/>
          <w:lang w:val="en-US"/>
        </w:rPr>
        <w:t>VI</w:t>
      </w:r>
      <w:r>
        <w:rPr>
          <w:sz w:val="28"/>
          <w:szCs w:val="28"/>
        </w:rPr>
        <w:t xml:space="preserve"> ст. до нашої ери (далі по тексту – до н.е.). </w:t>
      </w:r>
    </w:p>
    <w:p w:rsidR="00076275" w:rsidRDefault="00076275" w:rsidP="00076275">
      <w:pPr>
        <w:spacing w:line="360" w:lineRule="auto"/>
        <w:ind w:firstLine="567"/>
        <w:jc w:val="both"/>
        <w:rPr>
          <w:sz w:val="28"/>
          <w:szCs w:val="28"/>
        </w:rPr>
      </w:pPr>
      <w:r>
        <w:rPr>
          <w:sz w:val="28"/>
          <w:szCs w:val="28"/>
        </w:rPr>
        <w:t xml:space="preserve">Найпершою відомою людству протоформою ПП партнерства є відкуп, який, як зазначає О.Л. Марін, існував у Персії (559-330 рр. до н.е.), Єгипті (з </w:t>
      </w:r>
      <w:r>
        <w:rPr>
          <w:sz w:val="28"/>
          <w:szCs w:val="28"/>
          <w:lang w:val="en-US"/>
        </w:rPr>
        <w:t>VI</w:t>
      </w:r>
      <w:r>
        <w:rPr>
          <w:sz w:val="28"/>
          <w:szCs w:val="28"/>
        </w:rPr>
        <w:t xml:space="preserve"> ст. до н.е.), Греції (</w:t>
      </w:r>
      <w:r>
        <w:rPr>
          <w:sz w:val="28"/>
          <w:szCs w:val="28"/>
          <w:lang w:val="en-US"/>
        </w:rPr>
        <w:t>VI</w:t>
      </w:r>
      <w:r>
        <w:rPr>
          <w:sz w:val="28"/>
          <w:szCs w:val="28"/>
        </w:rPr>
        <w:t xml:space="preserve"> ст. до н.е.). У середні віки (з ХІІІ ст.) існували відкупи у Франції, Голандії, Іспанії, Англії. У США на стику ХІХ-ХХ століть існували відкупи для стягнення податкових недоїмок. Відомо про митні, соляні, винні відкупи на території нинішньої України, які виникли у Х</w:t>
      </w:r>
      <w:r>
        <w:rPr>
          <w:sz w:val="28"/>
          <w:szCs w:val="28"/>
          <w:lang w:val="en-US"/>
        </w:rPr>
        <w:t>V</w:t>
      </w:r>
      <w:r>
        <w:rPr>
          <w:sz w:val="28"/>
          <w:szCs w:val="28"/>
        </w:rPr>
        <w:t xml:space="preserve">І ст. та зросли в </w:t>
      </w:r>
      <w:r>
        <w:rPr>
          <w:sz w:val="28"/>
          <w:szCs w:val="28"/>
        </w:rPr>
        <w:lastRenderedPageBreak/>
        <w:t>Х</w:t>
      </w:r>
      <w:r>
        <w:rPr>
          <w:sz w:val="28"/>
          <w:szCs w:val="28"/>
          <w:lang w:val="en-US"/>
        </w:rPr>
        <w:t>V</w:t>
      </w:r>
      <w:r>
        <w:rPr>
          <w:sz w:val="28"/>
          <w:szCs w:val="28"/>
        </w:rPr>
        <w:t xml:space="preserve">ІІІ-ХІХ ст., забезпечивши надходження в казну від питного податку на рівні 40% всіх податків </w:t>
      </w:r>
      <w:r w:rsidRPr="00A4110A">
        <w:rPr>
          <w:sz w:val="28"/>
          <w:szCs w:val="28"/>
        </w:rPr>
        <w:t>[1]</w:t>
      </w:r>
      <w:r>
        <w:rPr>
          <w:sz w:val="28"/>
          <w:szCs w:val="28"/>
        </w:rPr>
        <w:t>.</w:t>
      </w:r>
    </w:p>
    <w:p w:rsidR="00076275" w:rsidRDefault="00076275" w:rsidP="00076275">
      <w:pPr>
        <w:spacing w:line="360" w:lineRule="auto"/>
        <w:ind w:firstLine="567"/>
        <w:jc w:val="both"/>
        <w:rPr>
          <w:sz w:val="28"/>
          <w:szCs w:val="28"/>
        </w:rPr>
      </w:pPr>
      <w:r>
        <w:rPr>
          <w:sz w:val="28"/>
          <w:szCs w:val="28"/>
        </w:rPr>
        <w:t>Загалом відкуп став одним із перших способів безпосередньої взаємодії держави (або державоподібних утворень, що існували до нашої ери) та приватних субʼєктів з метою задоволення потреб держави та суспільства. Економічною основою відкупів є спільна реалізація економічного інтересу у вигляді одержання прибутку приватним сектором та реалізація потреби держави у вигляді наповнення бюджету за рахунок залучення ресурсів обох сторін. Держава, маючи ресурс у вигляді обʼєкта відкупу, передає його в управління (користування або розпорядження) приватному субʼєкту, який має ресурси у вигляді часу, персоналу, інфраструктури. Як наслідок, держава, не здійснюючи жодних дій з обʼєктом відкупу, одержує фінансову вигоду за рахунок залучення приватної сторони, а приватна сторона одержує можливість розвитку фінансової діяльності та прибуток, частина з якого відходить державі.</w:t>
      </w:r>
    </w:p>
    <w:p w:rsidR="00076275" w:rsidRDefault="00076275" w:rsidP="00076275">
      <w:pPr>
        <w:spacing w:line="360" w:lineRule="auto"/>
        <w:ind w:firstLine="567"/>
        <w:jc w:val="both"/>
        <w:rPr>
          <w:sz w:val="28"/>
          <w:szCs w:val="28"/>
        </w:rPr>
      </w:pPr>
      <w:r>
        <w:rPr>
          <w:sz w:val="28"/>
          <w:szCs w:val="28"/>
        </w:rPr>
        <w:t xml:space="preserve">Не зважаючи на плин часу, модель та основна ідея ПП партнерства залишилися незмінними – одержання спільної вигоди державою та приватним сектором за допомогою спільних зусиль. </w:t>
      </w:r>
    </w:p>
    <w:p w:rsidR="00076275" w:rsidRDefault="00076275" w:rsidP="00076275">
      <w:pPr>
        <w:spacing w:line="360" w:lineRule="auto"/>
        <w:ind w:firstLine="567"/>
        <w:jc w:val="both"/>
        <w:rPr>
          <w:sz w:val="28"/>
          <w:szCs w:val="28"/>
        </w:rPr>
      </w:pPr>
      <w:r>
        <w:rPr>
          <w:sz w:val="28"/>
          <w:szCs w:val="28"/>
        </w:rPr>
        <w:t xml:space="preserve">Особливою, незвичною протоформою ПП партнерства є концесія, яка і сьогодні є популярним способом взаємодії держави та приватних субʼєктів. Як відмічає О.Л. Марін, вперше концесії виникли в </w:t>
      </w:r>
      <w:r>
        <w:rPr>
          <w:sz w:val="28"/>
          <w:szCs w:val="28"/>
          <w:lang w:val="en-US"/>
        </w:rPr>
        <w:t>XVII</w:t>
      </w:r>
      <w:r>
        <w:rPr>
          <w:sz w:val="28"/>
          <w:szCs w:val="28"/>
        </w:rPr>
        <w:t xml:space="preserve"> ст. в Англії, США та Франції</w:t>
      </w:r>
      <w:r w:rsidRPr="00A4110A">
        <w:rPr>
          <w:sz w:val="28"/>
          <w:szCs w:val="28"/>
        </w:rPr>
        <w:t xml:space="preserve"> [1]</w:t>
      </w:r>
      <w:r>
        <w:rPr>
          <w:sz w:val="28"/>
          <w:szCs w:val="28"/>
        </w:rPr>
        <w:t>.</w:t>
      </w:r>
    </w:p>
    <w:p w:rsidR="00076275" w:rsidRDefault="00076275" w:rsidP="00076275">
      <w:pPr>
        <w:spacing w:line="360" w:lineRule="auto"/>
        <w:ind w:firstLine="567"/>
        <w:jc w:val="both"/>
        <w:rPr>
          <w:sz w:val="28"/>
          <w:szCs w:val="28"/>
        </w:rPr>
      </w:pPr>
      <w:r>
        <w:rPr>
          <w:sz w:val="28"/>
          <w:szCs w:val="28"/>
        </w:rPr>
        <w:t xml:space="preserve">Економічною основою концесійних відносин є спільне втілення економічного інтересу представників приватного сектору (концесіонерів) та потреби держави у галузі будівництва виробничої інфраструктури шляхом поєднання зусиль держави та приватного сектору. Економічна модель взаємодії сторін концесійних відносин полягає в наступному. Держава, маючи у володінні обʼєкт концесії, та не маючи ресурсів для самостійної його побудови, вдосконалення, функціонування тощо, залучає представника приватного сектору, який має фінансову та управлінську спроможність забезпечити будівництво, реконструкцію та/або стале функціонування обʼєкта концесії. Обʼєкт концесії за рахунок залучення фінансових інвестицій концесіонера </w:t>
      </w:r>
      <w:r>
        <w:rPr>
          <w:sz w:val="28"/>
          <w:szCs w:val="28"/>
        </w:rPr>
        <w:lastRenderedPageBreak/>
        <w:t>починає та/або вдосконалює надання послуг, здійснення робіт або товарів споживачу, який сплачує концесіонеру плату за товари, роботи, послуги, за рахунок яких концесіонер здійснює компенсаційні та концесійні виплати державі, у володінні якої знаходиться обʼєкт концесії.</w:t>
      </w:r>
    </w:p>
    <w:p w:rsidR="00076275" w:rsidRDefault="00076275" w:rsidP="00076275">
      <w:pPr>
        <w:spacing w:line="360" w:lineRule="auto"/>
        <w:ind w:firstLine="567"/>
        <w:jc w:val="both"/>
        <w:rPr>
          <w:sz w:val="28"/>
          <w:szCs w:val="28"/>
        </w:rPr>
      </w:pPr>
      <w:r>
        <w:rPr>
          <w:sz w:val="28"/>
          <w:szCs w:val="28"/>
        </w:rPr>
        <w:t>Першими відомими концесіями стали освоєння корисних копалин в Іспанії в 1256 році, видобуття нафти з медичною метою в Італії в 1400 році та будівництво каналу у Франції в 1554 році. Окреслені проекти виникли у формі договору між державою та приватними інвесторами для залучення їх фінансових ресурсів у розвиток економіки держави, при якому інвесторам надавалось довгострокове користування майном, що належало до державної або муніципальної власності, або надавалось монопольне право на здійснення певного виду діяльності.</w:t>
      </w:r>
    </w:p>
    <w:p w:rsidR="00076275" w:rsidRDefault="00076275" w:rsidP="00076275">
      <w:pPr>
        <w:spacing w:line="360" w:lineRule="auto"/>
        <w:ind w:firstLine="567"/>
        <w:jc w:val="both"/>
        <w:rPr>
          <w:sz w:val="28"/>
          <w:szCs w:val="28"/>
        </w:rPr>
      </w:pPr>
      <w:r>
        <w:rPr>
          <w:sz w:val="28"/>
          <w:szCs w:val="28"/>
        </w:rPr>
        <w:t>Концесія як форма співробітництва набула поширення на теренах Європи на початку ХІ</w:t>
      </w:r>
      <w:proofErr w:type="gramStart"/>
      <w:r>
        <w:rPr>
          <w:sz w:val="28"/>
          <w:szCs w:val="28"/>
        </w:rPr>
        <w:t>Х</w:t>
      </w:r>
      <w:proofErr w:type="gramEnd"/>
      <w:r>
        <w:rPr>
          <w:sz w:val="28"/>
          <w:szCs w:val="28"/>
        </w:rPr>
        <w:t xml:space="preserve"> ст. у галузі міського та муніципального господарств, а також у сфері монопольної власності держави. Особливої популярності набули концесійні договори щодо будівництва та реконструкції у галузі транспорту. Кожна країна Європи мала власну специфіку розвитку концесії. Територія України також не залишилася осторонь всесвітньої тенденції, націленої на залучення приватних субʼєктів на концесійній основі до реалізації різноманітних проектів.</w:t>
      </w:r>
    </w:p>
    <w:p w:rsidR="00076275" w:rsidRDefault="00076275" w:rsidP="00076275">
      <w:pPr>
        <w:spacing w:line="360" w:lineRule="auto"/>
        <w:ind w:firstLine="567"/>
        <w:jc w:val="both"/>
        <w:rPr>
          <w:sz w:val="28"/>
          <w:szCs w:val="28"/>
        </w:rPr>
      </w:pPr>
      <w:r>
        <w:rPr>
          <w:sz w:val="28"/>
          <w:szCs w:val="28"/>
        </w:rPr>
        <w:t>Наприклад, у</w:t>
      </w:r>
      <w:r w:rsidRPr="003331F3">
        <w:rPr>
          <w:sz w:val="28"/>
          <w:szCs w:val="28"/>
        </w:rPr>
        <w:t xml:space="preserve"> Києві в приватні руки було передано будівництво центрального</w:t>
      </w:r>
      <w:r>
        <w:rPr>
          <w:sz w:val="28"/>
          <w:szCs w:val="28"/>
        </w:rPr>
        <w:t xml:space="preserve"> </w:t>
      </w:r>
      <w:r w:rsidRPr="003331F3">
        <w:rPr>
          <w:sz w:val="28"/>
          <w:szCs w:val="28"/>
        </w:rPr>
        <w:t xml:space="preserve">водогону, </w:t>
      </w:r>
      <w:r>
        <w:rPr>
          <w:sz w:val="28"/>
          <w:szCs w:val="28"/>
        </w:rPr>
        <w:t xml:space="preserve">яке </w:t>
      </w:r>
      <w:r w:rsidRPr="003331F3">
        <w:rPr>
          <w:sz w:val="28"/>
          <w:szCs w:val="28"/>
        </w:rPr>
        <w:t>тривало з 1870 по 1872 рр. (договір між Міською Думою та А.Є.Струве), а у 1917</w:t>
      </w:r>
      <w:r>
        <w:rPr>
          <w:sz w:val="28"/>
          <w:szCs w:val="28"/>
        </w:rPr>
        <w:t xml:space="preserve"> </w:t>
      </w:r>
      <w:r w:rsidRPr="003331F3">
        <w:rPr>
          <w:sz w:val="28"/>
          <w:szCs w:val="28"/>
        </w:rPr>
        <w:t>р. концесія була викуплена міською адміністрацією [</w:t>
      </w:r>
      <w:r w:rsidRPr="00140FE4">
        <w:rPr>
          <w:sz w:val="28"/>
          <w:szCs w:val="28"/>
        </w:rPr>
        <w:t>2</w:t>
      </w:r>
      <w:r w:rsidRPr="003331F3">
        <w:rPr>
          <w:sz w:val="28"/>
          <w:szCs w:val="28"/>
        </w:rPr>
        <w:t xml:space="preserve">]. </w:t>
      </w:r>
      <w:r>
        <w:rPr>
          <w:sz w:val="28"/>
          <w:szCs w:val="28"/>
        </w:rPr>
        <w:t>Разом з тим, не лише у Києві концесія набула популярності. Приміром, у</w:t>
      </w:r>
      <w:r w:rsidRPr="003331F3">
        <w:rPr>
          <w:sz w:val="28"/>
          <w:szCs w:val="28"/>
        </w:rPr>
        <w:t xml:space="preserve"> Харкові бельгійські підприємці</w:t>
      </w:r>
      <w:r>
        <w:rPr>
          <w:sz w:val="28"/>
          <w:szCs w:val="28"/>
        </w:rPr>
        <w:t xml:space="preserve"> </w:t>
      </w:r>
      <w:r w:rsidRPr="003331F3">
        <w:rPr>
          <w:sz w:val="28"/>
          <w:szCs w:val="28"/>
        </w:rPr>
        <w:t>отримали в концесію будівництво та експлуатацію кінної залізниці. Вона була запущена у</w:t>
      </w:r>
      <w:r>
        <w:rPr>
          <w:sz w:val="28"/>
          <w:szCs w:val="28"/>
        </w:rPr>
        <w:t xml:space="preserve"> </w:t>
      </w:r>
      <w:r w:rsidRPr="003331F3">
        <w:rPr>
          <w:sz w:val="28"/>
          <w:szCs w:val="28"/>
        </w:rPr>
        <w:t>1882 р., але конфлікт між концесіонером та міською владою призвів до закриття проекту</w:t>
      </w:r>
      <w:r>
        <w:rPr>
          <w:sz w:val="28"/>
          <w:szCs w:val="28"/>
        </w:rPr>
        <w:t xml:space="preserve"> </w:t>
      </w:r>
      <w:r w:rsidRPr="003331F3">
        <w:rPr>
          <w:sz w:val="28"/>
          <w:szCs w:val="28"/>
        </w:rPr>
        <w:t>[</w:t>
      </w:r>
      <w:r w:rsidRPr="00904979">
        <w:rPr>
          <w:sz w:val="28"/>
          <w:szCs w:val="28"/>
        </w:rPr>
        <w:t>3</w:t>
      </w:r>
      <w:r w:rsidRPr="003331F3">
        <w:rPr>
          <w:sz w:val="28"/>
          <w:szCs w:val="28"/>
        </w:rPr>
        <w:t xml:space="preserve">]. </w:t>
      </w:r>
      <w:r>
        <w:rPr>
          <w:sz w:val="28"/>
          <w:szCs w:val="28"/>
        </w:rPr>
        <w:t>Також у Харкові</w:t>
      </w:r>
      <w:r w:rsidRPr="003331F3">
        <w:rPr>
          <w:sz w:val="28"/>
          <w:szCs w:val="28"/>
        </w:rPr>
        <w:t xml:space="preserve"> на концесійній основі у 1881 р. було побудовано водогін, але завершилась ця</w:t>
      </w:r>
      <w:r>
        <w:rPr>
          <w:sz w:val="28"/>
          <w:szCs w:val="28"/>
        </w:rPr>
        <w:t xml:space="preserve"> </w:t>
      </w:r>
      <w:r w:rsidRPr="003331F3">
        <w:rPr>
          <w:sz w:val="28"/>
          <w:szCs w:val="28"/>
        </w:rPr>
        <w:t>концесійна історія судовим процесом [</w:t>
      </w:r>
      <w:r w:rsidRPr="00904979">
        <w:rPr>
          <w:sz w:val="28"/>
          <w:szCs w:val="28"/>
        </w:rPr>
        <w:t xml:space="preserve">4, </w:t>
      </w:r>
      <w:r>
        <w:rPr>
          <w:sz w:val="28"/>
          <w:szCs w:val="28"/>
          <w:lang w:val="en-US"/>
        </w:rPr>
        <w:t>c</w:t>
      </w:r>
      <w:r w:rsidRPr="00904979">
        <w:rPr>
          <w:sz w:val="28"/>
          <w:szCs w:val="28"/>
        </w:rPr>
        <w:t>. 66</w:t>
      </w:r>
      <w:r w:rsidRPr="003331F3">
        <w:rPr>
          <w:sz w:val="28"/>
          <w:szCs w:val="28"/>
        </w:rPr>
        <w:t>].</w:t>
      </w:r>
      <w:r>
        <w:rPr>
          <w:sz w:val="28"/>
          <w:szCs w:val="28"/>
        </w:rPr>
        <w:t xml:space="preserve"> Надалі, в</w:t>
      </w:r>
      <w:r w:rsidRPr="003331F3">
        <w:rPr>
          <w:sz w:val="28"/>
          <w:szCs w:val="28"/>
        </w:rPr>
        <w:t>далим прикладом співпраці</w:t>
      </w:r>
      <w:r>
        <w:rPr>
          <w:sz w:val="28"/>
          <w:szCs w:val="28"/>
        </w:rPr>
        <w:t xml:space="preserve"> </w:t>
      </w:r>
      <w:r w:rsidRPr="003331F3">
        <w:rPr>
          <w:sz w:val="28"/>
          <w:szCs w:val="28"/>
        </w:rPr>
        <w:t>концесіонерів з радянським урядом в Україні стало змішане товариство «Нова Баварія» у</w:t>
      </w:r>
      <w:r>
        <w:rPr>
          <w:sz w:val="28"/>
          <w:szCs w:val="28"/>
        </w:rPr>
        <w:t xml:space="preserve"> </w:t>
      </w:r>
      <w:r w:rsidRPr="003331F3">
        <w:rPr>
          <w:sz w:val="28"/>
          <w:szCs w:val="28"/>
        </w:rPr>
        <w:t xml:space="preserve">Харкові. Засновниками стали Харківська </w:t>
      </w:r>
      <w:r w:rsidRPr="003331F3">
        <w:rPr>
          <w:sz w:val="28"/>
          <w:szCs w:val="28"/>
        </w:rPr>
        <w:lastRenderedPageBreak/>
        <w:t>губернська рада та естонський громадянин</w:t>
      </w:r>
      <w:r>
        <w:rPr>
          <w:sz w:val="28"/>
          <w:szCs w:val="28"/>
        </w:rPr>
        <w:t xml:space="preserve"> </w:t>
      </w:r>
      <w:r w:rsidRPr="003331F3">
        <w:rPr>
          <w:sz w:val="28"/>
          <w:szCs w:val="28"/>
        </w:rPr>
        <w:t>І. Окман [</w:t>
      </w:r>
      <w:r w:rsidRPr="00904979">
        <w:rPr>
          <w:sz w:val="28"/>
          <w:szCs w:val="28"/>
        </w:rPr>
        <w:t xml:space="preserve">4, </w:t>
      </w:r>
      <w:r>
        <w:rPr>
          <w:sz w:val="28"/>
          <w:szCs w:val="28"/>
          <w:lang w:val="en-US"/>
        </w:rPr>
        <w:t>c</w:t>
      </w:r>
      <w:r w:rsidRPr="00904979">
        <w:rPr>
          <w:sz w:val="28"/>
          <w:szCs w:val="28"/>
        </w:rPr>
        <w:t>. 66</w:t>
      </w:r>
      <w:r w:rsidRPr="003331F3">
        <w:rPr>
          <w:sz w:val="28"/>
          <w:szCs w:val="28"/>
        </w:rPr>
        <w:t>]. У 1923 р. на підприємствах товариства працювало більше 400 робітників, а</w:t>
      </w:r>
      <w:r>
        <w:rPr>
          <w:sz w:val="28"/>
          <w:szCs w:val="28"/>
        </w:rPr>
        <w:t xml:space="preserve"> </w:t>
      </w:r>
      <w:r w:rsidRPr="003331F3">
        <w:rPr>
          <w:sz w:val="28"/>
          <w:szCs w:val="28"/>
        </w:rPr>
        <w:t>продуктивність праці була вищою за продуктивність на державних підприємствах [</w:t>
      </w:r>
      <w:r w:rsidRPr="00904979">
        <w:rPr>
          <w:sz w:val="28"/>
          <w:szCs w:val="28"/>
        </w:rPr>
        <w:t xml:space="preserve">4, </w:t>
      </w:r>
      <w:r>
        <w:rPr>
          <w:sz w:val="28"/>
          <w:szCs w:val="28"/>
          <w:lang w:val="en-US"/>
        </w:rPr>
        <w:t>c</w:t>
      </w:r>
      <w:r w:rsidRPr="00904979">
        <w:rPr>
          <w:sz w:val="28"/>
          <w:szCs w:val="28"/>
        </w:rPr>
        <w:t>. 67</w:t>
      </w:r>
      <w:r w:rsidRPr="003331F3">
        <w:rPr>
          <w:sz w:val="28"/>
          <w:szCs w:val="28"/>
        </w:rPr>
        <w:t>]. Але</w:t>
      </w:r>
      <w:r>
        <w:rPr>
          <w:sz w:val="28"/>
          <w:szCs w:val="28"/>
        </w:rPr>
        <w:t xml:space="preserve"> </w:t>
      </w:r>
      <w:r w:rsidRPr="003331F3">
        <w:rPr>
          <w:sz w:val="28"/>
          <w:szCs w:val="28"/>
        </w:rPr>
        <w:t>концесія була ліквідована вже у 1924 р., приводом стали проблеми на ленінградських</w:t>
      </w:r>
      <w:r>
        <w:rPr>
          <w:sz w:val="28"/>
          <w:szCs w:val="28"/>
        </w:rPr>
        <w:t xml:space="preserve"> </w:t>
      </w:r>
      <w:r w:rsidRPr="003331F3">
        <w:rPr>
          <w:sz w:val="28"/>
          <w:szCs w:val="28"/>
        </w:rPr>
        <w:t>підприємствах І. Окмана [</w:t>
      </w:r>
      <w:r w:rsidRPr="00904979">
        <w:rPr>
          <w:sz w:val="28"/>
          <w:szCs w:val="28"/>
        </w:rPr>
        <w:t xml:space="preserve">4, </w:t>
      </w:r>
      <w:r>
        <w:rPr>
          <w:sz w:val="28"/>
          <w:szCs w:val="28"/>
          <w:lang w:val="en-US"/>
        </w:rPr>
        <w:t>c</w:t>
      </w:r>
      <w:r w:rsidRPr="00904979">
        <w:rPr>
          <w:sz w:val="28"/>
          <w:szCs w:val="28"/>
        </w:rPr>
        <w:t>. 68</w:t>
      </w:r>
      <w:r w:rsidRPr="003331F3">
        <w:rPr>
          <w:sz w:val="28"/>
          <w:szCs w:val="28"/>
        </w:rPr>
        <w:t>].</w:t>
      </w:r>
    </w:p>
    <w:p w:rsidR="00076275" w:rsidRDefault="00076275" w:rsidP="00076275">
      <w:pPr>
        <w:tabs>
          <w:tab w:val="left" w:pos="142"/>
        </w:tabs>
        <w:spacing w:line="360" w:lineRule="auto"/>
        <w:ind w:firstLine="709"/>
        <w:jc w:val="both"/>
        <w:rPr>
          <w:kern w:val="28"/>
          <w:sz w:val="28"/>
          <w:szCs w:val="28"/>
          <w:lang w:eastAsia="uk-UA"/>
        </w:rPr>
      </w:pPr>
      <w:r>
        <w:rPr>
          <w:kern w:val="28"/>
          <w:sz w:val="28"/>
          <w:szCs w:val="28"/>
          <w:lang w:eastAsia="uk-UA"/>
        </w:rPr>
        <w:t xml:space="preserve">Сьогодні, основоположним нормативно-правовим актом, що здійснює правову регламентацію у сфері публічно-приватного партнерства в Україні є Закон України «Про публічно-приватне партнерство» </w:t>
      </w:r>
      <w:r w:rsidRPr="00296775">
        <w:rPr>
          <w:kern w:val="28"/>
          <w:sz w:val="28"/>
          <w:szCs w:val="28"/>
          <w:lang w:eastAsia="uk-UA"/>
        </w:rPr>
        <w:t>від 19.06.2025 № 4510-IX</w:t>
      </w:r>
      <w:r>
        <w:rPr>
          <w:kern w:val="28"/>
          <w:sz w:val="28"/>
          <w:szCs w:val="28"/>
          <w:lang w:eastAsia="uk-UA"/>
        </w:rPr>
        <w:t xml:space="preserve"> </w:t>
      </w:r>
      <w:r w:rsidRPr="00AB213F">
        <w:rPr>
          <w:kern w:val="28"/>
          <w:sz w:val="28"/>
          <w:szCs w:val="28"/>
          <w:lang w:eastAsia="uk-UA"/>
        </w:rPr>
        <w:t>[5]</w:t>
      </w:r>
      <w:r>
        <w:rPr>
          <w:kern w:val="28"/>
          <w:sz w:val="28"/>
          <w:szCs w:val="28"/>
          <w:lang w:eastAsia="uk-UA"/>
        </w:rPr>
        <w:t xml:space="preserve">. </w:t>
      </w:r>
    </w:p>
    <w:p w:rsidR="00076275" w:rsidRDefault="00076275" w:rsidP="00076275">
      <w:pPr>
        <w:tabs>
          <w:tab w:val="left" w:pos="142"/>
        </w:tabs>
        <w:spacing w:line="360" w:lineRule="auto"/>
        <w:ind w:firstLine="709"/>
        <w:jc w:val="both"/>
        <w:rPr>
          <w:kern w:val="28"/>
          <w:sz w:val="28"/>
          <w:szCs w:val="28"/>
          <w:lang w:eastAsia="uk-UA"/>
        </w:rPr>
      </w:pPr>
      <w:r>
        <w:rPr>
          <w:kern w:val="28"/>
          <w:sz w:val="28"/>
          <w:szCs w:val="28"/>
          <w:lang w:eastAsia="uk-UA"/>
        </w:rPr>
        <w:t>П</w:t>
      </w:r>
      <w:r w:rsidRPr="001B25D8">
        <w:rPr>
          <w:kern w:val="28"/>
          <w:sz w:val="28"/>
          <w:szCs w:val="28"/>
          <w:lang w:eastAsia="uk-UA"/>
        </w:rPr>
        <w:t>равові, фінансові та організаційні засади реалізації проектів, що з</w:t>
      </w:r>
      <w:r>
        <w:rPr>
          <w:kern w:val="28"/>
          <w:sz w:val="28"/>
          <w:szCs w:val="28"/>
          <w:lang w:eastAsia="uk-UA"/>
        </w:rPr>
        <w:t xml:space="preserve">дійснюються на умовах концесії визначаються Законом України «Про концесію» (далі – Закон </w:t>
      </w:r>
      <w:r w:rsidRPr="001B25D8">
        <w:rPr>
          <w:kern w:val="28"/>
          <w:sz w:val="28"/>
          <w:szCs w:val="28"/>
          <w:lang w:eastAsia="uk-UA"/>
        </w:rPr>
        <w:t>№ 155-IX</w:t>
      </w:r>
      <w:r w:rsidRPr="00AB213F">
        <w:rPr>
          <w:kern w:val="28"/>
          <w:sz w:val="28"/>
          <w:szCs w:val="28"/>
          <w:lang w:eastAsia="uk-UA"/>
        </w:rPr>
        <w:t>) [6].</w:t>
      </w:r>
    </w:p>
    <w:p w:rsidR="00076275" w:rsidRPr="00AB213F" w:rsidRDefault="00076275" w:rsidP="00076275">
      <w:pPr>
        <w:tabs>
          <w:tab w:val="left" w:pos="142"/>
        </w:tabs>
        <w:spacing w:line="360" w:lineRule="auto"/>
        <w:ind w:firstLine="567"/>
        <w:jc w:val="both"/>
        <w:rPr>
          <w:kern w:val="28"/>
          <w:sz w:val="28"/>
          <w:szCs w:val="28"/>
          <w:lang w:eastAsia="uk-UA"/>
        </w:rPr>
      </w:pPr>
      <w:r>
        <w:rPr>
          <w:kern w:val="28"/>
          <w:sz w:val="28"/>
          <w:szCs w:val="28"/>
          <w:lang w:eastAsia="uk-UA"/>
        </w:rPr>
        <w:t xml:space="preserve">Пунктом 25 статті 1 Закону </w:t>
      </w:r>
      <w:r w:rsidRPr="001B25D8">
        <w:rPr>
          <w:kern w:val="28"/>
          <w:sz w:val="28"/>
          <w:szCs w:val="28"/>
          <w:lang w:eastAsia="uk-UA"/>
        </w:rPr>
        <w:t>№ 155-IX</w:t>
      </w:r>
      <w:r>
        <w:rPr>
          <w:kern w:val="28"/>
          <w:sz w:val="28"/>
          <w:szCs w:val="28"/>
          <w:lang w:eastAsia="uk-UA"/>
        </w:rPr>
        <w:t xml:space="preserve"> визначено, що  концесія – це </w:t>
      </w:r>
      <w:r w:rsidRPr="00663148">
        <w:rPr>
          <w:kern w:val="28"/>
          <w:sz w:val="28"/>
          <w:szCs w:val="28"/>
          <w:lang w:eastAsia="uk-UA"/>
        </w:rPr>
        <w:t>форма здійснення публічно-приватного партнерства, що передбачає взяття та виконання концесіонером перед концесієдавцем обов’язку щодо фінансування (повного або часткового) робіт із створення та/або будівництва (нове будівництво, реконструкція, реставрація, капітальний ремонт, технічне переоснащення), та/або технічного обслуговування об’єкта концесії, з передачею концесіонеру як винагороди права на управління та/або експлуатацію об’єкта концесії та на надання суспільно значущих послуг, у порядку та на умовах, визначених концесійним договором, а також передбачає передачу концесіонеру переважної частини операційного ризику</w:t>
      </w:r>
      <w:r>
        <w:rPr>
          <w:kern w:val="28"/>
          <w:sz w:val="28"/>
          <w:szCs w:val="28"/>
          <w:lang w:eastAsia="uk-UA"/>
        </w:rPr>
        <w:t>.</w:t>
      </w:r>
    </w:p>
    <w:p w:rsidR="00076275" w:rsidRDefault="00076275" w:rsidP="00076275">
      <w:pPr>
        <w:spacing w:line="360" w:lineRule="auto"/>
        <w:ind w:firstLine="567"/>
        <w:jc w:val="both"/>
        <w:rPr>
          <w:sz w:val="28"/>
          <w:szCs w:val="28"/>
        </w:rPr>
      </w:pPr>
      <w:r>
        <w:rPr>
          <w:sz w:val="28"/>
          <w:szCs w:val="28"/>
        </w:rPr>
        <w:t xml:space="preserve">Оновлене законодавство у галузі регулювання концесійних відносин передбачає велику кількість позитивних аспектів, зокрема, в Законі України «Про концесію» удосконалено регулювання відносин між контрагентами, які, домовляючись про умови здійснення, економічні наслідки концесії, беруть на себе зобовʼязання не лише один перед одним, а й підтверджують свою спільну спроможність реалізовувати соціально-економічні зобовʼязання перед державою та кінцевим споживачем. Разом з тим, недоліками Закону України «Про концесію» виступає незавершеність упорядкування вимог щодо угодоспроможності контрагентів та вимог, що висуваються до довгострокової </w:t>
      </w:r>
      <w:r>
        <w:rPr>
          <w:sz w:val="28"/>
          <w:szCs w:val="28"/>
        </w:rPr>
        <w:lastRenderedPageBreak/>
        <w:t>стратегії концесійної діяльності. Окреслені недоліки обумовлюють потребу у подальшому дослідженні нормативного регулювання концесії.</w:t>
      </w:r>
    </w:p>
    <w:p w:rsidR="00076275" w:rsidRDefault="00076275" w:rsidP="00076275">
      <w:pPr>
        <w:spacing w:line="360" w:lineRule="auto"/>
        <w:ind w:firstLine="567"/>
        <w:jc w:val="both"/>
        <w:rPr>
          <w:sz w:val="28"/>
          <w:szCs w:val="28"/>
        </w:rPr>
      </w:pPr>
      <w:r w:rsidRPr="00AB213F">
        <w:rPr>
          <w:sz w:val="28"/>
          <w:szCs w:val="28"/>
        </w:rPr>
        <w:t>Отже, публічно-приватне партнерство є давньою формою взаємодії держави та приватного сектору, що виникла ще у стародавні часи та еволюціонувала разом із розвитком еко</w:t>
      </w:r>
      <w:r>
        <w:rPr>
          <w:sz w:val="28"/>
          <w:szCs w:val="28"/>
        </w:rPr>
        <w:t>номічних і суспільних відносин.</w:t>
      </w:r>
      <w:r w:rsidRPr="00AB213F">
        <w:rPr>
          <w:sz w:val="28"/>
          <w:szCs w:val="28"/>
        </w:rPr>
        <w:t xml:space="preserve"> Основою таких відносин виступає поєднання інтересів сторін: держава отримує можливість реалізовувати суспільно значущі проєкти та наповнювати бюджет, тоді як приватний сектор отримує прибуток і можливість розши</w:t>
      </w:r>
      <w:r>
        <w:rPr>
          <w:sz w:val="28"/>
          <w:szCs w:val="28"/>
        </w:rPr>
        <w:t xml:space="preserve">рення господарської діяльності. </w:t>
      </w:r>
      <w:r w:rsidRPr="00AB213F">
        <w:rPr>
          <w:sz w:val="28"/>
          <w:szCs w:val="28"/>
        </w:rPr>
        <w:t>Практика реалізації концесійних проєктів у сфері транспорту, водопостачання та інших галузях інфраструктури свідчить про значний потенціал такого співробітництва для розвитку економіки та модернізації суспільно важливих об’єктів.</w:t>
      </w:r>
      <w:r>
        <w:rPr>
          <w:sz w:val="28"/>
          <w:szCs w:val="28"/>
        </w:rPr>
        <w:t xml:space="preserve"> </w:t>
      </w:r>
    </w:p>
    <w:p w:rsidR="00076275" w:rsidRDefault="00076275" w:rsidP="00076275">
      <w:pPr>
        <w:spacing w:line="360" w:lineRule="auto"/>
        <w:ind w:firstLine="567"/>
        <w:jc w:val="both"/>
        <w:rPr>
          <w:sz w:val="28"/>
          <w:szCs w:val="28"/>
        </w:rPr>
      </w:pPr>
      <w:r w:rsidRPr="00AB213F">
        <w:rPr>
          <w:sz w:val="28"/>
          <w:szCs w:val="28"/>
        </w:rPr>
        <w:t>Водночас, незважаючи на наявні позитивні зміни у законодавстві, залишаються певні прогалини у правовому регулюванні, що потребують подальшого вдосконалення. Тому розвиток ефективного механізму правового регулювання концесійних відносин та публічно-приватного партнерства загалом є важливою передумовою для залучення інвестицій, розвитку інфраструктури та забезпечення сталого соціально-економічного розвитку держави.</w:t>
      </w:r>
    </w:p>
    <w:p w:rsidR="00076275" w:rsidRDefault="00076275" w:rsidP="00076275">
      <w:pPr>
        <w:spacing w:line="360" w:lineRule="auto"/>
        <w:ind w:firstLine="567"/>
        <w:jc w:val="center"/>
        <w:rPr>
          <w:b/>
          <w:bCs/>
          <w:sz w:val="28"/>
          <w:szCs w:val="28"/>
        </w:rPr>
      </w:pPr>
    </w:p>
    <w:p w:rsidR="00076275" w:rsidRPr="00F356FD" w:rsidRDefault="00076275" w:rsidP="00076275">
      <w:pPr>
        <w:spacing w:line="360" w:lineRule="auto"/>
        <w:ind w:firstLine="567"/>
        <w:jc w:val="center"/>
        <w:rPr>
          <w:b/>
          <w:bCs/>
          <w:sz w:val="28"/>
          <w:szCs w:val="28"/>
        </w:rPr>
      </w:pPr>
      <w:r w:rsidRPr="00F356FD">
        <w:rPr>
          <w:b/>
          <w:bCs/>
          <w:sz w:val="28"/>
          <w:szCs w:val="28"/>
        </w:rPr>
        <w:t>СПИСОК ВИКОРИСТАНИХ ДЖЕРЕЛ</w:t>
      </w:r>
    </w:p>
    <w:p w:rsidR="00076275" w:rsidRDefault="00076275" w:rsidP="00076275">
      <w:pPr>
        <w:pStyle w:val="a7"/>
        <w:numPr>
          <w:ilvl w:val="0"/>
          <w:numId w:val="32"/>
        </w:numPr>
        <w:spacing w:line="360" w:lineRule="auto"/>
        <w:ind w:left="0" w:firstLine="567"/>
        <w:jc w:val="both"/>
        <w:rPr>
          <w:sz w:val="28"/>
          <w:szCs w:val="28"/>
        </w:rPr>
      </w:pPr>
      <w:r w:rsidRPr="00A4110A">
        <w:rPr>
          <w:sz w:val="28"/>
          <w:szCs w:val="28"/>
        </w:rPr>
        <w:t xml:space="preserve">Малін О. Л. Становлення державно-приватного партнерства як системи організаційно-економічних відносин. Ефективна економіка. 2019. № 8. – URL: http://www.economy.nayka.com.ua/?op=1&amp;z=8588 (дата звернення: </w:t>
      </w:r>
      <w:r>
        <w:rPr>
          <w:sz w:val="28"/>
          <w:szCs w:val="28"/>
        </w:rPr>
        <w:t>27</w:t>
      </w:r>
      <w:r w:rsidRPr="00A4110A">
        <w:rPr>
          <w:sz w:val="28"/>
          <w:szCs w:val="28"/>
        </w:rPr>
        <w:t>.12.2024).</w:t>
      </w:r>
    </w:p>
    <w:p w:rsidR="00076275" w:rsidRDefault="00076275" w:rsidP="00076275">
      <w:pPr>
        <w:pStyle w:val="a7"/>
        <w:numPr>
          <w:ilvl w:val="0"/>
          <w:numId w:val="32"/>
        </w:numPr>
        <w:spacing w:line="360" w:lineRule="auto"/>
        <w:ind w:left="0" w:firstLine="567"/>
        <w:jc w:val="both"/>
        <w:rPr>
          <w:sz w:val="28"/>
          <w:szCs w:val="28"/>
        </w:rPr>
      </w:pPr>
      <w:r w:rsidRPr="00A4110A">
        <w:rPr>
          <w:sz w:val="28"/>
          <w:szCs w:val="28"/>
        </w:rPr>
        <w:t xml:space="preserve">Дубок І. П. Історичний досвід державно-приватного партнерства. </w:t>
      </w:r>
      <w:r w:rsidRPr="00A4110A">
        <w:rPr>
          <w:i/>
          <w:iCs/>
          <w:sz w:val="28"/>
          <w:szCs w:val="28"/>
        </w:rPr>
        <w:t>Державне управління: теорія та практика</w:t>
      </w:r>
      <w:r>
        <w:rPr>
          <w:sz w:val="28"/>
          <w:szCs w:val="28"/>
        </w:rPr>
        <w:t>. 2014</w:t>
      </w:r>
      <w:r w:rsidRPr="00A4110A">
        <w:rPr>
          <w:sz w:val="28"/>
          <w:szCs w:val="28"/>
        </w:rPr>
        <w:t xml:space="preserve">, </w:t>
      </w:r>
      <w:r>
        <w:rPr>
          <w:sz w:val="28"/>
          <w:szCs w:val="28"/>
        </w:rPr>
        <w:t xml:space="preserve">вип. </w:t>
      </w:r>
      <w:r w:rsidRPr="00A4110A">
        <w:rPr>
          <w:sz w:val="28"/>
          <w:szCs w:val="28"/>
        </w:rPr>
        <w:t>(2)</w:t>
      </w:r>
      <w:r>
        <w:rPr>
          <w:sz w:val="28"/>
          <w:szCs w:val="28"/>
        </w:rPr>
        <w:t>. С.</w:t>
      </w:r>
      <w:r w:rsidRPr="00A4110A">
        <w:rPr>
          <w:sz w:val="28"/>
          <w:szCs w:val="28"/>
        </w:rPr>
        <w:t xml:space="preserve"> 4-11.</w:t>
      </w:r>
    </w:p>
    <w:p w:rsidR="00076275" w:rsidRDefault="00076275" w:rsidP="00076275">
      <w:pPr>
        <w:pStyle w:val="a7"/>
        <w:numPr>
          <w:ilvl w:val="0"/>
          <w:numId w:val="32"/>
        </w:numPr>
        <w:spacing w:line="360" w:lineRule="auto"/>
        <w:ind w:left="0" w:firstLine="567"/>
        <w:jc w:val="both"/>
        <w:rPr>
          <w:sz w:val="28"/>
          <w:szCs w:val="28"/>
        </w:rPr>
      </w:pPr>
      <w:r w:rsidRPr="00A4110A">
        <w:rPr>
          <w:sz w:val="28"/>
          <w:szCs w:val="28"/>
        </w:rPr>
        <w:t xml:space="preserve">Боженко А. Рейки, труби, ліхтарі: концесіонери і міська дума у творенні модерної інфраструктури Харкова. </w:t>
      </w:r>
      <w:r w:rsidRPr="00A4110A">
        <w:rPr>
          <w:i/>
          <w:iCs/>
          <w:sz w:val="28"/>
          <w:szCs w:val="28"/>
        </w:rPr>
        <w:t>Україна модерна: міжнародний інтелектуальний часопис</w:t>
      </w:r>
      <w:r w:rsidRPr="00A4110A">
        <w:rPr>
          <w:sz w:val="28"/>
          <w:szCs w:val="28"/>
        </w:rPr>
        <w:t>.</w:t>
      </w:r>
      <w:r>
        <w:rPr>
          <w:sz w:val="28"/>
          <w:szCs w:val="28"/>
        </w:rPr>
        <w:t xml:space="preserve"> 2018. </w:t>
      </w:r>
      <w:r>
        <w:rPr>
          <w:sz w:val="28"/>
          <w:szCs w:val="28"/>
          <w:lang w:val="en-US"/>
        </w:rPr>
        <w:t>URL</w:t>
      </w:r>
      <w:r>
        <w:rPr>
          <w:sz w:val="28"/>
          <w:szCs w:val="28"/>
        </w:rPr>
        <w:t xml:space="preserve">: </w:t>
      </w:r>
      <w:r w:rsidRPr="00904979">
        <w:rPr>
          <w:sz w:val="28"/>
          <w:szCs w:val="28"/>
        </w:rPr>
        <w:t>https://uamoderna.com/md/bozhenko/</w:t>
      </w:r>
      <w:r>
        <w:rPr>
          <w:sz w:val="28"/>
          <w:szCs w:val="28"/>
        </w:rPr>
        <w:t xml:space="preserve"> </w:t>
      </w:r>
      <w:r w:rsidRPr="00A4110A">
        <w:rPr>
          <w:sz w:val="28"/>
          <w:szCs w:val="28"/>
        </w:rPr>
        <w:t xml:space="preserve">(дата звернення: </w:t>
      </w:r>
      <w:r>
        <w:rPr>
          <w:sz w:val="28"/>
          <w:szCs w:val="28"/>
        </w:rPr>
        <w:t>27</w:t>
      </w:r>
      <w:r w:rsidRPr="00A4110A">
        <w:rPr>
          <w:sz w:val="28"/>
          <w:szCs w:val="28"/>
        </w:rPr>
        <w:t>.12.2024).</w:t>
      </w:r>
    </w:p>
    <w:p w:rsidR="00076275" w:rsidRDefault="00076275" w:rsidP="00076275">
      <w:pPr>
        <w:pStyle w:val="a7"/>
        <w:numPr>
          <w:ilvl w:val="0"/>
          <w:numId w:val="32"/>
        </w:numPr>
        <w:spacing w:line="360" w:lineRule="auto"/>
        <w:ind w:left="0" w:firstLine="567"/>
        <w:jc w:val="both"/>
        <w:rPr>
          <w:sz w:val="28"/>
          <w:szCs w:val="28"/>
        </w:rPr>
      </w:pPr>
      <w:r w:rsidRPr="00A4110A">
        <w:rPr>
          <w:sz w:val="28"/>
          <w:szCs w:val="28"/>
        </w:rPr>
        <w:lastRenderedPageBreak/>
        <w:t xml:space="preserve">Кабачек В. В. Товариство з обмеженою відповідальністю «Нова Баварія» як приклад діяльності виробничих підприємств із змішаним (приватно-державним) капіталом за часів непу. </w:t>
      </w:r>
      <w:r w:rsidRPr="00904979">
        <w:rPr>
          <w:i/>
          <w:iCs/>
          <w:sz w:val="28"/>
          <w:szCs w:val="28"/>
        </w:rPr>
        <w:t>Вісник НТУ «ХПІ»</w:t>
      </w:r>
      <w:r>
        <w:rPr>
          <w:sz w:val="28"/>
          <w:szCs w:val="28"/>
        </w:rPr>
        <w:t>. 2018.</w:t>
      </w:r>
      <w:r w:rsidRPr="00A4110A">
        <w:rPr>
          <w:sz w:val="28"/>
          <w:szCs w:val="28"/>
        </w:rPr>
        <w:t xml:space="preserve"> (38(1147))</w:t>
      </w:r>
      <w:r>
        <w:rPr>
          <w:sz w:val="28"/>
          <w:szCs w:val="28"/>
        </w:rPr>
        <w:t xml:space="preserve">. С. </w:t>
      </w:r>
      <w:r w:rsidRPr="00A4110A">
        <w:rPr>
          <w:sz w:val="28"/>
          <w:szCs w:val="28"/>
        </w:rPr>
        <w:t>63-72.</w:t>
      </w:r>
    </w:p>
    <w:p w:rsidR="00076275" w:rsidRPr="00AB213F" w:rsidRDefault="00076275" w:rsidP="00076275">
      <w:pPr>
        <w:pStyle w:val="a7"/>
        <w:numPr>
          <w:ilvl w:val="0"/>
          <w:numId w:val="32"/>
        </w:numPr>
        <w:spacing w:line="360" w:lineRule="auto"/>
        <w:ind w:left="0" w:firstLine="567"/>
        <w:jc w:val="both"/>
        <w:rPr>
          <w:sz w:val="28"/>
          <w:szCs w:val="28"/>
        </w:rPr>
      </w:pPr>
      <w:r w:rsidRPr="00AB213F">
        <w:rPr>
          <w:kern w:val="28"/>
          <w:sz w:val="28"/>
          <w:szCs w:val="28"/>
          <w:lang w:eastAsia="uk-UA"/>
        </w:rPr>
        <w:t xml:space="preserve">«Про публічно-приватне партнерство» Закон України від 19.06.2025 № 4510-IX. </w:t>
      </w:r>
    </w:p>
    <w:p w:rsidR="00076275" w:rsidRPr="00AB213F" w:rsidRDefault="00076275" w:rsidP="00076275">
      <w:pPr>
        <w:pStyle w:val="a7"/>
        <w:numPr>
          <w:ilvl w:val="0"/>
          <w:numId w:val="32"/>
        </w:numPr>
        <w:spacing w:line="360" w:lineRule="auto"/>
        <w:ind w:left="0" w:firstLine="567"/>
        <w:jc w:val="both"/>
        <w:rPr>
          <w:sz w:val="28"/>
          <w:szCs w:val="28"/>
        </w:rPr>
      </w:pPr>
      <w:r w:rsidRPr="00AB213F">
        <w:rPr>
          <w:sz w:val="28"/>
          <w:szCs w:val="28"/>
        </w:rPr>
        <w:t>«Про концесію» Закон України від 03.10.2019 № 155-IX.</w:t>
      </w:r>
    </w:p>
    <w:p w:rsidR="00076275" w:rsidRDefault="00076275" w:rsidP="00076275">
      <w:pPr>
        <w:spacing w:line="360" w:lineRule="auto"/>
        <w:jc w:val="both"/>
        <w:rPr>
          <w:sz w:val="28"/>
          <w:szCs w:val="28"/>
        </w:rPr>
      </w:pPr>
    </w:p>
    <w:p w:rsidR="00076275" w:rsidRPr="00AB213F" w:rsidRDefault="00076275" w:rsidP="00076275">
      <w:pPr>
        <w:spacing w:line="360" w:lineRule="auto"/>
        <w:jc w:val="both"/>
        <w:rPr>
          <w:sz w:val="28"/>
          <w:szCs w:val="28"/>
        </w:rPr>
      </w:pPr>
    </w:p>
    <w:p w:rsidR="00076275" w:rsidRDefault="00076275" w:rsidP="00076275">
      <w:pPr>
        <w:jc w:val="center"/>
        <w:rPr>
          <w:b/>
          <w:sz w:val="28"/>
          <w:szCs w:val="28"/>
        </w:rPr>
      </w:pPr>
      <w:r>
        <w:rPr>
          <w:b/>
          <w:sz w:val="28"/>
          <w:szCs w:val="28"/>
          <w:lang w:val="uk-UA"/>
        </w:rPr>
        <w:t>ЄВРОПЕЙСЬКИЙ ДОСВІД ЗАХИСТУ</w:t>
      </w:r>
      <w:r w:rsidRPr="00374583">
        <w:rPr>
          <w:b/>
          <w:sz w:val="28"/>
          <w:szCs w:val="28"/>
        </w:rPr>
        <w:t xml:space="preserve"> ПРАВ СПОЖИВАЧІВ У СФЕРІ ЕЛЕКТРОННОЇ КОМЕРЦІЇ</w:t>
      </w:r>
    </w:p>
    <w:p w:rsidR="00076275" w:rsidRPr="00374583" w:rsidRDefault="00076275" w:rsidP="00076275">
      <w:pPr>
        <w:jc w:val="center"/>
        <w:rPr>
          <w:b/>
          <w:i/>
          <w:sz w:val="28"/>
          <w:szCs w:val="28"/>
        </w:rPr>
      </w:pPr>
      <w:r w:rsidRPr="00374583">
        <w:rPr>
          <w:b/>
          <w:i/>
          <w:sz w:val="28"/>
          <w:szCs w:val="28"/>
        </w:rPr>
        <w:t>Зайцев О.О.</w:t>
      </w:r>
    </w:p>
    <w:p w:rsidR="00076275" w:rsidRDefault="00076275" w:rsidP="00076275">
      <w:pPr>
        <w:jc w:val="center"/>
        <w:rPr>
          <w:i/>
          <w:sz w:val="28"/>
          <w:szCs w:val="28"/>
        </w:rPr>
      </w:pPr>
      <w:r w:rsidRPr="00374583">
        <w:rPr>
          <w:i/>
          <w:sz w:val="28"/>
          <w:szCs w:val="28"/>
        </w:rPr>
        <w:t>аспірант кафедри державно-правових дисциплін</w:t>
      </w:r>
    </w:p>
    <w:p w:rsidR="00076275" w:rsidRDefault="00076275" w:rsidP="00076275">
      <w:pPr>
        <w:jc w:val="center"/>
        <w:rPr>
          <w:i/>
          <w:sz w:val="28"/>
          <w:szCs w:val="28"/>
        </w:rPr>
      </w:pPr>
      <w:r w:rsidRPr="00374583">
        <w:rPr>
          <w:i/>
          <w:sz w:val="28"/>
          <w:szCs w:val="28"/>
        </w:rPr>
        <w:t xml:space="preserve">Міжнародний </w:t>
      </w:r>
      <w:r>
        <w:rPr>
          <w:i/>
          <w:sz w:val="28"/>
          <w:szCs w:val="28"/>
        </w:rPr>
        <w:t>університет</w:t>
      </w:r>
    </w:p>
    <w:p w:rsidR="00076275" w:rsidRDefault="00076275" w:rsidP="00076275">
      <w:pPr>
        <w:jc w:val="center"/>
        <w:rPr>
          <w:i/>
          <w:sz w:val="28"/>
          <w:szCs w:val="28"/>
        </w:rPr>
      </w:pPr>
      <w:r>
        <w:rPr>
          <w:i/>
          <w:sz w:val="28"/>
          <w:szCs w:val="28"/>
        </w:rPr>
        <w:t>м. Одеса, Україна</w:t>
      </w:r>
    </w:p>
    <w:p w:rsidR="00076275" w:rsidRPr="00FC74F3" w:rsidRDefault="00076275" w:rsidP="00076275">
      <w:pPr>
        <w:spacing w:line="360" w:lineRule="auto"/>
        <w:ind w:firstLine="709"/>
        <w:jc w:val="both"/>
        <w:rPr>
          <w:color w:val="000000" w:themeColor="text1"/>
          <w:sz w:val="28"/>
          <w:szCs w:val="28"/>
          <w:lang w:val="uk-UA"/>
        </w:rPr>
      </w:pPr>
      <w:r w:rsidRPr="00FC74F3">
        <w:rPr>
          <w:color w:val="000000" w:themeColor="text1"/>
          <w:sz w:val="28"/>
          <w:szCs w:val="28"/>
          <w:lang w:val="uk-UA"/>
        </w:rPr>
        <w:t>Швидкий прогрес інформаційних технологій і формування всесвітньої мережі Інтернет спричинили виникне</w:t>
      </w:r>
      <w:r>
        <w:rPr>
          <w:color w:val="000000" w:themeColor="text1"/>
          <w:sz w:val="28"/>
          <w:szCs w:val="28"/>
          <w:lang w:val="uk-UA"/>
        </w:rPr>
        <w:t xml:space="preserve">ння нового економічного явища –  </w:t>
      </w:r>
      <w:r w:rsidRPr="00FC74F3">
        <w:rPr>
          <w:color w:val="000000" w:themeColor="text1"/>
          <w:sz w:val="28"/>
          <w:szCs w:val="28"/>
          <w:lang w:val="uk-UA"/>
        </w:rPr>
        <w:t>цифрової економіки. Однією з її ключових складових стала електронна комерція</w:t>
      </w:r>
      <w:r>
        <w:rPr>
          <w:color w:val="000000" w:themeColor="text1"/>
          <w:sz w:val="28"/>
          <w:szCs w:val="28"/>
          <w:lang w:val="uk-UA"/>
        </w:rPr>
        <w:t xml:space="preserve">, яка базується на використанні цифрових </w:t>
      </w:r>
      <w:r w:rsidRPr="00FC74F3">
        <w:rPr>
          <w:color w:val="000000" w:themeColor="text1"/>
          <w:sz w:val="28"/>
          <w:szCs w:val="28"/>
          <w:lang w:val="uk-UA"/>
        </w:rPr>
        <w:t>технологій для здій</w:t>
      </w:r>
      <w:r>
        <w:rPr>
          <w:color w:val="000000" w:themeColor="text1"/>
          <w:sz w:val="28"/>
          <w:szCs w:val="28"/>
          <w:lang w:val="uk-UA"/>
        </w:rPr>
        <w:t>снення торговельної діяльності.</w:t>
      </w:r>
    </w:p>
    <w:p w:rsidR="00076275" w:rsidRPr="00FC74F3" w:rsidRDefault="00076275" w:rsidP="00076275">
      <w:pPr>
        <w:spacing w:line="360" w:lineRule="auto"/>
        <w:ind w:firstLine="709"/>
        <w:jc w:val="both"/>
        <w:rPr>
          <w:color w:val="000000" w:themeColor="text1"/>
          <w:sz w:val="28"/>
          <w:szCs w:val="28"/>
          <w:lang w:val="uk-UA"/>
        </w:rPr>
      </w:pPr>
      <w:r w:rsidRPr="00FC74F3">
        <w:rPr>
          <w:color w:val="000000" w:themeColor="text1"/>
          <w:sz w:val="28"/>
          <w:szCs w:val="28"/>
          <w:lang w:val="uk-UA"/>
        </w:rPr>
        <w:t>Поступово електронна комерція почала витісняти традиційні моделі ведення бізнесу. Вона доволі швидко інтегрувалася у світову економічну систему та перетворилася на важливий елемент</w:t>
      </w:r>
      <w:r>
        <w:rPr>
          <w:color w:val="000000" w:themeColor="text1"/>
          <w:sz w:val="28"/>
          <w:szCs w:val="28"/>
          <w:lang w:val="uk-UA"/>
        </w:rPr>
        <w:t xml:space="preserve"> сучасних економічних відносин.</w:t>
      </w:r>
    </w:p>
    <w:p w:rsidR="00076275" w:rsidRDefault="00076275" w:rsidP="00076275">
      <w:pPr>
        <w:spacing w:line="360" w:lineRule="auto"/>
        <w:ind w:firstLine="709"/>
        <w:jc w:val="both"/>
        <w:rPr>
          <w:color w:val="000000" w:themeColor="text1"/>
          <w:sz w:val="28"/>
          <w:szCs w:val="28"/>
          <w:lang w:val="uk-UA"/>
        </w:rPr>
      </w:pPr>
      <w:r w:rsidRPr="00FC74F3">
        <w:rPr>
          <w:color w:val="000000" w:themeColor="text1"/>
          <w:sz w:val="28"/>
          <w:szCs w:val="28"/>
          <w:lang w:val="uk-UA"/>
        </w:rPr>
        <w:t xml:space="preserve">Крім того, електронна комерція відкриває для підприємств нові перспективи розвитку. Вона </w:t>
      </w:r>
      <w:r>
        <w:rPr>
          <w:color w:val="000000" w:themeColor="text1"/>
          <w:sz w:val="28"/>
          <w:szCs w:val="28"/>
          <w:lang w:val="uk-UA"/>
        </w:rPr>
        <w:t>на</w:t>
      </w:r>
      <w:r w:rsidRPr="00FC74F3">
        <w:rPr>
          <w:color w:val="000000" w:themeColor="text1"/>
          <w:sz w:val="28"/>
          <w:szCs w:val="28"/>
          <w:lang w:val="uk-UA"/>
        </w:rPr>
        <w:t xml:space="preserve">дає можливість </w:t>
      </w:r>
      <w:r>
        <w:rPr>
          <w:color w:val="000000" w:themeColor="text1"/>
          <w:sz w:val="28"/>
          <w:szCs w:val="28"/>
          <w:lang w:val="uk-UA"/>
        </w:rPr>
        <w:t xml:space="preserve">підприємцям </w:t>
      </w:r>
      <w:r w:rsidRPr="00FC74F3">
        <w:rPr>
          <w:color w:val="000000" w:themeColor="text1"/>
          <w:sz w:val="28"/>
          <w:szCs w:val="28"/>
          <w:lang w:val="uk-UA"/>
        </w:rPr>
        <w:t>ефективніше взаємодіяти зі споживачами, розширювати масштаби діяльності та виходити на міжнародні ринки, використовуючи цифрові канали комунікації й продажів.</w:t>
      </w:r>
    </w:p>
    <w:p w:rsidR="00076275" w:rsidRPr="00FC74F3" w:rsidRDefault="00076275" w:rsidP="00076275">
      <w:pPr>
        <w:pStyle w:val="ac"/>
        <w:spacing w:before="0" w:beforeAutospacing="0" w:after="0" w:afterAutospacing="0" w:line="360" w:lineRule="auto"/>
        <w:ind w:firstLine="709"/>
        <w:jc w:val="both"/>
        <w:rPr>
          <w:rFonts w:eastAsiaTheme="minorEastAsia" w:cstheme="minorBidi"/>
          <w:color w:val="000000" w:themeColor="text1"/>
          <w:sz w:val="28"/>
          <w:szCs w:val="28"/>
          <w:lang w:val="uk-UA"/>
        </w:rPr>
      </w:pPr>
      <w:r>
        <w:rPr>
          <w:rFonts w:eastAsiaTheme="minorEastAsia" w:cstheme="minorBidi"/>
          <w:color w:val="000000" w:themeColor="text1"/>
          <w:sz w:val="28"/>
          <w:szCs w:val="28"/>
          <w:lang w:val="uk-UA"/>
        </w:rPr>
        <w:t>Проте</w:t>
      </w:r>
      <w:r w:rsidRPr="00FC74F3">
        <w:rPr>
          <w:rFonts w:eastAsiaTheme="minorEastAsia" w:cstheme="minorBidi"/>
          <w:color w:val="000000" w:themeColor="text1"/>
          <w:sz w:val="28"/>
          <w:szCs w:val="28"/>
          <w:lang w:val="uk-UA"/>
        </w:rPr>
        <w:t xml:space="preserve"> перенесення комерційної діяльності бізнесу в цифрове середовище суттєво змінює звичні форми взаємодії між підприємствами та споживачами і зумовлює необхідність спеціального правового</w:t>
      </w:r>
      <w:r>
        <w:rPr>
          <w:rFonts w:eastAsiaTheme="minorEastAsia" w:cstheme="minorBidi"/>
          <w:color w:val="000000" w:themeColor="text1"/>
          <w:sz w:val="28"/>
          <w:szCs w:val="28"/>
          <w:lang w:val="uk-UA"/>
        </w:rPr>
        <w:t xml:space="preserve"> врегулювання таких відносин.</w:t>
      </w:r>
    </w:p>
    <w:p w:rsidR="00076275" w:rsidRPr="00FC74F3" w:rsidRDefault="00076275" w:rsidP="00076275">
      <w:pPr>
        <w:pStyle w:val="ac"/>
        <w:spacing w:before="0" w:beforeAutospacing="0" w:after="0" w:afterAutospacing="0" w:line="360" w:lineRule="auto"/>
        <w:ind w:firstLine="709"/>
        <w:jc w:val="both"/>
        <w:rPr>
          <w:rFonts w:eastAsiaTheme="minorEastAsia" w:cstheme="minorBidi"/>
          <w:color w:val="000000" w:themeColor="text1"/>
          <w:sz w:val="28"/>
          <w:szCs w:val="28"/>
          <w:lang w:val="uk-UA"/>
        </w:rPr>
      </w:pPr>
      <w:r w:rsidRPr="00FC74F3">
        <w:rPr>
          <w:rFonts w:eastAsiaTheme="minorEastAsia" w:cstheme="minorBidi"/>
          <w:color w:val="000000" w:themeColor="text1"/>
          <w:sz w:val="28"/>
          <w:szCs w:val="28"/>
          <w:lang w:val="uk-UA"/>
        </w:rPr>
        <w:t xml:space="preserve">Питання захисту прав споживачів у сфері електронної комерції в Україні стало особливо важливим через швидке поширення цифрових технологій та </w:t>
      </w:r>
      <w:r w:rsidRPr="00FC74F3">
        <w:rPr>
          <w:rFonts w:eastAsiaTheme="minorEastAsia" w:cstheme="minorBidi"/>
          <w:color w:val="000000" w:themeColor="text1"/>
          <w:sz w:val="28"/>
          <w:szCs w:val="28"/>
          <w:lang w:val="uk-UA"/>
        </w:rPr>
        <w:lastRenderedPageBreak/>
        <w:t xml:space="preserve">поступову інтеграцію держави у світову економіку. Процеси глобалізації та цифровізації суспільства породжують нові виклики, що потребують створення дієвих механізмів забезпечення прав і безпеки </w:t>
      </w:r>
      <w:r>
        <w:rPr>
          <w:rFonts w:eastAsiaTheme="minorEastAsia" w:cstheme="minorBidi"/>
          <w:color w:val="000000" w:themeColor="text1"/>
          <w:sz w:val="28"/>
          <w:szCs w:val="28"/>
          <w:lang w:val="uk-UA"/>
        </w:rPr>
        <w:t>споживачів у онлайн-середовищі.</w:t>
      </w:r>
    </w:p>
    <w:p w:rsidR="00076275" w:rsidRDefault="00076275" w:rsidP="00076275">
      <w:pPr>
        <w:pStyle w:val="ac"/>
        <w:spacing w:before="0" w:beforeAutospacing="0" w:after="0" w:afterAutospacing="0" w:line="360" w:lineRule="auto"/>
        <w:ind w:firstLine="709"/>
        <w:jc w:val="both"/>
        <w:rPr>
          <w:rFonts w:eastAsiaTheme="minorEastAsia" w:cstheme="minorBidi"/>
          <w:color w:val="000000" w:themeColor="text1"/>
          <w:sz w:val="28"/>
          <w:szCs w:val="28"/>
          <w:lang w:val="uk-UA"/>
        </w:rPr>
      </w:pPr>
      <w:r w:rsidRPr="00FC74F3">
        <w:rPr>
          <w:rFonts w:eastAsiaTheme="minorEastAsia" w:cstheme="minorBidi"/>
          <w:color w:val="000000" w:themeColor="text1"/>
          <w:sz w:val="28"/>
          <w:szCs w:val="28"/>
          <w:lang w:val="uk-UA"/>
        </w:rPr>
        <w:t>За відсутності належної правової бази можуть виникати зловживання з боку продавців, дисбаланс у відносинах між учасниками ринку, а також зниження довіри споживачів до електронної комерції як способу здійснення господарської діяльності.</w:t>
      </w:r>
    </w:p>
    <w:p w:rsidR="00076275" w:rsidRPr="00DA46B9" w:rsidRDefault="00076275" w:rsidP="00076275">
      <w:pPr>
        <w:spacing w:line="360" w:lineRule="auto"/>
        <w:ind w:firstLine="708"/>
        <w:jc w:val="both"/>
        <w:rPr>
          <w:color w:val="000000" w:themeColor="text1"/>
          <w:sz w:val="28"/>
          <w:szCs w:val="28"/>
          <w:lang w:val="uk-UA"/>
        </w:rPr>
      </w:pPr>
      <w:r w:rsidRPr="007A724C">
        <w:rPr>
          <w:color w:val="000000" w:themeColor="text1"/>
          <w:sz w:val="28"/>
          <w:szCs w:val="28"/>
          <w:lang w:val="uk-UA"/>
        </w:rPr>
        <w:t>Однією з ключових ознак електронної комерції є взаємодія бізнесу з клієнтами у цифровому просторі через застосування глобальної мережі Інтернет. Специфіка таких відносин вимагає окремого правового регулювання, зокрема з метою захисту прав клієнтів, оскільки вони як споживачі є вразливою стороною таких правовідносин та потребують особливого захисту зі сторони держави та її органів</w:t>
      </w:r>
      <w:r>
        <w:rPr>
          <w:color w:val="000000" w:themeColor="text1"/>
          <w:sz w:val="28"/>
          <w:szCs w:val="28"/>
          <w:lang w:val="uk-UA"/>
        </w:rPr>
        <w:t>. Про важливість такого правового захисту споживачів наголошував Конституційний Суд України у Рішенні</w:t>
      </w:r>
      <w:r w:rsidRPr="00317B82">
        <w:rPr>
          <w:color w:val="000000" w:themeColor="text1"/>
          <w:sz w:val="28"/>
          <w:szCs w:val="28"/>
          <w:lang w:val="uk-UA"/>
        </w:rPr>
        <w:t xml:space="preserve"> від 10.11.2011 № 15-рп/2011</w:t>
      </w:r>
      <w:r>
        <w:rPr>
          <w:color w:val="000000" w:themeColor="text1"/>
          <w:sz w:val="28"/>
          <w:szCs w:val="28"/>
          <w:lang w:val="uk-UA"/>
        </w:rPr>
        <w:t xml:space="preserve"> зазначаючи, що</w:t>
      </w:r>
      <w:r w:rsidRPr="00317B82">
        <w:rPr>
          <w:color w:val="000000" w:themeColor="text1"/>
          <w:sz w:val="28"/>
          <w:szCs w:val="28"/>
          <w:lang w:val="uk-UA"/>
        </w:rPr>
        <w:t xml:space="preserve"> держава забезпечує ос</w:t>
      </w:r>
      <w:r>
        <w:rPr>
          <w:color w:val="000000" w:themeColor="text1"/>
          <w:sz w:val="28"/>
          <w:szCs w:val="28"/>
          <w:lang w:val="uk-UA"/>
        </w:rPr>
        <w:t xml:space="preserve">обливий захист споживачів як більш  слабкого  </w:t>
      </w:r>
      <w:r w:rsidRPr="00317B82">
        <w:rPr>
          <w:color w:val="000000" w:themeColor="text1"/>
          <w:sz w:val="28"/>
          <w:szCs w:val="28"/>
          <w:lang w:val="uk-UA"/>
        </w:rPr>
        <w:t>суб'єкта  економічних відносин</w:t>
      </w:r>
      <w:r>
        <w:rPr>
          <w:color w:val="000000" w:themeColor="text1"/>
          <w:sz w:val="28"/>
          <w:szCs w:val="28"/>
          <w:lang w:val="uk-UA"/>
        </w:rPr>
        <w:t xml:space="preserve"> з метою забезпечення</w:t>
      </w:r>
      <w:r w:rsidRPr="007120BC">
        <w:rPr>
          <w:color w:val="000000" w:themeColor="text1"/>
          <w:sz w:val="28"/>
          <w:szCs w:val="28"/>
          <w:lang w:val="uk-UA"/>
        </w:rPr>
        <w:t xml:space="preserve"> споживання населенням якісних </w:t>
      </w:r>
      <w:r>
        <w:rPr>
          <w:color w:val="000000" w:themeColor="text1"/>
          <w:sz w:val="28"/>
          <w:szCs w:val="28"/>
          <w:lang w:val="uk-UA"/>
        </w:rPr>
        <w:t xml:space="preserve">товарів (робіт, </w:t>
      </w:r>
      <w:r w:rsidRPr="007120BC">
        <w:rPr>
          <w:color w:val="000000" w:themeColor="text1"/>
          <w:sz w:val="28"/>
          <w:szCs w:val="28"/>
          <w:lang w:val="uk-UA"/>
        </w:rPr>
        <w:t>послуг), зростанню добробуту громадя</w:t>
      </w:r>
      <w:r>
        <w:rPr>
          <w:color w:val="000000" w:themeColor="text1"/>
          <w:sz w:val="28"/>
          <w:szCs w:val="28"/>
          <w:lang w:val="uk-UA"/>
        </w:rPr>
        <w:t>н та загального рівня довіри в суспільстві [1</w:t>
      </w:r>
      <w:r w:rsidRPr="007120BC">
        <w:rPr>
          <w:color w:val="000000" w:themeColor="text1"/>
          <w:sz w:val="28"/>
          <w:szCs w:val="28"/>
          <w:lang w:val="uk-UA"/>
        </w:rPr>
        <w:t>].</w:t>
      </w:r>
    </w:p>
    <w:p w:rsidR="00076275" w:rsidRPr="002550EB"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 xml:space="preserve">Вчені, що досліджували українську проблематику захисту прав споживачів фіксують деякі проблеми, що стосуються сфери електронної комерції. Зокрема, </w:t>
      </w:r>
      <w:r w:rsidRPr="00164145">
        <w:rPr>
          <w:color w:val="000000" w:themeColor="text1"/>
          <w:sz w:val="28"/>
          <w:szCs w:val="28"/>
          <w:lang w:val="uk-UA"/>
        </w:rPr>
        <w:t>Письменна О. П.  акцентує на таких проблемах як недосконале  законодавство, недостатнє   фінансування,   матеріально-технічна та кадрова база, відсутність навчання споживачів, непоінформованість  споживачів  щодо  своїх прав, бездіяльність центральних та місцевих органів влади  та  органів  місцевого  самоврядування  щодо реалізацій прав та інтересів споживачів, корупція в органах влади, недовіра громадян [</w:t>
      </w:r>
      <w:r>
        <w:rPr>
          <w:color w:val="000000" w:themeColor="text1"/>
          <w:sz w:val="28"/>
          <w:szCs w:val="28"/>
          <w:lang w:val="uk-UA"/>
        </w:rPr>
        <w:t>2</w:t>
      </w:r>
      <w:r w:rsidRPr="00164145">
        <w:rPr>
          <w:color w:val="000000" w:themeColor="text1"/>
          <w:sz w:val="28"/>
          <w:szCs w:val="28"/>
          <w:lang w:val="uk-UA"/>
        </w:rPr>
        <w:t>, 34].</w:t>
      </w:r>
    </w:p>
    <w:p w:rsidR="00076275" w:rsidRDefault="00076275" w:rsidP="00076275">
      <w:pPr>
        <w:pStyle w:val="ac"/>
        <w:spacing w:before="0" w:beforeAutospacing="0" w:after="0" w:afterAutospacing="0" w:line="360" w:lineRule="auto"/>
        <w:ind w:firstLine="709"/>
        <w:jc w:val="both"/>
        <w:rPr>
          <w:sz w:val="28"/>
          <w:szCs w:val="28"/>
          <w:lang w:val="uk-UA"/>
        </w:rPr>
      </w:pPr>
      <w:r>
        <w:rPr>
          <w:sz w:val="28"/>
          <w:szCs w:val="28"/>
          <w:lang w:val="uk-UA"/>
        </w:rPr>
        <w:t>Вирішення</w:t>
      </w:r>
      <w:r w:rsidRPr="006E58B6">
        <w:rPr>
          <w:sz w:val="28"/>
          <w:szCs w:val="28"/>
          <w:lang w:val="uk-UA"/>
        </w:rPr>
        <w:t xml:space="preserve"> вищезгаданих проблем </w:t>
      </w:r>
      <w:r>
        <w:rPr>
          <w:sz w:val="28"/>
          <w:szCs w:val="28"/>
          <w:lang w:val="uk-UA"/>
        </w:rPr>
        <w:t>можливе шляхом</w:t>
      </w:r>
      <w:r w:rsidRPr="006E58B6">
        <w:rPr>
          <w:sz w:val="28"/>
          <w:szCs w:val="28"/>
          <w:lang w:val="uk-UA"/>
        </w:rPr>
        <w:t xml:space="preserve"> наближення національного законодавства до права Європейського Союзу, </w:t>
      </w:r>
      <w:r>
        <w:rPr>
          <w:sz w:val="28"/>
          <w:szCs w:val="28"/>
          <w:lang w:val="uk-UA"/>
        </w:rPr>
        <w:t xml:space="preserve">та впровадження відповідних </w:t>
      </w:r>
      <w:r w:rsidRPr="006E58B6">
        <w:rPr>
          <w:sz w:val="28"/>
          <w:szCs w:val="28"/>
          <w:lang w:val="uk-UA"/>
        </w:rPr>
        <w:t>принципів</w:t>
      </w:r>
      <w:r>
        <w:rPr>
          <w:sz w:val="28"/>
          <w:szCs w:val="28"/>
          <w:lang w:val="uk-UA"/>
        </w:rPr>
        <w:t>,</w:t>
      </w:r>
      <w:r w:rsidRPr="006E58B6">
        <w:rPr>
          <w:sz w:val="28"/>
          <w:szCs w:val="28"/>
          <w:lang w:val="uk-UA"/>
        </w:rPr>
        <w:t xml:space="preserve"> практик </w:t>
      </w:r>
      <w:r>
        <w:rPr>
          <w:sz w:val="28"/>
          <w:szCs w:val="28"/>
          <w:lang w:val="uk-UA"/>
        </w:rPr>
        <w:t xml:space="preserve">та підходів до </w:t>
      </w:r>
      <w:r w:rsidRPr="006E58B6">
        <w:rPr>
          <w:sz w:val="28"/>
          <w:szCs w:val="28"/>
          <w:lang w:val="uk-UA"/>
        </w:rPr>
        <w:t>захисту прав споживачів</w:t>
      </w:r>
      <w:r>
        <w:rPr>
          <w:sz w:val="28"/>
          <w:szCs w:val="28"/>
          <w:lang w:val="uk-UA"/>
        </w:rPr>
        <w:t xml:space="preserve"> Європейського Союзу. </w:t>
      </w:r>
      <w:r w:rsidRPr="00263AAA">
        <w:rPr>
          <w:sz w:val="28"/>
          <w:szCs w:val="28"/>
          <w:lang w:val="uk-UA"/>
        </w:rPr>
        <w:t xml:space="preserve">Україна, взявши курс на євроінтеграцію, прагне </w:t>
      </w:r>
      <w:r w:rsidRPr="00263AAA">
        <w:rPr>
          <w:sz w:val="28"/>
          <w:szCs w:val="28"/>
          <w:lang w:val="uk-UA"/>
        </w:rPr>
        <w:lastRenderedPageBreak/>
        <w:t>гармонізувати своє законодавство із нормативно-правов</w:t>
      </w:r>
      <w:r>
        <w:rPr>
          <w:sz w:val="28"/>
          <w:szCs w:val="28"/>
          <w:lang w:val="uk-UA"/>
        </w:rPr>
        <w:t>ими актами Європейського Союзу.</w:t>
      </w:r>
    </w:p>
    <w:p w:rsidR="00076275" w:rsidRPr="002550EB" w:rsidRDefault="00076275" w:rsidP="00076275">
      <w:pPr>
        <w:pStyle w:val="ac"/>
        <w:spacing w:before="0" w:beforeAutospacing="0" w:after="0" w:afterAutospacing="0" w:line="360" w:lineRule="auto"/>
        <w:ind w:firstLine="709"/>
        <w:jc w:val="both"/>
        <w:rPr>
          <w:sz w:val="28"/>
          <w:szCs w:val="28"/>
          <w:lang w:val="uk-UA"/>
        </w:rPr>
      </w:pPr>
      <w:r>
        <w:rPr>
          <w:color w:val="000000" w:themeColor="text1"/>
          <w:sz w:val="28"/>
          <w:szCs w:val="28"/>
          <w:lang w:val="uk-UA"/>
        </w:rPr>
        <w:t xml:space="preserve">Розглянемо досвід Європейського Союзу з регулювання захисту прав споживачів. </w:t>
      </w:r>
      <w:r w:rsidRPr="00E532A7">
        <w:rPr>
          <w:color w:val="000000" w:themeColor="text1"/>
          <w:sz w:val="28"/>
          <w:szCs w:val="28"/>
          <w:lang w:val="uk-UA"/>
        </w:rPr>
        <w:t xml:space="preserve">Законодавча база європейської системи захисту прав споживачів ґрунтується на </w:t>
      </w:r>
      <w:r>
        <w:rPr>
          <w:color w:val="000000" w:themeColor="text1"/>
          <w:sz w:val="28"/>
          <w:szCs w:val="28"/>
          <w:lang w:val="uk-UA"/>
        </w:rPr>
        <w:t>основних</w:t>
      </w:r>
      <w:r w:rsidRPr="00E532A7">
        <w:rPr>
          <w:color w:val="000000" w:themeColor="text1"/>
          <w:sz w:val="28"/>
          <w:szCs w:val="28"/>
          <w:lang w:val="uk-UA"/>
        </w:rPr>
        <w:t xml:space="preserve"> актах законодавства</w:t>
      </w:r>
      <w:r>
        <w:rPr>
          <w:color w:val="000000" w:themeColor="text1"/>
          <w:sz w:val="28"/>
          <w:szCs w:val="28"/>
          <w:lang w:val="uk-UA"/>
        </w:rPr>
        <w:t xml:space="preserve"> Європейського Союзу</w:t>
      </w:r>
      <w:r w:rsidRPr="00E532A7">
        <w:rPr>
          <w:color w:val="000000" w:themeColor="text1"/>
          <w:sz w:val="28"/>
          <w:szCs w:val="28"/>
          <w:lang w:val="uk-UA"/>
        </w:rPr>
        <w:t>, до яких відносяться засновницькі</w:t>
      </w:r>
      <w:r>
        <w:rPr>
          <w:color w:val="000000" w:themeColor="text1"/>
          <w:sz w:val="28"/>
          <w:szCs w:val="28"/>
          <w:lang w:val="uk-UA"/>
        </w:rPr>
        <w:t xml:space="preserve"> </w:t>
      </w:r>
      <w:r w:rsidRPr="00E532A7">
        <w:rPr>
          <w:color w:val="000000" w:themeColor="text1"/>
          <w:sz w:val="28"/>
          <w:szCs w:val="28"/>
          <w:lang w:val="uk-UA"/>
        </w:rPr>
        <w:t>договори ЄС: про заснування Європейської Спільноти, про функціонування ЄС, Хартія</w:t>
      </w:r>
      <w:r>
        <w:rPr>
          <w:color w:val="000000" w:themeColor="text1"/>
          <w:sz w:val="28"/>
          <w:szCs w:val="28"/>
          <w:lang w:val="uk-UA"/>
        </w:rPr>
        <w:t xml:space="preserve"> </w:t>
      </w:r>
      <w:r w:rsidRPr="00E532A7">
        <w:rPr>
          <w:color w:val="000000" w:themeColor="text1"/>
          <w:sz w:val="28"/>
          <w:szCs w:val="28"/>
          <w:lang w:val="uk-UA"/>
        </w:rPr>
        <w:t>основних прав людини в ЄС</w:t>
      </w:r>
      <w:r>
        <w:rPr>
          <w:color w:val="000000" w:themeColor="text1"/>
          <w:sz w:val="28"/>
          <w:szCs w:val="28"/>
          <w:lang w:val="uk-UA"/>
        </w:rPr>
        <w:t xml:space="preserve"> які визначають основні принципи та напрямки взаємодії країн Європейського Союзу у сфері нормативно-правового регулювання прав споживачів</w:t>
      </w:r>
      <w:r w:rsidRPr="00E532A7">
        <w:rPr>
          <w:color w:val="000000" w:themeColor="text1"/>
          <w:sz w:val="28"/>
          <w:szCs w:val="28"/>
          <w:lang w:val="uk-UA"/>
        </w:rPr>
        <w:t>.</w:t>
      </w:r>
    </w:p>
    <w:p w:rsidR="00076275" w:rsidRDefault="00076275" w:rsidP="00076275">
      <w:pPr>
        <w:spacing w:line="360" w:lineRule="auto"/>
        <w:ind w:firstLine="709"/>
        <w:jc w:val="both"/>
        <w:rPr>
          <w:color w:val="000000" w:themeColor="text1"/>
          <w:sz w:val="28"/>
          <w:szCs w:val="28"/>
          <w:lang w:val="uk-UA"/>
        </w:rPr>
      </w:pPr>
      <w:r w:rsidRPr="006B37DF">
        <w:rPr>
          <w:color w:val="000000" w:themeColor="text1"/>
          <w:sz w:val="28"/>
          <w:szCs w:val="28"/>
          <w:lang w:val="uk-UA"/>
        </w:rPr>
        <w:t>Європейський Союз має добре розвинену систему правовог</w:t>
      </w:r>
      <w:r>
        <w:rPr>
          <w:color w:val="000000" w:themeColor="text1"/>
          <w:sz w:val="28"/>
          <w:szCs w:val="28"/>
          <w:lang w:val="uk-UA"/>
        </w:rPr>
        <w:t>о регулювання електронної комер</w:t>
      </w:r>
      <w:r w:rsidRPr="006B37DF">
        <w:rPr>
          <w:color w:val="000000" w:themeColor="text1"/>
          <w:sz w:val="28"/>
          <w:szCs w:val="28"/>
          <w:lang w:val="uk-UA"/>
        </w:rPr>
        <w:t xml:space="preserve">ції, яка базується на кількох ключових нормативних актах. </w:t>
      </w:r>
    </w:p>
    <w:p w:rsidR="00076275" w:rsidRDefault="00076275" w:rsidP="00076275">
      <w:pPr>
        <w:spacing w:line="360" w:lineRule="auto"/>
        <w:ind w:firstLine="709"/>
        <w:jc w:val="both"/>
        <w:rPr>
          <w:color w:val="000000" w:themeColor="text1"/>
          <w:sz w:val="28"/>
          <w:szCs w:val="28"/>
          <w:lang w:val="uk-UA"/>
        </w:rPr>
      </w:pPr>
      <w:r w:rsidRPr="006B37DF">
        <w:rPr>
          <w:color w:val="000000" w:themeColor="text1"/>
          <w:sz w:val="28"/>
          <w:szCs w:val="28"/>
          <w:lang w:val="uk-UA"/>
        </w:rPr>
        <w:t>Основним</w:t>
      </w:r>
      <w:r>
        <w:rPr>
          <w:color w:val="000000" w:themeColor="text1"/>
          <w:sz w:val="28"/>
          <w:szCs w:val="28"/>
          <w:lang w:val="uk-UA"/>
        </w:rPr>
        <w:t>и</w:t>
      </w:r>
      <w:r w:rsidRPr="006B37DF">
        <w:rPr>
          <w:color w:val="000000" w:themeColor="text1"/>
          <w:sz w:val="28"/>
          <w:szCs w:val="28"/>
          <w:lang w:val="uk-UA"/>
        </w:rPr>
        <w:t xml:space="preserve"> документ</w:t>
      </w:r>
      <w:r>
        <w:rPr>
          <w:color w:val="000000" w:themeColor="text1"/>
          <w:sz w:val="28"/>
          <w:szCs w:val="28"/>
          <w:lang w:val="uk-UA"/>
        </w:rPr>
        <w:t>ами</w:t>
      </w:r>
      <w:r w:rsidRPr="006B37DF">
        <w:rPr>
          <w:color w:val="000000" w:themeColor="text1"/>
          <w:sz w:val="28"/>
          <w:szCs w:val="28"/>
          <w:lang w:val="uk-UA"/>
        </w:rPr>
        <w:t xml:space="preserve"> є</w:t>
      </w:r>
      <w:r>
        <w:rPr>
          <w:color w:val="000000" w:themeColor="text1"/>
          <w:sz w:val="28"/>
          <w:szCs w:val="28"/>
          <w:lang w:val="uk-UA"/>
        </w:rPr>
        <w:t>:</w:t>
      </w:r>
    </w:p>
    <w:p w:rsidR="00076275" w:rsidRPr="006B37DF"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w:t>
      </w:r>
      <w:r w:rsidRPr="006B37DF">
        <w:rPr>
          <w:color w:val="000000" w:themeColor="text1"/>
          <w:sz w:val="28"/>
          <w:szCs w:val="28"/>
          <w:lang w:val="uk-UA"/>
        </w:rPr>
        <w:t xml:space="preserve"> Директива 97/7/ЄС Європейського парламенту та Ради від 20 травня</w:t>
      </w:r>
      <w:r>
        <w:rPr>
          <w:color w:val="000000" w:themeColor="text1"/>
          <w:sz w:val="28"/>
          <w:szCs w:val="28"/>
          <w:lang w:val="uk-UA"/>
        </w:rPr>
        <w:t xml:space="preserve"> 1997 р. «Про захист прав спожи</w:t>
      </w:r>
      <w:r w:rsidRPr="006B37DF">
        <w:rPr>
          <w:color w:val="000000" w:themeColor="text1"/>
          <w:sz w:val="28"/>
          <w:szCs w:val="28"/>
          <w:lang w:val="uk-UA"/>
        </w:rPr>
        <w:t>вачів у дистанційних контрактах»;</w:t>
      </w:r>
    </w:p>
    <w:p w:rsidR="00076275" w:rsidRPr="006B37DF"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w:t>
      </w:r>
      <w:r w:rsidRPr="006B37DF">
        <w:rPr>
          <w:color w:val="000000" w:themeColor="text1"/>
          <w:sz w:val="28"/>
          <w:szCs w:val="28"/>
          <w:lang w:val="uk-UA"/>
        </w:rPr>
        <w:t xml:space="preserve"> Директива 97/66/</w:t>
      </w:r>
      <w:r>
        <w:rPr>
          <w:color w:val="000000" w:themeColor="text1"/>
          <w:sz w:val="28"/>
          <w:szCs w:val="28"/>
          <w:lang w:val="uk-UA"/>
        </w:rPr>
        <w:t>Є</w:t>
      </w:r>
      <w:r w:rsidRPr="006B37DF">
        <w:rPr>
          <w:color w:val="000000" w:themeColor="text1"/>
          <w:sz w:val="28"/>
          <w:szCs w:val="28"/>
          <w:lang w:val="uk-UA"/>
        </w:rPr>
        <w:t>C Європейського парламенту та Ради від 15 гр</w:t>
      </w:r>
      <w:r>
        <w:rPr>
          <w:color w:val="000000" w:themeColor="text1"/>
          <w:sz w:val="28"/>
          <w:szCs w:val="28"/>
          <w:lang w:val="uk-UA"/>
        </w:rPr>
        <w:t>удня 1997 р. щодо обробки персо</w:t>
      </w:r>
      <w:r w:rsidRPr="006B37DF">
        <w:rPr>
          <w:color w:val="000000" w:themeColor="text1"/>
          <w:sz w:val="28"/>
          <w:szCs w:val="28"/>
          <w:lang w:val="uk-UA"/>
        </w:rPr>
        <w:t>нальних даних та охорони таємниці приватного життя</w:t>
      </w:r>
      <w:r>
        <w:rPr>
          <w:color w:val="000000" w:themeColor="text1"/>
          <w:sz w:val="28"/>
          <w:szCs w:val="28"/>
          <w:lang w:val="uk-UA"/>
        </w:rPr>
        <w:t xml:space="preserve"> в телекомунікаційному секторі</w:t>
      </w:r>
      <w:r w:rsidRPr="006B37DF">
        <w:rPr>
          <w:color w:val="000000" w:themeColor="text1"/>
          <w:sz w:val="28"/>
          <w:szCs w:val="28"/>
          <w:lang w:val="uk-UA"/>
        </w:rPr>
        <w:t>;</w:t>
      </w:r>
    </w:p>
    <w:p w:rsidR="00076275" w:rsidRPr="006B37DF"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w:t>
      </w:r>
      <w:r w:rsidRPr="006B37DF">
        <w:rPr>
          <w:color w:val="000000" w:themeColor="text1"/>
          <w:sz w:val="28"/>
          <w:szCs w:val="28"/>
          <w:lang w:val="uk-UA"/>
        </w:rPr>
        <w:t xml:space="preserve"> Директива Європейського парламенту та Ради 1999/93/ЄС від 13 гр</w:t>
      </w:r>
      <w:r>
        <w:rPr>
          <w:color w:val="000000" w:themeColor="text1"/>
          <w:sz w:val="28"/>
          <w:szCs w:val="28"/>
          <w:lang w:val="uk-UA"/>
        </w:rPr>
        <w:t xml:space="preserve">удня 1999 р. про правові основи </w:t>
      </w:r>
      <w:r w:rsidRPr="006B37DF">
        <w:rPr>
          <w:color w:val="000000" w:themeColor="text1"/>
          <w:sz w:val="28"/>
          <w:szCs w:val="28"/>
          <w:lang w:val="uk-UA"/>
        </w:rPr>
        <w:t>Співтовар</w:t>
      </w:r>
      <w:r>
        <w:rPr>
          <w:color w:val="000000" w:themeColor="text1"/>
          <w:sz w:val="28"/>
          <w:szCs w:val="28"/>
          <w:lang w:val="uk-UA"/>
        </w:rPr>
        <w:t>иства для електронних підписів</w:t>
      </w:r>
      <w:r w:rsidRPr="006B37DF">
        <w:rPr>
          <w:color w:val="000000" w:themeColor="text1"/>
          <w:sz w:val="28"/>
          <w:szCs w:val="28"/>
          <w:lang w:val="uk-UA"/>
        </w:rPr>
        <w:t>;</w:t>
      </w:r>
    </w:p>
    <w:p w:rsidR="00076275" w:rsidRPr="006B37DF"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w:t>
      </w:r>
      <w:r w:rsidRPr="006B37DF">
        <w:rPr>
          <w:color w:val="000000" w:themeColor="text1"/>
          <w:sz w:val="28"/>
          <w:szCs w:val="28"/>
          <w:lang w:val="uk-UA"/>
        </w:rPr>
        <w:t xml:space="preserve"> Директива 2000/31/ЄС Європейського парламенту і Ради від 8 червня </w:t>
      </w:r>
      <w:r>
        <w:rPr>
          <w:color w:val="000000" w:themeColor="text1"/>
          <w:sz w:val="28"/>
          <w:szCs w:val="28"/>
          <w:lang w:val="uk-UA"/>
        </w:rPr>
        <w:t>2000 р. про деякі правові аспек</w:t>
      </w:r>
      <w:r w:rsidRPr="006B37DF">
        <w:rPr>
          <w:color w:val="000000" w:themeColor="text1"/>
          <w:sz w:val="28"/>
          <w:szCs w:val="28"/>
          <w:lang w:val="uk-UA"/>
        </w:rPr>
        <w:t xml:space="preserve">ти послуг інформаційного суспільства, зокрема, електронної комерції, на внутрішньому </w:t>
      </w:r>
      <w:r>
        <w:rPr>
          <w:color w:val="000000" w:themeColor="text1"/>
          <w:sz w:val="28"/>
          <w:szCs w:val="28"/>
          <w:lang w:val="uk-UA"/>
        </w:rPr>
        <w:t>ринку</w:t>
      </w:r>
      <w:r w:rsidRPr="006B37DF">
        <w:rPr>
          <w:color w:val="000000" w:themeColor="text1"/>
          <w:sz w:val="28"/>
          <w:szCs w:val="28"/>
          <w:lang w:val="uk-UA"/>
        </w:rPr>
        <w:t>;</w:t>
      </w:r>
    </w:p>
    <w:p w:rsidR="00076275"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w:t>
      </w:r>
      <w:r w:rsidRPr="006B37DF">
        <w:rPr>
          <w:color w:val="000000" w:themeColor="text1"/>
          <w:sz w:val="28"/>
          <w:szCs w:val="28"/>
          <w:lang w:val="uk-UA"/>
        </w:rPr>
        <w:t xml:space="preserve"> Директива 2002/58/EC Європейського парламенту і Ради від 12 л</w:t>
      </w:r>
      <w:r>
        <w:rPr>
          <w:color w:val="000000" w:themeColor="text1"/>
          <w:sz w:val="28"/>
          <w:szCs w:val="28"/>
          <w:lang w:val="uk-UA"/>
        </w:rPr>
        <w:t>ипня 2002 р. щодо обробки персо</w:t>
      </w:r>
      <w:r w:rsidRPr="006B37DF">
        <w:rPr>
          <w:color w:val="000000" w:themeColor="text1"/>
          <w:sz w:val="28"/>
          <w:szCs w:val="28"/>
          <w:lang w:val="uk-UA"/>
        </w:rPr>
        <w:t>нальних даних та охорони таємниці приватного життя в с</w:t>
      </w:r>
      <w:r>
        <w:rPr>
          <w:color w:val="000000" w:themeColor="text1"/>
          <w:sz w:val="28"/>
          <w:szCs w:val="28"/>
          <w:lang w:val="uk-UA"/>
        </w:rPr>
        <w:t>екторі електронних комунікацій тощо.</w:t>
      </w:r>
    </w:p>
    <w:p w:rsidR="00076275"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Особлива увага надається захисту персональних даних, який у Європейському Союзі забезпечується Загаль</w:t>
      </w:r>
      <w:r w:rsidRPr="006B37DF">
        <w:rPr>
          <w:color w:val="000000" w:themeColor="text1"/>
          <w:sz w:val="28"/>
          <w:szCs w:val="28"/>
          <w:lang w:val="uk-UA"/>
        </w:rPr>
        <w:t xml:space="preserve">ним регламентом про захист даних (General Data Protection Regulation, GDPR). GDPR встановлює високі стандарти захисту даних, що забезпечує довіру споживачів </w:t>
      </w:r>
      <w:r>
        <w:rPr>
          <w:color w:val="000000" w:themeColor="text1"/>
          <w:sz w:val="28"/>
          <w:szCs w:val="28"/>
          <w:lang w:val="uk-UA"/>
        </w:rPr>
        <w:t xml:space="preserve"> </w:t>
      </w:r>
      <w:r w:rsidRPr="006B37DF">
        <w:rPr>
          <w:color w:val="000000" w:themeColor="text1"/>
          <w:sz w:val="28"/>
          <w:szCs w:val="28"/>
          <w:lang w:val="uk-UA"/>
        </w:rPr>
        <w:t>до</w:t>
      </w:r>
      <w:r>
        <w:rPr>
          <w:color w:val="000000" w:themeColor="text1"/>
          <w:sz w:val="28"/>
          <w:szCs w:val="28"/>
          <w:lang w:val="uk-UA"/>
        </w:rPr>
        <w:t xml:space="preserve"> </w:t>
      </w:r>
      <w:r w:rsidRPr="006B37DF">
        <w:rPr>
          <w:color w:val="000000" w:themeColor="text1"/>
          <w:sz w:val="28"/>
          <w:szCs w:val="28"/>
          <w:lang w:val="uk-UA"/>
        </w:rPr>
        <w:t xml:space="preserve"> електронної </w:t>
      </w:r>
      <w:r>
        <w:rPr>
          <w:color w:val="000000" w:themeColor="text1"/>
          <w:sz w:val="28"/>
          <w:szCs w:val="28"/>
          <w:lang w:val="uk-UA"/>
        </w:rPr>
        <w:t xml:space="preserve"> </w:t>
      </w:r>
      <w:r w:rsidRPr="006B37DF">
        <w:rPr>
          <w:color w:val="000000" w:themeColor="text1"/>
          <w:sz w:val="28"/>
          <w:szCs w:val="28"/>
          <w:lang w:val="uk-UA"/>
        </w:rPr>
        <w:t>комерції та</w:t>
      </w:r>
      <w:r>
        <w:rPr>
          <w:color w:val="000000" w:themeColor="text1"/>
          <w:sz w:val="28"/>
          <w:szCs w:val="28"/>
          <w:lang w:val="uk-UA"/>
        </w:rPr>
        <w:t xml:space="preserve"> </w:t>
      </w:r>
      <w:r w:rsidRPr="006B37DF">
        <w:rPr>
          <w:color w:val="000000" w:themeColor="text1"/>
          <w:sz w:val="28"/>
          <w:szCs w:val="28"/>
          <w:lang w:val="uk-UA"/>
        </w:rPr>
        <w:t xml:space="preserve"> сприя</w:t>
      </w:r>
      <w:r>
        <w:rPr>
          <w:color w:val="000000" w:themeColor="text1"/>
          <w:sz w:val="28"/>
          <w:szCs w:val="28"/>
          <w:lang w:val="uk-UA"/>
        </w:rPr>
        <w:t>ючи</w:t>
      </w:r>
      <w:r w:rsidRPr="006B37DF">
        <w:rPr>
          <w:color w:val="000000" w:themeColor="text1"/>
          <w:sz w:val="28"/>
          <w:szCs w:val="28"/>
          <w:lang w:val="uk-UA"/>
        </w:rPr>
        <w:t xml:space="preserve"> її </w:t>
      </w:r>
      <w:r>
        <w:rPr>
          <w:color w:val="000000" w:themeColor="text1"/>
          <w:sz w:val="28"/>
          <w:szCs w:val="28"/>
          <w:lang w:val="uk-UA"/>
        </w:rPr>
        <w:t xml:space="preserve"> </w:t>
      </w:r>
      <w:r w:rsidRPr="006B37DF">
        <w:rPr>
          <w:color w:val="000000" w:themeColor="text1"/>
          <w:sz w:val="28"/>
          <w:szCs w:val="28"/>
          <w:lang w:val="uk-UA"/>
        </w:rPr>
        <w:t xml:space="preserve">розвитку. </w:t>
      </w:r>
    </w:p>
    <w:p w:rsidR="00076275"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lastRenderedPageBreak/>
        <w:t>Отже, законодавство Європейського Союзу має досить широке нормативно-правове регулювання електронної комерції та захисту прав споживачів ефективність якого доведена через імплементацію в національні законодавства країн ЄС.</w:t>
      </w:r>
    </w:p>
    <w:p w:rsidR="00076275"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 xml:space="preserve">Варто зазначити, що за умовами передбаченими </w:t>
      </w:r>
      <w:r w:rsidRPr="00B06C01">
        <w:rPr>
          <w:color w:val="000000" w:themeColor="text1"/>
          <w:sz w:val="28"/>
          <w:szCs w:val="28"/>
          <w:lang w:val="uk-UA"/>
        </w:rPr>
        <w:t>Угодою про Асоціацію між ЄС та Україною, актуальним питанням є захист прав споживачів. Метою співробітництва є наближення чинного законодавства України з законодавством Європейського Союзу для гарантування права споживачів на якісну і безпечну для життя і здоров’я продукцію, а також усунення певних «прогалин» між європейськими та українськими системами захисту прав споживачів [</w:t>
      </w:r>
      <w:r>
        <w:rPr>
          <w:color w:val="000000" w:themeColor="text1"/>
          <w:sz w:val="28"/>
          <w:szCs w:val="28"/>
          <w:lang w:val="uk-UA"/>
        </w:rPr>
        <w:t>3</w:t>
      </w:r>
      <w:r w:rsidRPr="00B06C01">
        <w:rPr>
          <w:color w:val="000000" w:themeColor="text1"/>
          <w:sz w:val="28"/>
          <w:szCs w:val="28"/>
          <w:lang w:val="uk-UA"/>
        </w:rPr>
        <w:t>].</w:t>
      </w:r>
    </w:p>
    <w:p w:rsidR="00076275" w:rsidRDefault="00076275" w:rsidP="00076275">
      <w:pPr>
        <w:spacing w:line="360" w:lineRule="auto"/>
        <w:ind w:firstLine="709"/>
        <w:jc w:val="both"/>
        <w:rPr>
          <w:color w:val="000000" w:themeColor="text1"/>
          <w:sz w:val="28"/>
          <w:szCs w:val="28"/>
          <w:lang w:val="uk-UA"/>
        </w:rPr>
      </w:pPr>
      <w:r>
        <w:rPr>
          <w:color w:val="000000" w:themeColor="text1"/>
          <w:sz w:val="28"/>
          <w:szCs w:val="28"/>
          <w:lang w:val="uk-UA"/>
        </w:rPr>
        <w:t xml:space="preserve">Зокрема,  на виконання положень передбачених Угодою </w:t>
      </w:r>
      <w:r w:rsidRPr="00B06C01">
        <w:rPr>
          <w:color w:val="000000" w:themeColor="text1"/>
          <w:sz w:val="28"/>
          <w:szCs w:val="28"/>
          <w:lang w:val="uk-UA"/>
        </w:rPr>
        <w:t>про Асоціацію між ЄС та Україною</w:t>
      </w:r>
      <w:r>
        <w:rPr>
          <w:color w:val="000000" w:themeColor="text1"/>
          <w:sz w:val="28"/>
          <w:szCs w:val="28"/>
          <w:lang w:val="uk-UA"/>
        </w:rPr>
        <w:t xml:space="preserve"> новим Законом України «Про захист прав споживачів» </w:t>
      </w:r>
      <w:r>
        <w:rPr>
          <w:color w:val="000000" w:themeColor="text1"/>
          <w:sz w:val="28"/>
          <w:szCs w:val="28"/>
        </w:rPr>
        <w:t>[4</w:t>
      </w:r>
      <w:r w:rsidRPr="006E58B6">
        <w:rPr>
          <w:color w:val="000000" w:themeColor="text1"/>
          <w:sz w:val="28"/>
          <w:szCs w:val="28"/>
        </w:rPr>
        <w:t>]</w:t>
      </w:r>
      <w:r>
        <w:rPr>
          <w:color w:val="000000" w:themeColor="text1"/>
          <w:sz w:val="28"/>
          <w:szCs w:val="28"/>
          <w:lang w:val="uk-UA"/>
        </w:rPr>
        <w:t xml:space="preserve"> </w:t>
      </w:r>
      <w:r w:rsidRPr="00250251">
        <w:rPr>
          <w:color w:val="000000" w:themeColor="text1"/>
          <w:sz w:val="28"/>
          <w:szCs w:val="28"/>
          <w:lang w:val="uk-UA"/>
        </w:rPr>
        <w:t xml:space="preserve">імплементовано </w:t>
      </w:r>
      <w:r w:rsidRPr="00FF0085">
        <w:rPr>
          <w:color w:val="000000" w:themeColor="text1"/>
          <w:sz w:val="28"/>
          <w:szCs w:val="28"/>
          <w:lang w:val="uk-UA"/>
        </w:rPr>
        <w:t>Директив</w:t>
      </w:r>
      <w:r>
        <w:rPr>
          <w:color w:val="000000" w:themeColor="text1"/>
          <w:sz w:val="28"/>
          <w:szCs w:val="28"/>
          <w:lang w:val="uk-UA"/>
        </w:rPr>
        <w:t>у</w:t>
      </w:r>
      <w:r w:rsidRPr="00FF0085">
        <w:rPr>
          <w:color w:val="000000" w:themeColor="text1"/>
          <w:sz w:val="28"/>
          <w:szCs w:val="28"/>
          <w:lang w:val="uk-UA"/>
        </w:rPr>
        <w:t xml:space="preserve"> № 2019/771 Європейського Парламенту та Ради від 20 травня 2019 року</w:t>
      </w:r>
      <w:r>
        <w:rPr>
          <w:color w:val="000000" w:themeColor="text1"/>
          <w:sz w:val="28"/>
          <w:szCs w:val="28"/>
          <w:lang w:val="uk-UA"/>
        </w:rPr>
        <w:t xml:space="preserve"> стосовно </w:t>
      </w:r>
      <w:r w:rsidRPr="00FF0085">
        <w:rPr>
          <w:color w:val="000000" w:themeColor="text1"/>
          <w:sz w:val="28"/>
          <w:szCs w:val="28"/>
          <w:lang w:val="uk-UA"/>
        </w:rPr>
        <w:t>нов</w:t>
      </w:r>
      <w:r>
        <w:rPr>
          <w:color w:val="000000" w:themeColor="text1"/>
          <w:sz w:val="28"/>
          <w:szCs w:val="28"/>
          <w:lang w:val="uk-UA"/>
        </w:rPr>
        <w:t>их вимог</w:t>
      </w:r>
      <w:r w:rsidRPr="00FF0085">
        <w:rPr>
          <w:color w:val="000000" w:themeColor="text1"/>
          <w:sz w:val="28"/>
          <w:szCs w:val="28"/>
          <w:lang w:val="uk-UA"/>
        </w:rPr>
        <w:t xml:space="preserve"> щодо гарантійного обслуговування проданих товарів</w:t>
      </w:r>
      <w:r>
        <w:rPr>
          <w:color w:val="000000" w:themeColor="text1"/>
          <w:sz w:val="28"/>
          <w:szCs w:val="28"/>
          <w:lang w:val="uk-UA"/>
        </w:rPr>
        <w:t xml:space="preserve"> та</w:t>
      </w:r>
      <w:r w:rsidRPr="00FF0085">
        <w:rPr>
          <w:color w:val="000000" w:themeColor="text1"/>
          <w:sz w:val="28"/>
          <w:szCs w:val="28"/>
          <w:lang w:val="uk-UA"/>
        </w:rPr>
        <w:t xml:space="preserve"> </w:t>
      </w:r>
      <w:r>
        <w:rPr>
          <w:color w:val="000000" w:themeColor="text1"/>
          <w:sz w:val="28"/>
          <w:szCs w:val="28"/>
          <w:lang w:val="uk-UA"/>
        </w:rPr>
        <w:t>Д</w:t>
      </w:r>
      <w:r w:rsidRPr="00250251">
        <w:rPr>
          <w:color w:val="000000" w:themeColor="text1"/>
          <w:sz w:val="28"/>
          <w:szCs w:val="28"/>
          <w:lang w:val="uk-UA"/>
        </w:rPr>
        <w:t xml:space="preserve">ирективу </w:t>
      </w:r>
      <w:r>
        <w:rPr>
          <w:color w:val="000000" w:themeColor="text1"/>
          <w:sz w:val="28"/>
          <w:szCs w:val="28"/>
          <w:lang w:val="uk-UA"/>
        </w:rPr>
        <w:t>№2011/83/ЄС Європейського Парла</w:t>
      </w:r>
      <w:r w:rsidRPr="00250251">
        <w:rPr>
          <w:color w:val="000000" w:themeColor="text1"/>
          <w:sz w:val="28"/>
          <w:szCs w:val="28"/>
          <w:lang w:val="uk-UA"/>
        </w:rPr>
        <w:t>менту та Ради від 25.10.2011, якою передбач</w:t>
      </w:r>
      <w:r>
        <w:rPr>
          <w:color w:val="000000" w:themeColor="text1"/>
          <w:sz w:val="28"/>
          <w:szCs w:val="28"/>
          <w:lang w:val="uk-UA"/>
        </w:rPr>
        <w:t>ено визначення електронного тор</w:t>
      </w:r>
      <w:r w:rsidRPr="00250251">
        <w:rPr>
          <w:color w:val="000000" w:themeColor="text1"/>
          <w:sz w:val="28"/>
          <w:szCs w:val="28"/>
          <w:lang w:val="uk-UA"/>
        </w:rPr>
        <w:t xml:space="preserve">гового майданчика (маркетплейсу), електронного сервісу порівняння </w:t>
      </w:r>
      <w:r>
        <w:rPr>
          <w:color w:val="000000" w:themeColor="text1"/>
          <w:sz w:val="28"/>
          <w:szCs w:val="28"/>
          <w:lang w:val="uk-UA"/>
        </w:rPr>
        <w:t xml:space="preserve">продукції (прайс-агрегатора) та </w:t>
      </w:r>
      <w:r w:rsidRPr="00250251">
        <w:rPr>
          <w:color w:val="000000" w:themeColor="text1"/>
          <w:sz w:val="28"/>
          <w:szCs w:val="28"/>
          <w:lang w:val="uk-UA"/>
        </w:rPr>
        <w:t>відповідальність за наявність інформації щодо даних про</w:t>
      </w:r>
      <w:r>
        <w:rPr>
          <w:color w:val="000000" w:themeColor="text1"/>
          <w:sz w:val="28"/>
          <w:szCs w:val="28"/>
          <w:lang w:val="uk-UA"/>
        </w:rPr>
        <w:t xml:space="preserve"> </w:t>
      </w:r>
      <w:r w:rsidRPr="00250251">
        <w:rPr>
          <w:color w:val="000000" w:themeColor="text1"/>
          <w:sz w:val="28"/>
          <w:szCs w:val="28"/>
          <w:lang w:val="uk-UA"/>
        </w:rPr>
        <w:t>підприємство</w:t>
      </w:r>
      <w:r>
        <w:rPr>
          <w:color w:val="000000" w:themeColor="text1"/>
          <w:sz w:val="28"/>
          <w:szCs w:val="28"/>
          <w:lang w:val="uk-UA"/>
        </w:rPr>
        <w:t>,</w:t>
      </w:r>
      <w:r w:rsidRPr="00250251">
        <w:rPr>
          <w:color w:val="000000" w:themeColor="text1"/>
          <w:sz w:val="28"/>
          <w:szCs w:val="28"/>
          <w:lang w:val="uk-UA"/>
        </w:rPr>
        <w:t xml:space="preserve"> продукцію на вебсайтах м</w:t>
      </w:r>
      <w:r>
        <w:rPr>
          <w:color w:val="000000" w:themeColor="text1"/>
          <w:sz w:val="28"/>
          <w:szCs w:val="28"/>
          <w:lang w:val="uk-UA"/>
        </w:rPr>
        <w:t>аркетплейсу та прайс-агрегатора.</w:t>
      </w:r>
    </w:p>
    <w:p w:rsidR="00076275" w:rsidRDefault="00076275" w:rsidP="00076275">
      <w:pPr>
        <w:spacing w:line="360" w:lineRule="auto"/>
        <w:ind w:firstLine="709"/>
        <w:jc w:val="both"/>
        <w:rPr>
          <w:color w:val="000000" w:themeColor="text1"/>
          <w:sz w:val="28"/>
          <w:szCs w:val="28"/>
          <w:lang w:val="uk-UA"/>
        </w:rPr>
      </w:pPr>
      <w:r w:rsidRPr="006E58B6">
        <w:rPr>
          <w:color w:val="000000" w:themeColor="text1"/>
          <w:sz w:val="28"/>
          <w:szCs w:val="28"/>
          <w:lang w:val="uk-UA"/>
        </w:rPr>
        <w:t xml:space="preserve">Отже, </w:t>
      </w:r>
      <w:r>
        <w:rPr>
          <w:color w:val="000000" w:themeColor="text1"/>
          <w:sz w:val="28"/>
          <w:szCs w:val="28"/>
          <w:lang w:val="uk-UA"/>
        </w:rPr>
        <w:t>д</w:t>
      </w:r>
      <w:r w:rsidRPr="006E58B6">
        <w:rPr>
          <w:color w:val="000000" w:themeColor="text1"/>
          <w:sz w:val="28"/>
          <w:szCs w:val="28"/>
          <w:lang w:val="uk-UA"/>
        </w:rPr>
        <w:t xml:space="preserve">освід Європейського Союзу свідчить про важливість комплексного підходу до правового регулювання електронної комерції, який включає чіткі правила дистанційної торгівлі, захист персональних даних, використання електронного підпису та забезпечення прозорості діяльності онлайн-платформ. Імплементація відповідних європейських норм у національне законодавство сприяє підвищенню рівня захисту прав споживачів, зміцненню довіри до електронної комерції </w:t>
      </w:r>
      <w:r>
        <w:rPr>
          <w:color w:val="000000" w:themeColor="text1"/>
          <w:sz w:val="28"/>
          <w:szCs w:val="28"/>
          <w:lang w:val="uk-UA"/>
        </w:rPr>
        <w:t>та розвитку цифрової економіки.</w:t>
      </w:r>
    </w:p>
    <w:p w:rsidR="00076275" w:rsidRDefault="00076275" w:rsidP="00076275">
      <w:pPr>
        <w:spacing w:line="360" w:lineRule="auto"/>
        <w:ind w:firstLine="709"/>
        <w:jc w:val="both"/>
        <w:rPr>
          <w:color w:val="000000" w:themeColor="text1"/>
          <w:sz w:val="28"/>
          <w:szCs w:val="28"/>
          <w:lang w:val="uk-UA"/>
        </w:rPr>
      </w:pPr>
      <w:r w:rsidRPr="006E58B6">
        <w:rPr>
          <w:color w:val="000000" w:themeColor="text1"/>
          <w:sz w:val="28"/>
          <w:szCs w:val="28"/>
          <w:lang w:val="uk-UA"/>
        </w:rPr>
        <w:t>Таким чином, подальше вдосконалення законодавства України з урахуванням європейських стандартів є важливим кроком для забезпечення належного рівня правового захисту споживачів, розвитку електронної торгівлі та інтеграції України до європейського економічного простору.</w:t>
      </w:r>
    </w:p>
    <w:p w:rsidR="00076275" w:rsidRDefault="00076275" w:rsidP="00076275">
      <w:pPr>
        <w:widowControl w:val="0"/>
        <w:autoSpaceDE w:val="0"/>
        <w:spacing w:line="360" w:lineRule="auto"/>
        <w:ind w:firstLine="284"/>
        <w:jc w:val="center"/>
        <w:rPr>
          <w:b/>
          <w:sz w:val="28"/>
          <w:lang w:val="uk-UA"/>
        </w:rPr>
      </w:pPr>
    </w:p>
    <w:p w:rsidR="00076275" w:rsidRDefault="00076275" w:rsidP="00076275">
      <w:pPr>
        <w:widowControl w:val="0"/>
        <w:autoSpaceDE w:val="0"/>
        <w:spacing w:line="360" w:lineRule="auto"/>
        <w:ind w:firstLine="284"/>
        <w:jc w:val="center"/>
        <w:rPr>
          <w:b/>
          <w:sz w:val="28"/>
          <w:lang w:val="uk-UA"/>
        </w:rPr>
      </w:pPr>
      <w:r w:rsidRPr="00690D26">
        <w:rPr>
          <w:b/>
          <w:sz w:val="28"/>
          <w:lang w:val="uk-UA"/>
        </w:rPr>
        <w:t>СПИСОК ВИКОРИСТАНИХ ДЖЕРЕЛ</w:t>
      </w:r>
    </w:p>
    <w:p w:rsidR="00076275" w:rsidRDefault="00076275" w:rsidP="00076275">
      <w:pPr>
        <w:widowControl w:val="0"/>
        <w:autoSpaceDE w:val="0"/>
        <w:spacing w:line="360" w:lineRule="auto"/>
        <w:ind w:firstLine="709"/>
        <w:jc w:val="both"/>
        <w:rPr>
          <w:sz w:val="28"/>
        </w:rPr>
      </w:pPr>
      <w:r>
        <w:rPr>
          <w:sz w:val="28"/>
        </w:rPr>
        <w:t>1</w:t>
      </w:r>
      <w:r w:rsidRPr="0062319B">
        <w:rPr>
          <w:sz w:val="28"/>
        </w:rPr>
        <w:t>.</w:t>
      </w:r>
      <w:r>
        <w:rPr>
          <w:sz w:val="28"/>
        </w:rPr>
        <w:t xml:space="preserve"> </w:t>
      </w:r>
      <w:r w:rsidRPr="007120BC">
        <w:rPr>
          <w:sz w:val="28"/>
        </w:rPr>
        <w:t xml:space="preserve">Рішення Конституційного суду України у справі за конституційним </w:t>
      </w:r>
      <w:r>
        <w:rPr>
          <w:sz w:val="28"/>
        </w:rPr>
        <w:t>зверне</w:t>
      </w:r>
      <w:r w:rsidRPr="007120BC">
        <w:rPr>
          <w:sz w:val="28"/>
        </w:rPr>
        <w:t>ням громадянина Степаненка Андрія Миколайовича щодо офіційного тлумачення положень пунктів 22, 23 ст. 1, ст.11, частини восьмої ст.18, частини третьої ст.22 Закону України «Про захист прав споживачів» у взаємо</w:t>
      </w:r>
      <w:r>
        <w:rPr>
          <w:sz w:val="28"/>
        </w:rPr>
        <w:t>зв’язку</w:t>
      </w:r>
      <w:r w:rsidRPr="007120BC">
        <w:rPr>
          <w:sz w:val="28"/>
        </w:rPr>
        <w:t xml:space="preserve"> </w:t>
      </w:r>
      <w:r>
        <w:rPr>
          <w:sz w:val="28"/>
        </w:rPr>
        <w:t>з</w:t>
      </w:r>
      <w:r w:rsidRPr="007120BC">
        <w:rPr>
          <w:sz w:val="28"/>
        </w:rPr>
        <w:t xml:space="preserve"> </w:t>
      </w:r>
      <w:r>
        <w:rPr>
          <w:sz w:val="28"/>
        </w:rPr>
        <w:t>положеннями</w:t>
      </w:r>
      <w:r w:rsidRPr="007120BC">
        <w:rPr>
          <w:sz w:val="28"/>
        </w:rPr>
        <w:t xml:space="preserve"> </w:t>
      </w:r>
      <w:r>
        <w:rPr>
          <w:sz w:val="28"/>
        </w:rPr>
        <w:t>частини</w:t>
      </w:r>
      <w:r w:rsidRPr="007120BC">
        <w:rPr>
          <w:sz w:val="28"/>
        </w:rPr>
        <w:t xml:space="preserve"> </w:t>
      </w:r>
      <w:r>
        <w:rPr>
          <w:sz w:val="28"/>
        </w:rPr>
        <w:t>четве</w:t>
      </w:r>
      <w:r w:rsidRPr="007120BC">
        <w:rPr>
          <w:sz w:val="28"/>
        </w:rPr>
        <w:t>ртої ст.42 Конституції України (справа про захист прав споживачів кредитних послуг) Справа</w:t>
      </w:r>
      <w:r>
        <w:rPr>
          <w:sz w:val="28"/>
        </w:rPr>
        <w:t xml:space="preserve"> №1</w:t>
      </w:r>
      <w:r w:rsidRPr="007120BC">
        <w:rPr>
          <w:sz w:val="28"/>
        </w:rPr>
        <w:t>26/2011</w:t>
      </w:r>
      <w:r>
        <w:rPr>
          <w:sz w:val="28"/>
        </w:rPr>
        <w:t xml:space="preserve"> </w:t>
      </w:r>
      <w:r w:rsidRPr="007120BC">
        <w:rPr>
          <w:sz w:val="28"/>
        </w:rPr>
        <w:t>від</w:t>
      </w:r>
      <w:r>
        <w:rPr>
          <w:sz w:val="28"/>
        </w:rPr>
        <w:t xml:space="preserve"> </w:t>
      </w:r>
      <w:r w:rsidRPr="007120BC">
        <w:rPr>
          <w:sz w:val="28"/>
        </w:rPr>
        <w:t>10.11.2011р.</w:t>
      </w:r>
      <w:r>
        <w:rPr>
          <w:sz w:val="28"/>
        </w:rPr>
        <w:t xml:space="preserve"> </w:t>
      </w:r>
      <w:r w:rsidRPr="007120BC">
        <w:rPr>
          <w:sz w:val="28"/>
        </w:rPr>
        <w:t>[Електронний ресурс] URL:https://zakon.rada.gov.ua/laws/show/v015p710-11#Text.</w:t>
      </w:r>
    </w:p>
    <w:p w:rsidR="00076275" w:rsidRDefault="00076275" w:rsidP="00076275">
      <w:pPr>
        <w:widowControl w:val="0"/>
        <w:autoSpaceDE w:val="0"/>
        <w:spacing w:line="360" w:lineRule="auto"/>
        <w:ind w:firstLine="709"/>
        <w:jc w:val="both"/>
        <w:rPr>
          <w:sz w:val="28"/>
          <w:lang w:val="uk-UA"/>
        </w:rPr>
      </w:pPr>
      <w:r>
        <w:rPr>
          <w:sz w:val="28"/>
          <w:lang w:val="uk-UA"/>
        </w:rPr>
        <w:t>2. Письменна О.</w:t>
      </w:r>
      <w:r w:rsidRPr="00763551">
        <w:rPr>
          <w:sz w:val="28"/>
          <w:lang w:val="uk-UA"/>
        </w:rPr>
        <w:t>П. Правовідносини, що виникають у зв’язку з порушенням прав споживач</w:t>
      </w:r>
      <w:r>
        <w:rPr>
          <w:sz w:val="28"/>
          <w:lang w:val="uk-UA"/>
        </w:rPr>
        <w:t xml:space="preserve">ів внаслідок недоліків товарів, </w:t>
      </w:r>
      <w:r w:rsidRPr="00763551">
        <w:rPr>
          <w:sz w:val="28"/>
          <w:lang w:val="uk-UA"/>
        </w:rPr>
        <w:t>робіт (послуг)</w:t>
      </w:r>
      <w:r>
        <w:rPr>
          <w:sz w:val="28"/>
          <w:lang w:val="uk-UA"/>
        </w:rPr>
        <w:t>.</w:t>
      </w:r>
      <w:r w:rsidRPr="00763551">
        <w:rPr>
          <w:sz w:val="28"/>
          <w:lang w:val="uk-UA"/>
        </w:rPr>
        <w:t xml:space="preserve"> </w:t>
      </w:r>
      <w:r>
        <w:rPr>
          <w:sz w:val="28"/>
          <w:lang w:val="uk-UA"/>
        </w:rPr>
        <w:t>М</w:t>
      </w:r>
      <w:r w:rsidRPr="00763551">
        <w:rPr>
          <w:sz w:val="28"/>
          <w:lang w:val="uk-UA"/>
        </w:rPr>
        <w:t>онографія. Вінни</w:t>
      </w:r>
      <w:r>
        <w:rPr>
          <w:sz w:val="28"/>
          <w:lang w:val="uk-UA"/>
        </w:rPr>
        <w:t xml:space="preserve">ця. Видавництво «Вінницька газета». </w:t>
      </w:r>
      <w:r w:rsidRPr="00763551">
        <w:rPr>
          <w:sz w:val="28"/>
          <w:lang w:val="uk-UA"/>
        </w:rPr>
        <w:t xml:space="preserve">2009. </w:t>
      </w:r>
      <w:r>
        <w:rPr>
          <w:sz w:val="28"/>
          <w:lang w:val="uk-UA"/>
        </w:rPr>
        <w:t>160 с.</w:t>
      </w:r>
      <w:r w:rsidRPr="00763551">
        <w:rPr>
          <w:sz w:val="28"/>
          <w:lang w:val="uk-UA"/>
        </w:rPr>
        <w:t xml:space="preserve"> </w:t>
      </w:r>
    </w:p>
    <w:p w:rsidR="00076275" w:rsidRDefault="00076275" w:rsidP="00076275">
      <w:pPr>
        <w:widowControl w:val="0"/>
        <w:autoSpaceDE w:val="0"/>
        <w:spacing w:line="360" w:lineRule="auto"/>
        <w:ind w:firstLine="709"/>
        <w:jc w:val="both"/>
        <w:rPr>
          <w:sz w:val="28"/>
          <w:lang w:val="uk-UA"/>
        </w:rPr>
      </w:pPr>
      <w:r>
        <w:rPr>
          <w:sz w:val="28"/>
          <w:lang w:val="uk-UA"/>
        </w:rPr>
        <w:t xml:space="preserve">3. </w:t>
      </w:r>
      <w:r w:rsidRPr="006E58B6">
        <w:rPr>
          <w:sz w:val="28"/>
          <w:lang w:val="uk-UA"/>
        </w:rPr>
        <w:t xml:space="preserve">Угода про асоціацію між Україною, з однієї сторони, та Європейським Союзом, Європейським співтовариством з атомної енергії і їхніми </w:t>
      </w:r>
      <w:r>
        <w:rPr>
          <w:sz w:val="28"/>
          <w:lang w:val="uk-UA"/>
        </w:rPr>
        <w:t xml:space="preserve">державами-членами, з іншої сторони. </w:t>
      </w:r>
      <w:r w:rsidRPr="006E58B6">
        <w:rPr>
          <w:sz w:val="28"/>
          <w:lang w:val="uk-UA"/>
        </w:rPr>
        <w:t>Угода, Список, Міжнародний документ від 27.06.2014</w:t>
      </w:r>
      <w:r>
        <w:rPr>
          <w:sz w:val="28"/>
          <w:lang w:val="uk-UA"/>
        </w:rPr>
        <w:t xml:space="preserve">. </w:t>
      </w:r>
      <w:r>
        <w:rPr>
          <w:sz w:val="28"/>
          <w:lang w:val="en-US"/>
        </w:rPr>
        <w:t>URL</w:t>
      </w:r>
      <w:r>
        <w:rPr>
          <w:sz w:val="28"/>
          <w:lang w:val="uk-UA"/>
        </w:rPr>
        <w:t xml:space="preserve">: </w:t>
      </w:r>
      <w:hyperlink r:id="rId38" w:anchor="Text" w:history="1">
        <w:r w:rsidRPr="00C442BF">
          <w:rPr>
            <w:rStyle w:val="af0"/>
            <w:sz w:val="28"/>
            <w:lang w:val="uk-UA"/>
          </w:rPr>
          <w:t>https://zakon.rada.gov.ua/laws/show/984_011#Text</w:t>
        </w:r>
      </w:hyperlink>
      <w:r>
        <w:rPr>
          <w:sz w:val="28"/>
          <w:lang w:val="uk-UA"/>
        </w:rPr>
        <w:t>.</w:t>
      </w:r>
    </w:p>
    <w:p w:rsidR="00076275" w:rsidRPr="00B9170E" w:rsidRDefault="00076275" w:rsidP="00076275">
      <w:pPr>
        <w:widowControl w:val="0"/>
        <w:autoSpaceDE w:val="0"/>
        <w:spacing w:line="360" w:lineRule="auto"/>
        <w:ind w:firstLine="709"/>
        <w:jc w:val="both"/>
        <w:rPr>
          <w:sz w:val="28"/>
        </w:rPr>
      </w:pPr>
      <w:r>
        <w:rPr>
          <w:sz w:val="28"/>
          <w:lang w:val="uk-UA"/>
        </w:rPr>
        <w:t>4. Про захист прав споживачів :</w:t>
      </w:r>
      <w:r w:rsidRPr="00B9170E">
        <w:rPr>
          <w:sz w:val="28"/>
          <w:lang w:val="uk-UA"/>
        </w:rPr>
        <w:t>Закон України від 10.06.2023 № 3153-IX</w:t>
      </w:r>
      <w:r>
        <w:rPr>
          <w:sz w:val="28"/>
          <w:lang w:val="uk-UA"/>
        </w:rPr>
        <w:t xml:space="preserve">. </w:t>
      </w:r>
      <w:r>
        <w:rPr>
          <w:sz w:val="28"/>
          <w:lang w:val="en-US"/>
        </w:rPr>
        <w:t>URL</w:t>
      </w:r>
      <w:r>
        <w:rPr>
          <w:sz w:val="28"/>
        </w:rPr>
        <w:t xml:space="preserve">: </w:t>
      </w:r>
      <w:r w:rsidRPr="00B9170E">
        <w:rPr>
          <w:sz w:val="28"/>
        </w:rPr>
        <w:t>https://zakon.rada.gov.ua/laws/show/3153-20#Text</w:t>
      </w:r>
      <w:r>
        <w:rPr>
          <w:sz w:val="28"/>
        </w:rPr>
        <w:t>.</w:t>
      </w:r>
    </w:p>
    <w:p w:rsidR="00076275" w:rsidRDefault="00076275" w:rsidP="00076275">
      <w:pPr>
        <w:spacing w:line="360" w:lineRule="auto"/>
        <w:ind w:firstLine="709"/>
        <w:contextualSpacing/>
        <w:jc w:val="both"/>
        <w:rPr>
          <w:bCs/>
          <w:sz w:val="28"/>
        </w:rPr>
      </w:pPr>
    </w:p>
    <w:p w:rsidR="00076275" w:rsidRPr="00FD38BE" w:rsidRDefault="00076275" w:rsidP="00076275">
      <w:pPr>
        <w:spacing w:line="360" w:lineRule="auto"/>
        <w:ind w:firstLine="709"/>
        <w:contextualSpacing/>
        <w:jc w:val="both"/>
        <w:rPr>
          <w:rFonts w:eastAsia="Calibri"/>
          <w:sz w:val="28"/>
          <w:szCs w:val="28"/>
          <w:lang w:val="uk-UA" w:eastAsia="en-US"/>
        </w:rPr>
      </w:pPr>
    </w:p>
    <w:p w:rsidR="00076275" w:rsidRPr="00FD38BE" w:rsidRDefault="00076275" w:rsidP="00076275">
      <w:pPr>
        <w:spacing w:line="360" w:lineRule="auto"/>
        <w:ind w:firstLine="709"/>
        <w:contextualSpacing/>
        <w:jc w:val="center"/>
        <w:rPr>
          <w:rFonts w:eastAsia="Calibri"/>
          <w:b/>
          <w:bCs/>
          <w:sz w:val="28"/>
          <w:szCs w:val="28"/>
          <w:lang w:val="uk-UA" w:eastAsia="en-US"/>
        </w:rPr>
      </w:pPr>
      <w:r w:rsidRPr="00FD38BE">
        <w:rPr>
          <w:rFonts w:eastAsia="Calibri"/>
          <w:b/>
          <w:bCs/>
          <w:sz w:val="28"/>
          <w:szCs w:val="28"/>
          <w:lang w:val="uk-UA" w:eastAsia="en-US"/>
        </w:rPr>
        <w:t>ВЗАЄМОДІЯ ПРАВА ТА МОРАЛІ В КОНТЕКСТІ ЗАБЕЗПЕЧЕННЯ ВЕРХОВЕНСТВА ПРАВА І ПРАВ ЛЮДИНИ</w:t>
      </w:r>
    </w:p>
    <w:p w:rsidR="00076275" w:rsidRPr="00FD38BE" w:rsidRDefault="00076275" w:rsidP="00076275">
      <w:pPr>
        <w:spacing w:line="360" w:lineRule="auto"/>
        <w:ind w:firstLine="709"/>
        <w:contextualSpacing/>
        <w:jc w:val="center"/>
        <w:rPr>
          <w:rFonts w:eastAsia="Calibri"/>
          <w:b/>
          <w:bCs/>
          <w:i/>
          <w:iCs/>
          <w:sz w:val="28"/>
          <w:szCs w:val="28"/>
          <w:lang w:val="uk-UA" w:eastAsia="en-US"/>
        </w:rPr>
      </w:pPr>
      <w:r w:rsidRPr="00FD38BE">
        <w:rPr>
          <w:rFonts w:eastAsia="Calibri"/>
          <w:b/>
          <w:bCs/>
          <w:i/>
          <w:iCs/>
          <w:sz w:val="28"/>
          <w:szCs w:val="28"/>
          <w:lang w:val="uk-UA" w:eastAsia="en-US"/>
        </w:rPr>
        <w:t>Закордонець Д. О.</w:t>
      </w:r>
    </w:p>
    <w:p w:rsidR="00076275" w:rsidRPr="00FD38BE" w:rsidRDefault="00076275" w:rsidP="00076275">
      <w:pPr>
        <w:spacing w:line="360" w:lineRule="auto"/>
        <w:ind w:firstLine="709"/>
        <w:contextualSpacing/>
        <w:jc w:val="center"/>
        <w:rPr>
          <w:rFonts w:eastAsia="Calibri"/>
          <w:i/>
          <w:iCs/>
          <w:sz w:val="28"/>
          <w:szCs w:val="28"/>
          <w:lang w:val="uk-UA" w:eastAsia="en-US"/>
        </w:rPr>
      </w:pPr>
      <w:r w:rsidRPr="00FD38BE">
        <w:rPr>
          <w:rFonts w:eastAsia="Calibri"/>
          <w:i/>
          <w:iCs/>
          <w:sz w:val="28"/>
          <w:szCs w:val="28"/>
          <w:lang w:val="uk-UA" w:eastAsia="en-US"/>
        </w:rPr>
        <w:t>студентка 2 курсу магістратури факультету права та економіки  Міжнародного  університету,</w:t>
      </w:r>
    </w:p>
    <w:p w:rsidR="00076275" w:rsidRPr="00DA2AFA" w:rsidRDefault="00076275" w:rsidP="00076275">
      <w:pPr>
        <w:spacing w:line="360" w:lineRule="auto"/>
        <w:ind w:firstLine="709"/>
        <w:contextualSpacing/>
        <w:jc w:val="center"/>
        <w:rPr>
          <w:rFonts w:eastAsia="Calibri"/>
          <w:i/>
          <w:iCs/>
          <w:sz w:val="28"/>
          <w:szCs w:val="28"/>
          <w:lang w:val="uk-UA" w:eastAsia="en-US"/>
        </w:rPr>
      </w:pPr>
      <w:r w:rsidRPr="00FD38BE">
        <w:rPr>
          <w:rFonts w:eastAsia="Calibri"/>
          <w:i/>
          <w:iCs/>
          <w:sz w:val="28"/>
          <w:szCs w:val="28"/>
          <w:lang w:val="uk-UA" w:eastAsia="en-US"/>
        </w:rPr>
        <w:t>м. Одеса, Україна</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Українська держава сьогодні функціонує в умовах глибоких трансформаційних процесів, що охоплюють політичну, правову та духовно-ціннісну сфери суспільства. Попри тривалий період незалежного розвитку, низка системних проблем залишається невирішеною. Йдеться, зокрема, про </w:t>
      </w:r>
      <w:r w:rsidRPr="00FD38BE">
        <w:rPr>
          <w:rFonts w:eastAsia="Calibri"/>
          <w:sz w:val="28"/>
          <w:szCs w:val="28"/>
          <w:lang w:val="uk-UA" w:eastAsia="en-US"/>
        </w:rPr>
        <w:lastRenderedPageBreak/>
        <w:t>реальне утвердження демократичної моделі взаємовідносин між суспільством і публічною владою, формування сталих механізмів добровільного й усвідомленого дотримання законодавства, зміцнення правової культури та закріплення в суспільній свідомості ідеї людини як найвищої соціальної цінності.</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Сучасний стан суспільних відносин в Україні актуалізує потребу переосмислення ролі основних соціальних регуляторів у впорядкуванні людської поведінки. Особливого значення набуває питання ефективної взаємодії права та моралі як взаємодоповнюючих нормативних систем. Саме узгодженість їхнього функціонування безпосередньо впливає на рівень законності, стабільність правопорядку, стан правосвідомості громадян та ступінь довіри до державних інституцій. В умовах переоцінки загальнолюдських і національних цінностей, формування нових моральних орієнтирів та світоглядних установок проблема гармонізації правових і моральних засад суспільного життя набуває особливого значення [1, c. 11].</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Чимало моральних імперативів уже інкорпоровано в систему чинного законодавства, однак формальне закріплення таких вимог не завжди супроводжується їх ефективною реалізацією. Відтак постає завдання наповнення проголошених у Конституції прав і свобод реальним змістом і дієвими гарантіями. Центральну роль у цьому процесі відіграє принцип верховенства права як фундаментальна основа функціонування правової держави.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Відповідно до статті 8 Конституції України верховенство права визнається і діє як визначальний конституційний принцип [2]. Його зміст виходить за межі формального панування закону та передбачає утвердження таких базових моральних засад, як справедливість, рівність, повага до людської гідності. Реалізація цього принципу означає обов’язок органів державної влади, місцевого самоврядування та їх посадових осіб ухвалювати обґрунтовані й справедливі рішення, керуючись не лише буквою, а й духом права, незалежно від політичних чи кон’юнктурних впливів.</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lastRenderedPageBreak/>
        <w:t>Принцип верховенства права визначає характер взаємодії держави, її інституцій та особи у всіх сферах правовідносин [3, c. 35]. Він є методологічною основою як правотворчої, так і правозастосовної діяльності, задаючи орієнтир на забезпечення невід’ємних прав і свобод людини без дискримінації та з урахуванням загальнолюдських цінностей. У цьому контексті правопорядок, побудований на засадах верховенства права, неможливий без тісного зв’язку правових норм із моральними стандартами суспільства. Саме така інтеграція етичного та юридичного вимірів становить передумову реального забезпечення прав людини й утвердження демократичної правової держави.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У науковому середовищі існують різні підходи до визначення співвідношення права та моралі. Доцільно окреслити основні групи концепцій із цього питання, зокрема:</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1.</w:t>
      </w:r>
      <w:r w:rsidRPr="00FD38BE">
        <w:rPr>
          <w:rFonts w:eastAsia="Calibri"/>
          <w:sz w:val="28"/>
          <w:szCs w:val="28"/>
          <w:lang w:val="uk-UA" w:eastAsia="en-US"/>
        </w:rPr>
        <w:tab/>
        <w:t>Між правом і мораллю не вбачаються жодні відмінності – ці явища розглядаються як фактично тотожні або синонімічні.</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2.</w:t>
      </w:r>
      <w:r w:rsidRPr="00FD38BE">
        <w:rPr>
          <w:rFonts w:eastAsia="Calibri"/>
          <w:sz w:val="28"/>
          <w:szCs w:val="28"/>
          <w:lang w:val="uk-UA" w:eastAsia="en-US"/>
        </w:rPr>
        <w:tab/>
        <w:t>Право і мораль існують автономно та не перетинаються.</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3.</w:t>
      </w:r>
      <w:r w:rsidRPr="00FD38BE">
        <w:rPr>
          <w:rFonts w:eastAsia="Calibri"/>
          <w:sz w:val="28"/>
          <w:szCs w:val="28"/>
          <w:lang w:val="uk-UA" w:eastAsia="en-US"/>
        </w:rPr>
        <w:tab/>
        <w:t>Мораль трактується як складова права або, навпаки, право включається до ширшої системи моральних норм.</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4.</w:t>
      </w:r>
      <w:r w:rsidRPr="00FD38BE">
        <w:rPr>
          <w:rFonts w:eastAsia="Calibri"/>
          <w:sz w:val="28"/>
          <w:szCs w:val="28"/>
          <w:lang w:val="uk-UA" w:eastAsia="en-US"/>
        </w:rPr>
        <w:tab/>
        <w:t>Право і мораль є такими, що частково перетинаються – вони мають значну кількість спільних рис, однак залишаються самостійними регуляторами суспільних відносин.</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Так, сучасне суспільство сформувало цілу систему норм і правил, яких люди дотримуються у повсякденному житті – моральних, релігійних, політичних, правових тощо. Ігнорування цих регуляторів унеможливлює існування правової держави, оскільки саме завдяки узгодженій взаємодії права і моралі забезпечується впорядкування суспільних процесів, спрямоване на регулювання поведінки людей та захист інтересів як окремої особи, так і суспільства загалом.</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Право охоплює ключові сфери суспільного регулювання, тоді як мораль пронизує міжособистісні відносини і знаходить відображення у значній кількості правових приписів. Для дослідження норм права і моралі необхідно </w:t>
      </w:r>
      <w:r w:rsidRPr="00FD38BE">
        <w:rPr>
          <w:rFonts w:eastAsia="Calibri"/>
          <w:sz w:val="28"/>
          <w:szCs w:val="28"/>
          <w:lang w:val="uk-UA" w:eastAsia="en-US"/>
        </w:rPr>
        <w:lastRenderedPageBreak/>
        <w:t>визначити їх зміст, з’ясувати спільні та відмінні ознаки й проаналізувати характер їх взаємозв’язку. У юридичній науці сформовано чимало підходів до розуміння поняття «право», і цей перелік не є вичерпним.</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Право і мораль традиційно пов’язуються з регулюванням поведінки людини у суспільстві. Право – це система загальнообов’язкових норм, встановлених або санкціонованих державою, які регулюють суспільні відносини [1, c. 11]. Мораль – це система цінностей, переконань і уявлень про належне й неналежне, що визначає поведінку людини на основі її внутрішніх переконань [5, c. 9]. Ці два феномени тісно взаємодіють, однак мають різну природу. Право функціонує як формалізована нормативна система, що встановлює чіткі правила поведінки. Мораль відображає систему оцінок і переконань, які особа сприймає як правильні або неправильні. Проблема взаємозв’язку права і моралі належить до найбільш дискусійних у філософії права та юриспруденції.</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Існує чимало ситуацій, у яких право і мораль взаємно впливають одне на одного. Розуміння цієї взаємодії має принципове значення для вирішення юридичних спорів і подолання соціальних конфліктів. Водночас зміни у моральних орієнтирах суспільства нерідко зумовлюють трансформацію правових норм, так само як і правові реформи можуть впливати на моральні уявлення. Тому дослідження співвідношення права і моралі є важливим для осмислення засад правової та моральної культури суспільства.</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Однією з ключових відмінностей між правом і мораллю є характер їх обов’язковості [4, c.430]. Право має імперативний характер і підкріплюється системою юридичних санкцій у разі порушення. Мораль ґрунтується на внутрішній відповідальності особи, її совісті та суспільній оцінці, не передбачаючи державного примусу. Крім того, право характеризується формалізованою структурою та процедурністю, тоді як мораль може мати неформальний характер і базуватися на традиціях, звичаях і культурних установках.</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Незважаючи на наявні відмінності, право і мораль перебувають у тісному взаємозв’язку. Значна частина моральних приписів знаходить своє </w:t>
      </w:r>
      <w:r w:rsidRPr="00FD38BE">
        <w:rPr>
          <w:rFonts w:eastAsia="Calibri"/>
          <w:sz w:val="28"/>
          <w:szCs w:val="28"/>
          <w:lang w:val="uk-UA" w:eastAsia="en-US"/>
        </w:rPr>
        <w:lastRenderedPageBreak/>
        <w:t>відображення у правових нормах – зокрема заборона позбавлення життя, посягання на власність чи заподіяння шкоди іншій особі. Більше того, чимало юридичних приписів ґрунтуються на усталених моральних переконаннях суспільства – це стосується, зокрема, забезпечення прав і свобод людини, охорони довкілля, захисту гідності та честі особи.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Мораль (від лат. moralitas – моральність) розглядається як різновид соціальних норм, що підтримуються суспільною думкою та відображають уявлення про належне, справедливе, добре і зле [6, c. 208]. Як одна з найдавніших форм суспільної свідомості, мораль виникла разом із формуванням людських спільнот. Вона є сукупністю принципів, правил і стандартів поведінки, якими керуються індивіди у своїй діяльності. І мораль, і моральність є продуктами історично сформованих суспільних відносин.</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Суспільна мораль як система базових правил поведінки, що спираються на категорії добра і зла, формується в конкретних історичних умовах і, як правило, відображає інтереси певних соціальних груп – релігійних, національних, професійних чи інших. Водночас вона претендує на універсальність, оскільки регулює міжособистісні відносини та визначає стандарти прийнятної поведінки.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Право (від лат. justitia – справедливість, правосуддя) постає як система загальнообов’язкових норм поведінки, встановлених або санкціонованих державою та забезпечених можливістю примусу [6, c. 588]. Воно виникає разом із появою державності та не може ігнорувати моральні засади, які тривалий час добровільно визнавалися суспільством. Потреба у правовому регулюванні з’являється тоді, коли моральних норм виявляється недостатньо для ефективного впорядкування суспільних відносин або коли їх дотримання не забезпечує належного рівня соціальної стабільності. У разі порушення правових норм держава застосовує механізми юридичної відповідальності.</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Оскільки і моральні, і правові норми спрямовані на збереження суспільної рівноваги та впорядкування соціальних процесів, вони виступають соціальною цінністю, що відображає інтереси суспільства в цілому. Порушення моральних і правових приписів тягне різні негативні наслідки для особи. </w:t>
      </w:r>
      <w:r w:rsidRPr="00FD38BE">
        <w:rPr>
          <w:rFonts w:eastAsia="Calibri"/>
          <w:sz w:val="28"/>
          <w:szCs w:val="28"/>
          <w:lang w:val="uk-UA" w:eastAsia="en-US"/>
        </w:rPr>
        <w:lastRenderedPageBreak/>
        <w:t>Водночас не можна однозначно стверджувати, що право є більш суворим регулятором лише через наявність санкцій. Порушення моральних норм, пов’язаних із категоріями обов’язку, честі, гідності, репутації, а також суспільний осуд можуть спричиняти для особи значно глибші внутрішні переживання та психологічний дискомфорт, ніж формальні юридичні наслідки.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Право і мораль, будучи автономними за своєю природою соціальними регуляторами, мають самостійне значення та виконують власні функції у суспільстві. Кожен із цих феноменів здійснює специфічний вплив на поведінку людини та розвиток суспільних відносин, однак їхня ефективність значною мірою залежить від взаємної узгодженості, особливо в умовах утвердження принципу верховенства права та забезпечення прав людини.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Моральні норми, будучи складником духовної сфери суспільства, формують систему ціннісних орієнтирів, що впливають на правосвідомість та визначають межі соціально прийнятної поведінки. Право, у свою чергу, інституціоналізує частину цих орієнтирів, надаючи їм загальнообов’язкового характеру та забезпечуючи державними гарантіями. Ігнорування моральних засад у процесі правотворчості та правозастосування здатне призвести до деформації принципу верховенства права, звуження змісту прав і свобод людини та посилення владного свавілля. Водночас підміна моральних імперативів ідеологічними конструкціями створює ризик використання права як інструменту маніпуляції суспільною свідомістю, що суперечить природі правової держави.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У контексті соціальної держави право покликане узгоджувати інтереси різних соціальних груп, забезпечуючи баланс між принципами справедливості, рівності та доцільності. Законодавство у сфері соціального та пенсійного забезпечення має відповідати не лише формальним вимогам юридичної визначеності, а й моральним критеріям справедливості та добросовісності. Стабільність і передбачуваність правового регулювання, дотримання принципу адресності соціальної підтримки, недопущення зловживань та соціального утриманства – це умови, за яких право здатне виконувати свою конституційну функцію гарантування прав людини. Саме гармонійне поєднання юридичної </w:t>
      </w:r>
      <w:r w:rsidRPr="00FD38BE">
        <w:rPr>
          <w:rFonts w:eastAsia="Calibri"/>
          <w:sz w:val="28"/>
          <w:szCs w:val="28"/>
          <w:lang w:val="uk-UA" w:eastAsia="en-US"/>
        </w:rPr>
        <w:lastRenderedPageBreak/>
        <w:t>обов’язковості та моральної легітимності є передумовою утвердження ефективного правопорядку.</w:t>
      </w:r>
    </w:p>
    <w:p w:rsidR="00076275" w:rsidRPr="00FD38BE" w:rsidRDefault="00076275" w:rsidP="00076275">
      <w:pPr>
        <w:spacing w:line="360" w:lineRule="auto"/>
        <w:ind w:firstLine="709"/>
        <w:contextualSpacing/>
        <w:jc w:val="both"/>
        <w:rPr>
          <w:rFonts w:eastAsia="Calibri"/>
          <w:sz w:val="28"/>
          <w:szCs w:val="28"/>
          <w:lang w:val="uk-UA" w:eastAsia="en-US"/>
        </w:rPr>
      </w:pPr>
    </w:p>
    <w:p w:rsidR="00076275" w:rsidRPr="00FD38BE" w:rsidRDefault="00076275" w:rsidP="00076275">
      <w:pPr>
        <w:spacing w:line="360" w:lineRule="auto"/>
        <w:ind w:firstLine="709"/>
        <w:contextualSpacing/>
        <w:jc w:val="center"/>
        <w:rPr>
          <w:rFonts w:eastAsia="Calibri"/>
          <w:b/>
          <w:bCs/>
          <w:sz w:val="28"/>
          <w:szCs w:val="28"/>
          <w:lang w:val="uk-UA" w:eastAsia="en-US"/>
        </w:rPr>
      </w:pPr>
      <w:r w:rsidRPr="00FD38BE">
        <w:rPr>
          <w:rFonts w:eastAsia="Calibri"/>
          <w:b/>
          <w:bCs/>
          <w:sz w:val="28"/>
          <w:szCs w:val="28"/>
          <w:lang w:val="uk-UA" w:eastAsia="en-US"/>
        </w:rPr>
        <w:t>СПИСОК ВИКОРИСТАНИХ ДЖЕРЕЛ</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1.</w:t>
      </w:r>
      <w:r w:rsidRPr="00FD38BE">
        <w:rPr>
          <w:rFonts w:eastAsia="Calibri"/>
          <w:sz w:val="28"/>
          <w:szCs w:val="28"/>
          <w:lang w:val="uk-UA" w:eastAsia="en-US"/>
        </w:rPr>
        <w:tab/>
        <w:t>Барбаш Д. Конфлікт між мораллю і правом у кримінальному провадженні: теоретичні аспекти та практичні приклади. Електронний науковий юридичний журнал «Сократ». 2023. № 27 (3). С. 9–16. DOI: 10.25143/socr.27.2023.3.09-16.</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2.</w:t>
      </w:r>
      <w:r w:rsidRPr="00FD38BE">
        <w:rPr>
          <w:rFonts w:eastAsia="Calibri"/>
          <w:sz w:val="28"/>
          <w:szCs w:val="28"/>
          <w:lang w:val="uk-UA" w:eastAsia="en-US"/>
        </w:rPr>
        <w:tab/>
        <w:t>Конституція України : Закон України від 28 червня 1996 р. № 254к/96-ВР / Верховна Рада України. URL: https://zakon.rada.gov.ua/laws/show/254к/96-вр (дата звернення: 27.02.2026).</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3.</w:t>
      </w:r>
      <w:r w:rsidRPr="00FD38BE">
        <w:rPr>
          <w:rFonts w:eastAsia="Calibri"/>
          <w:sz w:val="28"/>
          <w:szCs w:val="28"/>
          <w:lang w:val="uk-UA" w:eastAsia="en-US"/>
        </w:rPr>
        <w:tab/>
        <w:t>Jorovlea E. A comparative analysis of ethical frameworks: examining the principles and applications of utilitarianism, deontology, and virtue ethics in contemporary moral decision making. European Science. 2024. № 4, p. 35-40. P. 200–210. DOI: https://doi.org/10.30890/2709-2313.2024-35-00-031.</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4.</w:t>
      </w:r>
      <w:r w:rsidRPr="00FD38BE">
        <w:rPr>
          <w:rFonts w:eastAsia="Calibri"/>
          <w:sz w:val="28"/>
          <w:szCs w:val="28"/>
          <w:lang w:val="uk-UA" w:eastAsia="en-US"/>
        </w:rPr>
        <w:tab/>
        <w:t>Landowska A., Budzyńska K., Zhang H. Quantitative and qualitative analysis of moral foundations in legal argumentation. Argumentation. 2024. Vol. 38. No. 3. P. 405–434. URL: https://link.springer.com/article/10.1007/s10503-024-09636-x (дата звернення: 27.02.2026).</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5.</w:t>
      </w:r>
      <w:r w:rsidRPr="00FD38BE">
        <w:rPr>
          <w:rFonts w:eastAsia="Calibri"/>
          <w:sz w:val="28"/>
          <w:szCs w:val="28"/>
          <w:lang w:val="uk-UA" w:eastAsia="en-US"/>
        </w:rPr>
        <w:tab/>
        <w:t>Шевченко Л.А. Принцип верховенства права як відображення взаємодії норм права та норм моралі. Збірник наукових праць Харківського національного педагогічного університету імені Г. С. Сковороди. Серія «Право». 2022. Вип. 35. С. 7–11.</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6.</w:t>
      </w:r>
      <w:r w:rsidRPr="00FD38BE">
        <w:rPr>
          <w:rFonts w:eastAsia="Calibri"/>
          <w:sz w:val="28"/>
          <w:szCs w:val="28"/>
          <w:lang w:val="uk-UA" w:eastAsia="en-US"/>
        </w:rPr>
        <w:tab/>
        <w:t>Філософський енциклопедичний словник / В. І. Шинкарук та ін. Київ : Абрис, 2002. 751 с.</w:t>
      </w:r>
    </w:p>
    <w:p w:rsidR="00076275" w:rsidRDefault="00076275" w:rsidP="00076275">
      <w:pPr>
        <w:spacing w:line="360" w:lineRule="auto"/>
        <w:rPr>
          <w:rFonts w:eastAsia="Calibri"/>
          <w:sz w:val="28"/>
          <w:szCs w:val="28"/>
          <w:lang w:val="uk-UA" w:eastAsia="en-US"/>
        </w:rPr>
      </w:pPr>
    </w:p>
    <w:p w:rsidR="00076275" w:rsidRPr="00FD38BE" w:rsidRDefault="00076275" w:rsidP="00076275">
      <w:pPr>
        <w:spacing w:line="360" w:lineRule="auto"/>
        <w:rPr>
          <w:b/>
          <w:bCs/>
          <w:sz w:val="28"/>
          <w:szCs w:val="28"/>
          <w:lang w:val="uk-UA" w:eastAsia="en-US"/>
        </w:rPr>
      </w:pPr>
    </w:p>
    <w:p w:rsidR="00076275" w:rsidRPr="00FD38BE" w:rsidRDefault="00076275" w:rsidP="00076275">
      <w:pPr>
        <w:spacing w:line="360" w:lineRule="auto"/>
        <w:ind w:firstLine="709"/>
        <w:jc w:val="center"/>
        <w:rPr>
          <w:sz w:val="28"/>
          <w:szCs w:val="28"/>
          <w:lang w:val="uk-UA" w:eastAsia="en-US"/>
        </w:rPr>
      </w:pPr>
      <w:r w:rsidRPr="00FD38BE">
        <w:rPr>
          <w:b/>
          <w:bCs/>
          <w:sz w:val="28"/>
          <w:szCs w:val="28"/>
          <w:lang w:val="uk-UA" w:eastAsia="en-US"/>
        </w:rPr>
        <w:t>ДО ПИТАННЯ МЕХАНІЗМІВ ПРАВОВОЇ РЕЗИЛЬЄНТНОСТІ ГОСПОДАРСЬКОГО СУДОЧИНСТВА (НА ПРИКЛАДІ РІШЕННЯ КОНСТИТУЦІЙНОГО СУДУ УКРАЇНИ ВІД 3 ГРУДНЯ 2025 РОКУ № 6-</w:t>
      </w:r>
      <w:r w:rsidRPr="00FD38BE">
        <w:rPr>
          <w:b/>
          <w:bCs/>
          <w:sz w:val="28"/>
          <w:szCs w:val="28"/>
          <w:lang w:val="uk-UA" w:eastAsia="en-US"/>
        </w:rPr>
        <w:lastRenderedPageBreak/>
        <w:t>Р(II)/2025</w:t>
      </w:r>
      <w:r w:rsidRPr="00FD38BE">
        <w:rPr>
          <w:bCs/>
          <w:sz w:val="28"/>
          <w:szCs w:val="28"/>
          <w:lang w:val="uk-UA" w:eastAsia="en-US"/>
        </w:rPr>
        <w:t xml:space="preserve"> </w:t>
      </w:r>
      <w:r w:rsidRPr="00FD38BE">
        <w:rPr>
          <w:b/>
          <w:bCs/>
          <w:sz w:val="28"/>
          <w:szCs w:val="28"/>
          <w:lang w:val="uk-UA" w:eastAsia="en-US"/>
        </w:rPr>
        <w:t>У СПРАВІ ЩОДО ПРЕДСТАВНИЦТВА ПРОКУРОРОМ ІНТЕРЕСІВ ДЕРЖАВИ В СУДІ)</w:t>
      </w:r>
    </w:p>
    <w:p w:rsidR="00076275" w:rsidRPr="00FD38BE" w:rsidRDefault="00076275" w:rsidP="00076275">
      <w:pPr>
        <w:spacing w:line="360" w:lineRule="auto"/>
        <w:ind w:firstLine="709"/>
        <w:jc w:val="center"/>
        <w:rPr>
          <w:b/>
          <w:bCs/>
          <w:i/>
          <w:sz w:val="28"/>
          <w:szCs w:val="28"/>
          <w:lang w:val="uk-UA" w:eastAsia="en-US"/>
        </w:rPr>
      </w:pPr>
      <w:r w:rsidRPr="00FD38BE">
        <w:rPr>
          <w:b/>
          <w:bCs/>
          <w:i/>
          <w:sz w:val="28"/>
          <w:szCs w:val="28"/>
          <w:lang w:val="uk-UA" w:eastAsia="en-US"/>
        </w:rPr>
        <w:t>Згама Антоніна Олександрівна</w:t>
      </w:r>
    </w:p>
    <w:p w:rsidR="00076275" w:rsidRPr="00FD38BE" w:rsidRDefault="00076275" w:rsidP="00076275">
      <w:pPr>
        <w:spacing w:line="360" w:lineRule="auto"/>
        <w:ind w:firstLine="709"/>
        <w:jc w:val="center"/>
        <w:rPr>
          <w:bCs/>
          <w:i/>
          <w:sz w:val="28"/>
          <w:szCs w:val="28"/>
          <w:lang w:val="uk-UA" w:eastAsia="en-US"/>
        </w:rPr>
      </w:pPr>
      <w:r w:rsidRPr="00FD38BE">
        <w:rPr>
          <w:bCs/>
          <w:i/>
          <w:sz w:val="28"/>
          <w:szCs w:val="28"/>
          <w:lang w:val="uk-UA" w:eastAsia="en-US"/>
        </w:rPr>
        <w:t>Міжнародний університет,</w:t>
      </w:r>
    </w:p>
    <w:p w:rsidR="00076275" w:rsidRPr="00FD38BE" w:rsidRDefault="00076275" w:rsidP="00076275">
      <w:pPr>
        <w:spacing w:line="360" w:lineRule="auto"/>
        <w:ind w:firstLine="709"/>
        <w:jc w:val="center"/>
        <w:rPr>
          <w:bCs/>
          <w:i/>
          <w:sz w:val="28"/>
          <w:szCs w:val="28"/>
          <w:lang w:val="uk-UA" w:eastAsia="en-US"/>
        </w:rPr>
      </w:pPr>
      <w:r w:rsidRPr="00FD38BE">
        <w:rPr>
          <w:bCs/>
          <w:i/>
          <w:sz w:val="28"/>
          <w:szCs w:val="28"/>
          <w:lang w:val="uk-UA" w:eastAsia="en-US"/>
        </w:rPr>
        <w:t>доцент кафедри державно-правових дисциплін, кандидат юридичних наук, доцент</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Сучасний етап розвитку господарського судочинства в Україні характеризується впливом системних трансформацій, зумовлених як європейською інтеграцією, так і необхідністю забезпечення ефективного судового захисту в умовах підвищеної динаміки правового регулювання та кризових явищ. За таких умов особливої ваги набуває категорія правової резильєнтності судової системи, яка відображає її здатність зберігати функціональну цілісність, стабільність правозастосування та відповідність конституційним цінностям, адаптуючись до змін нормативного середовища. У сфері господарського судочинства така резильєнтність безпосередньо пов’язана із забезпеченням процесуального балансу сторін, передбачуваності судової практики, юридичної визначеності та ефективності судового захисту прав та інтересів суб’єктів господарювання.</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Одним із чинників, що впливають на стан правової резильєнтності господарського процесу, є нормативна модель участі прокурора у судовому провадженні в інтересах держави. Традиційно цей інститут розглядався як інструмент забезпечення публічного інтересу, однак його практична реалізація тривалий час супроводжувалася ризиками порушення процесуальної рівності сторін, підміни компетентних органів державної влади та розширеного тлумачення підстав представництва. </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Як неодноразово відмічалося в правничій літературі, розширене тлумачення випадків (підстав) для представництва прокурором інтересів держави в суді не відповідає принципу змагальності сторін та свободи в наданні ними суду своїх доказів і у доведенні перед судом їх переконливості, який є однією із засад правосуддя (п.3ч.2ст.129Конституції України), відтак, ці випадки мають бути встановлені спеціальним законодавством (у ГПК України </w:t>
      </w:r>
      <w:r w:rsidRPr="00FD38BE">
        <w:rPr>
          <w:sz w:val="28"/>
          <w:szCs w:val="28"/>
          <w:lang w:val="uk-UA" w:eastAsia="en-US"/>
        </w:rPr>
        <w:lastRenderedPageBreak/>
        <w:t xml:space="preserve">закріплено лише загальні можливості щодо звернення прокурора для захисту інтересів держави, без встановлення «виключних» випадків) [1, </w:t>
      </w:r>
      <w:r w:rsidRPr="00FD38BE">
        <w:rPr>
          <w:sz w:val="28"/>
          <w:szCs w:val="28"/>
          <w:lang w:val="en-US" w:eastAsia="en-US"/>
        </w:rPr>
        <w:t>c</w:t>
      </w:r>
      <w:r w:rsidRPr="00FD38BE">
        <w:rPr>
          <w:sz w:val="28"/>
          <w:szCs w:val="28"/>
          <w:lang w:val="uk-UA" w:eastAsia="en-US"/>
        </w:rPr>
        <w:t>. 203].</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У такому контексті принципове значення має рішення Конституційного Суду України від 3 грудня 2025 року № 6-р(II)/2025 у справі за конституційною скаргою Товариства з обмеженою відповідальністю «Рейнір Бізнес Груп», у якому сформульовано нові конституційні орієнтири щодо застосування приписів статті 23 Закону України «Про прокуратуру».</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Конституційна модель участі прокуратури у судовому процесі виходить із принципу </w:t>
      </w:r>
      <w:r w:rsidRPr="00FD38BE">
        <w:rPr>
          <w:bCs/>
          <w:sz w:val="28"/>
          <w:szCs w:val="28"/>
          <w:lang w:val="uk-UA" w:eastAsia="en-US"/>
        </w:rPr>
        <w:t>винятковості</w:t>
      </w:r>
      <w:r w:rsidRPr="00FD38BE">
        <w:rPr>
          <w:sz w:val="28"/>
          <w:szCs w:val="28"/>
          <w:lang w:val="uk-UA" w:eastAsia="en-US"/>
        </w:rPr>
        <w:t xml:space="preserve"> представництва інтересів держави. Відповідно до п. 3 ч. 1 ст. 131-1 Конституції України прокуратура здійснює таке представництво лише у виключних випадках і в порядку, визначеному законом. Зазначене положення має системоутворюючий характер і покликане обмежити надмірне втручання прокуратури у сферу публічно-правових та господарських правовідносин. Разом із тим чинна редакція абз. 1 ч. 3 ст. 23 Закону України «Про прокуратуру» формулює підстави представництва значно ширше, </w:t>
      </w:r>
      <w:r w:rsidRPr="00FD38BE">
        <w:rPr>
          <w:rFonts w:eastAsia="Calibri"/>
          <w:sz w:val="28"/>
          <w:szCs w:val="28"/>
          <w:shd w:val="clear" w:color="auto" w:fill="FFFFFF"/>
          <w:lang w:val="uk-UA" w:eastAsia="en-US"/>
        </w:rPr>
        <w:t xml:space="preserve">надаючи прокуророві можливість здійснювати представництво інтересів держави в суді у зв’язку з нездійсненням або неналежним здійсненням захисту цих інтересів органом державної влади, органом місцевого самоврядування чи іншим суб’єктом владних повноважень, до компетенції якого віднесені відповідні повноваження. </w:t>
      </w:r>
      <w:r w:rsidRPr="00FD38BE">
        <w:rPr>
          <w:sz w:val="28"/>
          <w:szCs w:val="28"/>
          <w:lang w:val="uk-UA" w:eastAsia="en-US"/>
        </w:rPr>
        <w:t>Такий підхід фактично розширює сферу прокурорського представництва та створює ризик відходу від конституційного критерію «виключності».</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З одного боку, обмеження дискреції прокуратури у сфері представництва інтересів держави дійсно сприяє зниженню рівня процесуальної асиметрії, підвищує передбачуваність судових рішень і забезпечує стабільність господарського обороту. У такий спосіб реалізується одна з ключових функцій правової резильєнтності - здатність судової системи нейтралізувати дестабілізуючі фактори шляхом конституційно орієнтованого тлумачення норм права. Значення цього рішення також полягає у посиленні юридичної визначеності як складової принципу верховенства права. Чітке окреслення умов участі прокурора у господарському процесі створює для суб’єктів </w:t>
      </w:r>
      <w:r w:rsidRPr="00FD38BE">
        <w:rPr>
          <w:sz w:val="28"/>
          <w:szCs w:val="28"/>
          <w:lang w:val="uk-UA" w:eastAsia="en-US"/>
        </w:rPr>
        <w:lastRenderedPageBreak/>
        <w:t>господарювання передбачуване процесуальне середовище, у якому ризик довільного втручання держави у приватноправові відносини є мінімізованим, що у свою чергу, сприяє формуванню легітимних очікувань учасників господарського обороту та підвищує рівень довіри до судової влади.</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З іншого боку, занадто вузьке тлумачення підстав участі прокурора у судовому процесі (зокрема, у господарському) здатне </w:t>
      </w:r>
      <w:r w:rsidRPr="00FD38BE">
        <w:rPr>
          <w:bCs/>
          <w:sz w:val="28"/>
          <w:szCs w:val="28"/>
          <w:lang w:val="uk-UA" w:eastAsia="en-US"/>
        </w:rPr>
        <w:t>ускладнити або навіть унеможливити оперативне реагування на порушення інтересів держави</w:t>
      </w:r>
      <w:r w:rsidRPr="00FD38BE">
        <w:rPr>
          <w:sz w:val="28"/>
          <w:szCs w:val="28"/>
          <w:lang w:val="uk-UA" w:eastAsia="en-US"/>
        </w:rPr>
        <w:t xml:space="preserve"> у випадках, коли уповноважені органи влади з різних причин не здійснюють належного захисту. Такими причинами можуть бути інституційна слабкість відповідних органів, конфлікт інтересів, корупційні ризики або відсутність достатніх ресурсів для належного процесуального представництва. У подібних ситуаціях прокуратура фактично виконує роль </w:t>
      </w:r>
      <w:r w:rsidRPr="00FD38BE">
        <w:rPr>
          <w:bCs/>
          <w:sz w:val="28"/>
          <w:szCs w:val="28"/>
          <w:lang w:val="uk-UA" w:eastAsia="en-US"/>
        </w:rPr>
        <w:t>компенсаторного механізму захисту публічних інтересів</w:t>
      </w:r>
      <w:r w:rsidRPr="00FD38BE">
        <w:rPr>
          <w:sz w:val="28"/>
          <w:szCs w:val="28"/>
          <w:lang w:val="uk-UA" w:eastAsia="en-US"/>
        </w:rPr>
        <w:t xml:space="preserve">, і надмірне звуження її повноважень може призвести до формування прогалин у механізмі судового захисту. Крім того, жорстка формалізація критеріїв «виключності» випадків прокурорського представництва може спричинити </w:t>
      </w:r>
      <w:r w:rsidRPr="00FD38BE">
        <w:rPr>
          <w:bCs/>
          <w:sz w:val="28"/>
          <w:szCs w:val="28"/>
          <w:lang w:val="uk-UA" w:eastAsia="en-US"/>
        </w:rPr>
        <w:t>зростання процесуального формалізму</w:t>
      </w:r>
      <w:r w:rsidRPr="00FD38BE">
        <w:rPr>
          <w:sz w:val="28"/>
          <w:szCs w:val="28"/>
          <w:lang w:val="uk-UA" w:eastAsia="en-US"/>
        </w:rPr>
        <w:t>, коли ключовим предметом спору стає не зміст порушених інтересів держави, а питання наявності чи відсутності формальних підстав для участі прокурора у справі. У такому разі судовий розгляд може зміщуватися з матеріально-правового аспекту спору до процесуального, що потенційно знижує ефективність судового захисту.</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Окремим ризиком є й те, що </w:t>
      </w:r>
      <w:r w:rsidRPr="00FD38BE">
        <w:rPr>
          <w:bCs/>
          <w:sz w:val="28"/>
          <w:szCs w:val="28"/>
          <w:lang w:val="uk-UA" w:eastAsia="en-US"/>
        </w:rPr>
        <w:t>обмеження представницьких повноважень прокуратури може послабити превентивну функцію державного контролю</w:t>
      </w:r>
      <w:r w:rsidRPr="00FD38BE">
        <w:rPr>
          <w:sz w:val="28"/>
          <w:szCs w:val="28"/>
          <w:lang w:val="uk-UA" w:eastAsia="en-US"/>
        </w:rPr>
        <w:t xml:space="preserve"> у сфері господарських правовідносин. Усвідомлення суб’єктами господарювання того, що можливості прокуратури щодо втручання у випадках порушення публічних інтересів є суттєво обмеженими, може знижувати стримуючий ефект такого контролю.</w:t>
      </w:r>
    </w:p>
    <w:p w:rsidR="00076275" w:rsidRPr="00FD38BE" w:rsidRDefault="00076275" w:rsidP="00076275">
      <w:pPr>
        <w:spacing w:line="360" w:lineRule="auto"/>
        <w:ind w:firstLine="709"/>
        <w:jc w:val="both"/>
        <w:rPr>
          <w:rFonts w:eastAsia="Calibri"/>
          <w:sz w:val="28"/>
          <w:szCs w:val="28"/>
          <w:shd w:val="clear" w:color="auto" w:fill="FFFFFF"/>
          <w:lang w:val="uk-UA" w:eastAsia="en-US"/>
        </w:rPr>
      </w:pPr>
      <w:r w:rsidRPr="00FD38BE">
        <w:rPr>
          <w:rFonts w:eastAsia="Calibri"/>
          <w:bCs/>
          <w:sz w:val="28"/>
          <w:szCs w:val="28"/>
          <w:shd w:val="clear" w:color="auto" w:fill="FFFFFF"/>
          <w:lang w:val="uk-UA" w:eastAsia="en-US"/>
        </w:rPr>
        <w:t>Переконливими є побоювання судді Конституційного Суду України В. Лемака, висловлене в окремій думці судді, що «публічний інтерес (як у зазначеному випадку) може опинитися під загрозою залишитися без інституційного захисту загалом.</w:t>
      </w:r>
      <w:r w:rsidRPr="00FD38BE">
        <w:rPr>
          <w:rFonts w:eastAsia="Calibri"/>
          <w:sz w:val="28"/>
          <w:szCs w:val="28"/>
          <w:shd w:val="clear" w:color="auto" w:fill="FFFFFF"/>
          <w:lang w:val="uk-UA" w:eastAsia="en-US"/>
        </w:rPr>
        <w:t xml:space="preserve"> Можна сформулювати іншими словами - </w:t>
      </w:r>
      <w:r w:rsidRPr="00FD38BE">
        <w:rPr>
          <w:rFonts w:eastAsia="Calibri"/>
          <w:sz w:val="28"/>
          <w:szCs w:val="28"/>
          <w:shd w:val="clear" w:color="auto" w:fill="FFFFFF"/>
          <w:lang w:val="uk-UA" w:eastAsia="en-US"/>
        </w:rPr>
        <w:lastRenderedPageBreak/>
        <w:t xml:space="preserve">захист публічного інтересу (дотримання закону) ставиться в залежність від наміру суб’єкта владних повноважень його захищати. Це не відповідає низці конституційних принципів (верховенства права, неперервності здійснення конституційної влади тощо)» </w:t>
      </w:r>
      <w:r w:rsidRPr="00FD38BE">
        <w:rPr>
          <w:rFonts w:eastAsia="Calibri"/>
          <w:sz w:val="28"/>
          <w:szCs w:val="28"/>
          <w:shd w:val="clear" w:color="auto" w:fill="FFFFFF"/>
          <w:lang w:eastAsia="en-US"/>
        </w:rPr>
        <w:t>[2]</w:t>
      </w:r>
      <w:r w:rsidRPr="00FD38BE">
        <w:rPr>
          <w:rFonts w:eastAsia="Calibri"/>
          <w:sz w:val="28"/>
          <w:szCs w:val="28"/>
          <w:shd w:val="clear" w:color="auto" w:fill="FFFFFF"/>
          <w:lang w:val="uk-UA" w:eastAsia="en-US"/>
        </w:rPr>
        <w:t>.</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 xml:space="preserve">Відповідно, надмірне звуження інструментів прокурорського представництва може </w:t>
      </w:r>
      <w:r w:rsidRPr="00FD38BE">
        <w:rPr>
          <w:bCs/>
          <w:sz w:val="28"/>
          <w:szCs w:val="28"/>
          <w:lang w:val="uk-UA" w:eastAsia="en-US"/>
        </w:rPr>
        <w:t>зменшити адаптивну здатність правової системи реагувати на нестандартні або кризові ситуації</w:t>
      </w:r>
      <w:r w:rsidRPr="00FD38BE">
        <w:rPr>
          <w:sz w:val="28"/>
          <w:szCs w:val="28"/>
          <w:lang w:val="uk-UA" w:eastAsia="en-US"/>
        </w:rPr>
        <w:t>, зокрема у періоди інституційної нестабільності чи воєнного стану, коли окремі органи державної влади можуть бути об’єктивно неспроможними забезпечити належний судовий захист інтересів держави.</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t>Стосовно правової резильєнтності господарського судочинства у світлі зазначеного рішення слід відмітити, що вона проявляється у декількох взаємопов’язаних вимірах. В інституційному аспекті йдеться про чітке розмежування функцій органів державної влади та прокуратури, що унеможливлює дублювання повноважень і забезпечує належну реалізацію принципу поділу влади. У процесуальному аспекті відбувається зміцнення засад змагальності та рівності сторін, оскільки участь прокурора перестає бути фактором, що створює структурну перевагу однієї зі сторін спору. У матеріально-правовому аспекті це рішення сприяє стабільності майнових відносин, оскільки обмежує можливості перегляду усталених господарських зв’язків з ініціативи прокуратури без наявності належних конституційних підстав.</w:t>
      </w:r>
    </w:p>
    <w:p w:rsidR="00076275" w:rsidRPr="00FD38BE" w:rsidRDefault="00076275" w:rsidP="00076275">
      <w:pPr>
        <w:spacing w:line="360" w:lineRule="auto"/>
        <w:ind w:firstLine="709"/>
        <w:jc w:val="both"/>
        <w:rPr>
          <w:rFonts w:eastAsia="Calibri"/>
          <w:sz w:val="28"/>
          <w:szCs w:val="28"/>
          <w:lang w:val="uk-UA" w:eastAsia="en-US"/>
        </w:rPr>
      </w:pPr>
      <w:r w:rsidRPr="00FD38BE">
        <w:rPr>
          <w:rFonts w:eastAsia="Calibri"/>
          <w:sz w:val="28"/>
          <w:szCs w:val="28"/>
          <w:lang w:val="uk-UA" w:eastAsia="en-US"/>
        </w:rPr>
        <w:t>Таким чином, аналізоване рішення Конституційного Суду України демонструє, що правова резильєнтність господарського судочинства виявляється не лише у здатності судової системи забезпечувати стабільність правового регулювання, але й у її спроможності підтримувати баланс між захистом публічних інтересів та гарантіями прав учасників господарських правовідносин. Саме така взаємодія інституційних, нормативних та процесуальних елементів формує основу для сталого та передбачуваного функціонування господарського правосуддя.</w:t>
      </w:r>
    </w:p>
    <w:p w:rsidR="00076275" w:rsidRPr="00FD38BE" w:rsidRDefault="00076275" w:rsidP="00076275">
      <w:pPr>
        <w:spacing w:line="360" w:lineRule="auto"/>
        <w:ind w:firstLine="709"/>
        <w:jc w:val="both"/>
        <w:rPr>
          <w:sz w:val="28"/>
          <w:szCs w:val="28"/>
          <w:lang w:val="uk-UA" w:eastAsia="en-US"/>
        </w:rPr>
      </w:pPr>
      <w:r w:rsidRPr="00FD38BE">
        <w:rPr>
          <w:sz w:val="28"/>
          <w:szCs w:val="28"/>
          <w:lang w:val="uk-UA" w:eastAsia="en-US"/>
        </w:rPr>
        <w:lastRenderedPageBreak/>
        <w:t xml:space="preserve">Наразі слід конкретизувати зміст поняття «виключні випадки» та передбачити чіткі критерії, за яких прокурор набуває права на представництво інтересів держави в суді. Зміни мають відобразити, що прокурор реалізує представницьку функцію лише як </w:t>
      </w:r>
      <w:r w:rsidRPr="00FD38BE">
        <w:rPr>
          <w:bCs/>
          <w:sz w:val="28"/>
          <w:szCs w:val="28"/>
          <w:lang w:val="uk-UA" w:eastAsia="en-US"/>
        </w:rPr>
        <w:t>субсидіарний механізм захисту інтересів держави</w:t>
      </w:r>
      <w:r w:rsidRPr="00FD38BE">
        <w:rPr>
          <w:sz w:val="28"/>
          <w:szCs w:val="28"/>
          <w:lang w:val="uk-UA" w:eastAsia="en-US"/>
        </w:rPr>
        <w:t xml:space="preserve">, тобто у випадках об’єктивної неможливості або очевидної неефективності захисту з боку уповноваженого органу. Запровадження більш чіткої законодавчої моделі сприятиме підвищенню </w:t>
      </w:r>
      <w:r w:rsidRPr="00FD38BE">
        <w:rPr>
          <w:bCs/>
          <w:sz w:val="28"/>
          <w:szCs w:val="28"/>
          <w:lang w:val="uk-UA" w:eastAsia="en-US"/>
        </w:rPr>
        <w:t>правової визначеності, передбачуваності судової практики та узгодженості конституційного й галузевого регулювання</w:t>
      </w:r>
      <w:r w:rsidRPr="00FD38BE">
        <w:rPr>
          <w:sz w:val="28"/>
          <w:szCs w:val="28"/>
          <w:lang w:val="uk-UA" w:eastAsia="en-US"/>
        </w:rPr>
        <w:t xml:space="preserve">, а також забезпечить баланс між повноваженнями прокуратури та компетенцією інших суб’єктів владних повноважень. </w:t>
      </w:r>
    </w:p>
    <w:p w:rsidR="00076275" w:rsidRPr="00FD38BE" w:rsidRDefault="00076275" w:rsidP="00076275">
      <w:pPr>
        <w:spacing w:line="360" w:lineRule="auto"/>
        <w:ind w:firstLine="709"/>
        <w:jc w:val="both"/>
        <w:rPr>
          <w:rFonts w:eastAsia="Calibri"/>
          <w:sz w:val="28"/>
          <w:szCs w:val="28"/>
          <w:shd w:val="clear" w:color="auto" w:fill="FFFFFF"/>
          <w:lang w:val="uk-UA" w:eastAsia="en-US"/>
        </w:rPr>
      </w:pPr>
      <w:r w:rsidRPr="00FD38BE">
        <w:rPr>
          <w:rFonts w:eastAsia="Calibri"/>
          <w:sz w:val="28"/>
          <w:szCs w:val="28"/>
          <w:lang w:val="uk-UA" w:eastAsia="en-US"/>
        </w:rPr>
        <w:t xml:space="preserve">З цього приводу суддя </w:t>
      </w:r>
      <w:r w:rsidRPr="00FD38BE">
        <w:rPr>
          <w:rFonts w:eastAsia="Calibri"/>
          <w:bCs/>
          <w:sz w:val="28"/>
          <w:szCs w:val="28"/>
          <w:shd w:val="clear" w:color="auto" w:fill="FFFFFF"/>
          <w:lang w:val="uk-UA" w:eastAsia="en-US"/>
        </w:rPr>
        <w:t>Конституційного Суду України В. Лемак</w:t>
      </w:r>
      <w:r w:rsidRPr="00FD38BE">
        <w:rPr>
          <w:rFonts w:eastAsia="Calibri"/>
          <w:sz w:val="28"/>
          <w:szCs w:val="28"/>
          <w:shd w:val="clear" w:color="auto" w:fill="FFFFFF"/>
          <w:lang w:val="uk-UA" w:eastAsia="en-US"/>
        </w:rPr>
        <w:t xml:space="preserve"> відзначив, що не розуміє «…як парламенту за допомогою законодавчого регулювання виконати рішення, яке вимагає „чіткий перелік</w:t>
      </w:r>
      <w:r w:rsidRPr="00FD38BE">
        <w:rPr>
          <w:rFonts w:eastAsia="Calibri"/>
          <w:bCs/>
          <w:sz w:val="28"/>
          <w:szCs w:val="28"/>
          <w:shd w:val="clear" w:color="auto" w:fill="FFFFFF"/>
          <w:vertAlign w:val="superscript"/>
          <w:lang w:val="uk-UA" w:eastAsia="en-US"/>
        </w:rPr>
        <w:t>“ </w:t>
      </w:r>
      <w:r w:rsidRPr="00FD38BE">
        <w:rPr>
          <w:rFonts w:eastAsia="Calibri"/>
          <w:sz w:val="28"/>
          <w:szCs w:val="28"/>
          <w:shd w:val="clear" w:color="auto" w:fill="FFFFFF"/>
          <w:lang w:val="uk-UA" w:eastAsia="en-US"/>
        </w:rPr>
        <w:t>випадків вступу прокурора в судовий процес на захист інтересів держави, розуміючи, що такого переліку загалом не може бути. Такого переліку не може бути, якщо міркувати, що інтереси держави (суспільства, громади) не можуть опинитися без судового захисту»</w:t>
      </w:r>
      <w:r w:rsidRPr="00FD38BE">
        <w:rPr>
          <w:rFonts w:eastAsia="Calibri"/>
          <w:sz w:val="28"/>
          <w:szCs w:val="28"/>
          <w:shd w:val="clear" w:color="auto" w:fill="FFFFFF"/>
          <w:lang w:eastAsia="en-US"/>
        </w:rPr>
        <w:t xml:space="preserve"> [2]</w:t>
      </w:r>
      <w:r w:rsidRPr="00FD38BE">
        <w:rPr>
          <w:rFonts w:eastAsia="Calibri"/>
          <w:sz w:val="28"/>
          <w:szCs w:val="28"/>
          <w:shd w:val="clear" w:color="auto" w:fill="FFFFFF"/>
          <w:lang w:val="uk-UA" w:eastAsia="en-US"/>
        </w:rPr>
        <w:t>. Тому чекаємо на подальші кроки законодавця.</w:t>
      </w:r>
    </w:p>
    <w:p w:rsidR="00076275" w:rsidRPr="00FD38BE" w:rsidRDefault="00076275" w:rsidP="00076275">
      <w:pPr>
        <w:spacing w:line="360" w:lineRule="auto"/>
        <w:ind w:firstLine="709"/>
        <w:jc w:val="both"/>
        <w:rPr>
          <w:rFonts w:eastAsia="Calibri"/>
          <w:sz w:val="28"/>
          <w:szCs w:val="28"/>
          <w:shd w:val="clear" w:color="auto" w:fill="FFFFFF"/>
          <w:lang w:val="uk-UA" w:eastAsia="en-US"/>
        </w:rPr>
      </w:pPr>
    </w:p>
    <w:p w:rsidR="00076275" w:rsidRPr="00FD38BE" w:rsidRDefault="00076275" w:rsidP="00076275">
      <w:pPr>
        <w:spacing w:line="360" w:lineRule="auto"/>
        <w:ind w:firstLine="709"/>
        <w:jc w:val="center"/>
        <w:rPr>
          <w:rFonts w:eastAsia="Calibri"/>
          <w:b/>
          <w:sz w:val="28"/>
          <w:szCs w:val="28"/>
          <w:shd w:val="clear" w:color="auto" w:fill="FFFFFF"/>
          <w:lang w:val="uk-UA" w:eastAsia="en-US"/>
        </w:rPr>
      </w:pPr>
      <w:r w:rsidRPr="00FD38BE">
        <w:rPr>
          <w:rFonts w:eastAsia="Calibri"/>
          <w:b/>
          <w:sz w:val="28"/>
          <w:szCs w:val="28"/>
          <w:shd w:val="clear" w:color="auto" w:fill="FFFFFF"/>
          <w:lang w:val="uk-UA" w:eastAsia="en-US"/>
        </w:rPr>
        <w:t>СПИСОК ВИКОРИСТАНИХ ДЖЕРЕЛ</w:t>
      </w:r>
    </w:p>
    <w:p w:rsidR="00076275" w:rsidRPr="00FD38BE" w:rsidRDefault="00076275" w:rsidP="00076275">
      <w:pPr>
        <w:numPr>
          <w:ilvl w:val="0"/>
          <w:numId w:val="12"/>
        </w:numPr>
        <w:spacing w:line="360" w:lineRule="auto"/>
        <w:ind w:left="0" w:firstLine="709"/>
        <w:jc w:val="both"/>
        <w:rPr>
          <w:rFonts w:eastAsia="Calibri"/>
          <w:sz w:val="28"/>
          <w:szCs w:val="28"/>
          <w:lang w:val="uk-UA" w:eastAsia="en-US"/>
        </w:rPr>
      </w:pPr>
      <w:r w:rsidRPr="00FD38BE">
        <w:rPr>
          <w:rFonts w:eastAsia="Calibri"/>
          <w:sz w:val="28"/>
          <w:szCs w:val="28"/>
          <w:lang w:val="uk-UA" w:eastAsia="en-US"/>
        </w:rPr>
        <w:t xml:space="preserve">Подцерковний О.П., Будурова Г.М., Гофман О.Р. Щодо підстав представництва інтересів держави в суді. </w:t>
      </w:r>
      <w:r w:rsidRPr="00FD38BE">
        <w:rPr>
          <w:rFonts w:eastAsia="Calibri"/>
          <w:i/>
          <w:sz w:val="28"/>
          <w:szCs w:val="28"/>
          <w:lang w:val="uk-UA" w:eastAsia="en-US"/>
        </w:rPr>
        <w:t>Юридичний науковий електронний журнал</w:t>
      </w:r>
      <w:r w:rsidRPr="00FD38BE">
        <w:rPr>
          <w:rFonts w:eastAsia="Calibri"/>
          <w:sz w:val="28"/>
          <w:szCs w:val="28"/>
          <w:lang w:val="uk-UA" w:eastAsia="en-US"/>
        </w:rPr>
        <w:t xml:space="preserve">. 2024. № 7. С. 201-205. </w:t>
      </w:r>
      <w:proofErr w:type="gramStart"/>
      <w:r w:rsidRPr="00FD38BE">
        <w:rPr>
          <w:bCs/>
          <w:sz w:val="28"/>
          <w:szCs w:val="28"/>
          <w:lang w:val="en-US" w:eastAsia="en-US"/>
        </w:rPr>
        <w:t>URL</w:t>
      </w:r>
      <w:r w:rsidRPr="00FD38BE">
        <w:rPr>
          <w:bCs/>
          <w:sz w:val="28"/>
          <w:szCs w:val="28"/>
          <w:lang w:eastAsia="en-US"/>
        </w:rPr>
        <w:t xml:space="preserve"> </w:t>
      </w:r>
      <w:r w:rsidRPr="00FD38BE">
        <w:rPr>
          <w:bCs/>
          <w:sz w:val="28"/>
          <w:szCs w:val="28"/>
          <w:lang w:val="uk-UA" w:eastAsia="en-US"/>
        </w:rPr>
        <w:t>:</w:t>
      </w:r>
      <w:proofErr w:type="gramEnd"/>
      <w:r w:rsidRPr="00FD38BE">
        <w:rPr>
          <w:bCs/>
          <w:sz w:val="28"/>
          <w:szCs w:val="28"/>
          <w:lang w:val="uk-UA" w:eastAsia="en-US"/>
        </w:rPr>
        <w:t xml:space="preserve"> </w:t>
      </w:r>
      <w:hyperlink r:id="rId39" w:history="1">
        <w:r w:rsidRPr="00FD38BE">
          <w:rPr>
            <w:rStyle w:val="af0"/>
            <w:rFonts w:eastAsia="Calibri"/>
            <w:color w:val="auto"/>
            <w:sz w:val="28"/>
            <w:szCs w:val="28"/>
            <w:lang w:val="uk-UA" w:eastAsia="en-US"/>
          </w:rPr>
          <w:t>https://lsej.org.ua/7_2024/49.pdf</w:t>
        </w:r>
      </w:hyperlink>
      <w:r w:rsidRPr="00FD38BE">
        <w:rPr>
          <w:rFonts w:eastAsia="Calibri"/>
          <w:sz w:val="28"/>
          <w:szCs w:val="28"/>
          <w:lang w:val="uk-UA" w:eastAsia="en-US"/>
        </w:rPr>
        <w:t xml:space="preserve">. </w:t>
      </w:r>
    </w:p>
    <w:p w:rsidR="00076275" w:rsidRPr="00FD38BE" w:rsidRDefault="00076275" w:rsidP="00076275">
      <w:pPr>
        <w:numPr>
          <w:ilvl w:val="0"/>
          <w:numId w:val="12"/>
        </w:numPr>
        <w:spacing w:line="360" w:lineRule="auto"/>
        <w:ind w:left="0" w:firstLine="709"/>
        <w:jc w:val="both"/>
        <w:rPr>
          <w:sz w:val="28"/>
          <w:szCs w:val="28"/>
          <w:lang w:val="uk-UA" w:eastAsia="en-US"/>
        </w:rPr>
      </w:pPr>
      <w:r w:rsidRPr="00FD38BE">
        <w:rPr>
          <w:bCs/>
          <w:sz w:val="28"/>
          <w:szCs w:val="28"/>
          <w:lang w:val="uk-UA" w:eastAsia="en-US"/>
        </w:rPr>
        <w:t xml:space="preserve">Окрема думка (розбіжна) судді Конституційного Суду України Василя Лемака стосовно Рішення Конституційного Суду України від 3 грудня 2025 року № 6-р(II)/2025 у справі за конституційною скаргою Товариства з обмеженою відповідальністю „Рейнір Бізнес Груп“ щодо відповідності Конституції України (конституційності) приписів абзацу першого частини третьої, абзаців першого, другого, третього частини четвертої статті 23 Закону України „Про прокуратуру“ від 14 жовтня 2014 року № 1697-VII (щодо представництва прокурором інтересів держави в суді). </w:t>
      </w:r>
      <w:r w:rsidRPr="00FD38BE">
        <w:rPr>
          <w:bCs/>
          <w:sz w:val="28"/>
          <w:szCs w:val="28"/>
          <w:lang w:val="en-US" w:eastAsia="en-US"/>
        </w:rPr>
        <w:t>URL</w:t>
      </w:r>
      <w:r w:rsidRPr="00FD38BE">
        <w:rPr>
          <w:bCs/>
          <w:sz w:val="28"/>
          <w:szCs w:val="28"/>
          <w:lang w:val="uk-UA" w:eastAsia="en-US"/>
        </w:rPr>
        <w:t xml:space="preserve"> : https://zakon.rada.gov.ua/laws/show/na06d710-25#n2</w:t>
      </w:r>
    </w:p>
    <w:p w:rsidR="00076275" w:rsidRDefault="00076275" w:rsidP="00076275">
      <w:pPr>
        <w:spacing w:line="360" w:lineRule="auto"/>
        <w:ind w:firstLine="709"/>
        <w:rPr>
          <w:rFonts w:eastAsia="Calibri"/>
          <w:sz w:val="28"/>
          <w:szCs w:val="28"/>
          <w:lang w:val="uk-UA" w:eastAsia="en-US"/>
        </w:rPr>
      </w:pPr>
    </w:p>
    <w:p w:rsidR="00076275" w:rsidRPr="00FD38BE" w:rsidRDefault="00076275" w:rsidP="00076275">
      <w:pPr>
        <w:spacing w:line="360" w:lineRule="auto"/>
        <w:ind w:firstLine="709"/>
        <w:rPr>
          <w:rFonts w:eastAsia="Calibri"/>
          <w:sz w:val="28"/>
          <w:szCs w:val="28"/>
          <w:lang w:val="uk-UA" w:eastAsia="en-US"/>
        </w:rPr>
      </w:pPr>
    </w:p>
    <w:p w:rsidR="00076275" w:rsidRPr="00FD38BE" w:rsidRDefault="00076275" w:rsidP="00076275">
      <w:pPr>
        <w:pBdr>
          <w:top w:val="nil"/>
          <w:left w:val="nil"/>
          <w:bottom w:val="nil"/>
          <w:right w:val="nil"/>
          <w:between w:val="nil"/>
        </w:pBdr>
        <w:spacing w:line="360" w:lineRule="auto"/>
        <w:ind w:firstLine="709"/>
        <w:jc w:val="center"/>
        <w:rPr>
          <w:sz w:val="28"/>
          <w:szCs w:val="28"/>
        </w:rPr>
      </w:pPr>
      <w:r w:rsidRPr="00FD38BE">
        <w:rPr>
          <w:b/>
          <w:bCs/>
          <w:sz w:val="28"/>
          <w:szCs w:val="28"/>
        </w:rPr>
        <w:t>ЗАХИСТ ПЕРСОНАЛЬНИХ ДАНИХ У ПРОЦЕСІ ЦИФРОВІЗАЦІЇ ПУБЛІЧНОГО УПРАВЛІННЯ</w:t>
      </w:r>
    </w:p>
    <w:p w:rsidR="00076275" w:rsidRPr="00FD38BE" w:rsidRDefault="00076275" w:rsidP="00076275">
      <w:pPr>
        <w:pBdr>
          <w:top w:val="nil"/>
          <w:left w:val="nil"/>
          <w:bottom w:val="nil"/>
          <w:right w:val="nil"/>
          <w:between w:val="nil"/>
        </w:pBdr>
        <w:spacing w:line="360" w:lineRule="auto"/>
        <w:ind w:firstLine="709"/>
        <w:jc w:val="center"/>
        <w:rPr>
          <w:i/>
          <w:iCs/>
          <w:sz w:val="28"/>
          <w:szCs w:val="28"/>
        </w:rPr>
      </w:pPr>
      <w:r w:rsidRPr="00FD38BE">
        <w:rPr>
          <w:b/>
          <w:bCs/>
          <w:i/>
          <w:iCs/>
          <w:sz w:val="28"/>
          <w:szCs w:val="28"/>
        </w:rPr>
        <w:t>Карагаш Е. Е.</w:t>
      </w:r>
      <w:r w:rsidRPr="00FD38BE">
        <w:rPr>
          <w:b/>
          <w:bCs/>
          <w:i/>
          <w:iCs/>
          <w:sz w:val="28"/>
          <w:szCs w:val="28"/>
        </w:rPr>
        <w:br/>
      </w:r>
      <w:r w:rsidRPr="00FD38BE">
        <w:rPr>
          <w:i/>
          <w:iCs/>
          <w:sz w:val="28"/>
          <w:szCs w:val="28"/>
        </w:rPr>
        <w:t>Студентка 3 курсу</w:t>
      </w:r>
      <w:r w:rsidRPr="00FD38BE">
        <w:rPr>
          <w:i/>
          <w:iCs/>
          <w:sz w:val="28"/>
          <w:szCs w:val="28"/>
        </w:rPr>
        <w:br/>
        <w:t>Фаховий коледж Міжнародного університету</w:t>
      </w:r>
      <w:r w:rsidRPr="00FD38BE">
        <w:rPr>
          <w:i/>
          <w:iCs/>
          <w:sz w:val="28"/>
          <w:szCs w:val="28"/>
        </w:rPr>
        <w:br/>
        <w:t>Науковий керівник: викладач ФК Міжнародного університету, доктор філософії в галузі Право, доцент Боксгорн А.В.</w:t>
      </w:r>
    </w:p>
    <w:p w:rsidR="00076275" w:rsidRPr="00FD38BE" w:rsidRDefault="00076275" w:rsidP="00076275">
      <w:pPr>
        <w:pBdr>
          <w:top w:val="nil"/>
          <w:left w:val="nil"/>
          <w:bottom w:val="nil"/>
          <w:right w:val="nil"/>
          <w:between w:val="nil"/>
        </w:pBdr>
        <w:spacing w:line="360" w:lineRule="auto"/>
        <w:ind w:firstLine="709"/>
        <w:jc w:val="both"/>
        <w:rPr>
          <w:sz w:val="28"/>
          <w:szCs w:val="28"/>
        </w:rPr>
      </w:pPr>
      <w:r w:rsidRPr="00FD38BE">
        <w:rPr>
          <w:sz w:val="28"/>
          <w:szCs w:val="28"/>
        </w:rPr>
        <w:t xml:space="preserve">Одним із ключових трендів сучасного державотворення в Україні є цифровізація публічного адміністрування, яка розглядається не лише як технічне оновлення органів влади, а як комплексний правовий, організаційний та інституційний процес [2]. Вона передбачає активне використання сучасних електронних сервісів, інформаційних систем та цифрових платформ. Упровадження цифрових технологій дає змогу оптимізувати управлінські процеси, підвищити ефективність діяльності державних органів та забезпечити громадянам більш зручний доступ до адміністративних послуг і не тільки [1], зокрема реєстрації актів цивільного стану, оформленні документів, що посвідчують особу, призначенні соціальної допомоги та здійсненні інших функцій держави [4]. В Україні прикладом успішної реалізації цифрових сервісів є портал державних послуг «Дія», який забезпечує отримання значної кількості адміністративних послуг у дистанційному форматі [5]. </w:t>
      </w:r>
    </w:p>
    <w:p w:rsidR="00076275" w:rsidRPr="00FD38BE" w:rsidRDefault="00076275" w:rsidP="00076275">
      <w:pPr>
        <w:pBdr>
          <w:top w:val="nil"/>
          <w:left w:val="nil"/>
          <w:bottom w:val="nil"/>
          <w:right w:val="nil"/>
          <w:between w:val="nil"/>
        </w:pBdr>
        <w:spacing w:line="360" w:lineRule="auto"/>
        <w:ind w:firstLine="709"/>
        <w:jc w:val="both"/>
        <w:rPr>
          <w:sz w:val="28"/>
          <w:szCs w:val="28"/>
        </w:rPr>
      </w:pPr>
      <w:r w:rsidRPr="00FD38BE">
        <w:rPr>
          <w:sz w:val="28"/>
          <w:szCs w:val="28"/>
        </w:rPr>
        <w:t xml:space="preserve">Варто відзначити, що правове регулювання цифровізації публічного адміністрування в Україні формується на кількох рівнях: конституційному, законодавчому та підзаконному. Усі ці акти створюють цілісну нормативну систему, яка визначає умови електронної взаємодії між державою, бізнесом і громадянами. Зокрема, Конституція України закріплює базові принципи, що становлять основу цифровізації публічного адміністрування. Так, наприклад, стаття 34 Конституції України гарантує право кожного на доступ до інформації. Центральне місце у нормативному регулюванні займають також спеціальні закони, спрямовані на запровадження цифрових механізмів у сфері публічного </w:t>
      </w:r>
      <w:r w:rsidRPr="00FD38BE">
        <w:rPr>
          <w:sz w:val="28"/>
          <w:szCs w:val="28"/>
        </w:rPr>
        <w:lastRenderedPageBreak/>
        <w:t>адміністрування. Так, Закон України «Про адміністративні послуги» від уперше закріпив концепцію адміністративних послуг як форми реалізації владних повноважень і створив передумови для їх електронного надання, Закон України «Про електронну ідентифікацію та електронні довірчі послуги» регламентує питання електронної ідентифікації, електронні довірчі послуги та нагляд та контроль у зазначених сферах. А Закон України «Про адміністративну процедуру» установлює єдині принципи й правила розгляду адміністративних справ, включаючи електронний формат процедур, що безпосередньо впливає на умови діяльності підприємців. Значний вплив на розвиток цифровізації мають і урядові документи стратегічного планування. Так, Концепція розвитку цифрової економіки та суспільства України на 2018–2020 роки визначила головні напрями цифрової трансформації, у тому числі цифровізацію надання адміністративних послуг. У свою чергу, Стратегія цифрової трансформації України до 2030 року, ухвалена у 2021 р., передбачає інтеграцію національної цифрової інфраструктури до єдиного європейського цифрового ринку тощо.  Цифрова тансформація супроводжується активним використанням значних обсягів інформації, що містить персональні дані громадян, адже під час функціонування електронних реєстрів, баз даних та інформаційно-аналітичних систем відбувається збирання, зберігання, обробка та передача персональних відомостей. За відсутності належних механізмів захисту така інформація може стати об’єктом незаконного використання або несанкціонованого доступу [3]. Саме тому проблема забезпечення ефективного захисту персональних даних у процесі цифровізації публічного управління є однією з найактуальніших у сучасній правовій науці. Її вирішення потребує комплексного підходу, який передбачає поєднання правових, організаційних та технічних заходів.</w:t>
      </w:r>
    </w:p>
    <w:p w:rsidR="00076275" w:rsidRPr="00FD38BE" w:rsidRDefault="00076275" w:rsidP="00076275">
      <w:pPr>
        <w:spacing w:line="360" w:lineRule="auto"/>
        <w:ind w:firstLine="709"/>
        <w:jc w:val="both"/>
        <w:rPr>
          <w:sz w:val="28"/>
          <w:szCs w:val="28"/>
        </w:rPr>
      </w:pPr>
      <w:r w:rsidRPr="00FD38BE">
        <w:rPr>
          <w:sz w:val="28"/>
          <w:szCs w:val="28"/>
        </w:rPr>
        <w:t xml:space="preserve">Персональні дані становлять особливу категорію інформації, що безпосередньо пов’язана з конкретною фізичною особою. У законодавстві України під персональними даними розуміють відомості або сукупність відомостей про особу, яка ідентифікована або може бути ідентифікована на їх основі [3]. До таких даних належать ім’я, дата народження, ідентифікаційний </w:t>
      </w:r>
      <w:r w:rsidRPr="00FD38BE">
        <w:rPr>
          <w:sz w:val="28"/>
          <w:szCs w:val="28"/>
        </w:rPr>
        <w:lastRenderedPageBreak/>
        <w:t>номер, адреса проживання, контактні дані та інші відомості, що характеризують людину.</w:t>
      </w:r>
    </w:p>
    <w:p w:rsidR="00076275" w:rsidRPr="00FD38BE" w:rsidRDefault="00076275" w:rsidP="00076275">
      <w:pPr>
        <w:spacing w:line="360" w:lineRule="auto"/>
        <w:ind w:firstLine="709"/>
        <w:jc w:val="both"/>
        <w:rPr>
          <w:sz w:val="28"/>
          <w:szCs w:val="28"/>
        </w:rPr>
      </w:pPr>
      <w:r w:rsidRPr="00FD38BE">
        <w:rPr>
          <w:sz w:val="28"/>
          <w:szCs w:val="28"/>
        </w:rPr>
        <w:t xml:space="preserve">Правове регулювання у сфері захисту персональних даних в Україні базується на нормах національного законодавства та міжнародних правових актів. Основним нормативним документом у цій сфері є Закон України «Про захист персональних даних», який визначає правові засади обробки інформації про фізичних осіб та встановлює гарантії її безпеки [3]. Законодавство передбачає, що обробка персональних даних повинна здійснюватися з дотриманням принципів законності, пропорційності, цільового призначення та конфіденційності. Крім того, важливою умовою є забезпечення належного рівня технічного та організаційного захисту інформації. Значний вплив на формування національного законодавства має міжнародний досвід. У європейському правовому просторі одним із ключових документів у сфері захисту інформації є Загальний регламент захисту даних Європейського Союзу (GDPR), який встановлює сучасні стандарти обробки та захисту персональної інформації [6] тощо.  </w:t>
      </w:r>
    </w:p>
    <w:p w:rsidR="00076275" w:rsidRPr="00FD38BE" w:rsidRDefault="00076275" w:rsidP="00076275">
      <w:pPr>
        <w:spacing w:line="360" w:lineRule="auto"/>
        <w:ind w:firstLine="709"/>
        <w:jc w:val="both"/>
        <w:rPr>
          <w:sz w:val="28"/>
          <w:szCs w:val="28"/>
        </w:rPr>
      </w:pPr>
      <w:r w:rsidRPr="00FD38BE">
        <w:rPr>
          <w:sz w:val="28"/>
          <w:szCs w:val="28"/>
        </w:rPr>
        <w:t>У контексті європейської інтеграції Україна поступово адаптує своє законодавство до відповідних міжнародних стандартів, що сприяє підвищенню рівня захисту персональних даних та удосконаленню системи контролю за їх обробкою. Проте ризики всеодно залишаються.  Ситуації витоку персональних даних можуть виникати внаслідок кіберзлочинності, використання шкідливого програмного забезпечення або недосконалості технічних засобів захисту. У разі успішної кібератаки зловмисники можуть отримати доступ до конфіденційної інформації, що створює серйозні ризики для прав і свобод людини.</w:t>
      </w:r>
    </w:p>
    <w:p w:rsidR="00076275" w:rsidRPr="00FD38BE" w:rsidRDefault="00076275" w:rsidP="00076275">
      <w:pPr>
        <w:spacing w:line="360" w:lineRule="auto"/>
        <w:ind w:firstLine="709"/>
        <w:jc w:val="both"/>
        <w:rPr>
          <w:sz w:val="28"/>
          <w:szCs w:val="28"/>
        </w:rPr>
      </w:pPr>
      <w:r w:rsidRPr="00FD38BE">
        <w:rPr>
          <w:sz w:val="28"/>
          <w:szCs w:val="28"/>
        </w:rPr>
        <w:t>Ще одним фактором ризику є людський фактор. Працівники державних установ, які мають доступ до інформаційних систем, можуть порушувати правила обробки персональних даних через недостатній рівень підготовки або недотримання встановлених процедур безпеки.</w:t>
      </w:r>
    </w:p>
    <w:p w:rsidR="00076275" w:rsidRPr="00FD38BE" w:rsidRDefault="00076275" w:rsidP="00076275">
      <w:pPr>
        <w:spacing w:line="360" w:lineRule="auto"/>
        <w:ind w:firstLine="709"/>
        <w:jc w:val="both"/>
        <w:rPr>
          <w:sz w:val="28"/>
          <w:szCs w:val="28"/>
        </w:rPr>
      </w:pPr>
      <w:r w:rsidRPr="00FD38BE">
        <w:rPr>
          <w:sz w:val="28"/>
          <w:szCs w:val="28"/>
        </w:rPr>
        <w:t xml:space="preserve">З метою забезпечення ефективного захисту персональних даних у процесі цифровізації публічного управління необхідно впроваджувати комплекс заходів. Передусім важливим є вдосконалення нормативно-правової бази, яка </w:t>
      </w:r>
      <w:r w:rsidRPr="00FD38BE">
        <w:rPr>
          <w:sz w:val="28"/>
          <w:szCs w:val="28"/>
        </w:rPr>
        <w:lastRenderedPageBreak/>
        <w:t>регулює питання обробки та захисту персональної інформації. Для цього необхідно застосовувати сучасні технології захисту даних, зокрема криптографічні методи, системи багаторівневої аутентифікації та постійний моніторинг інформаційних систем [4].</w:t>
      </w:r>
    </w:p>
    <w:p w:rsidR="00076275" w:rsidRPr="00FD38BE" w:rsidRDefault="00076275" w:rsidP="00076275">
      <w:pPr>
        <w:spacing w:line="360" w:lineRule="auto"/>
        <w:ind w:firstLine="709"/>
        <w:jc w:val="both"/>
        <w:rPr>
          <w:sz w:val="28"/>
          <w:szCs w:val="28"/>
        </w:rPr>
      </w:pPr>
      <w:r w:rsidRPr="00FD38BE">
        <w:rPr>
          <w:sz w:val="28"/>
          <w:szCs w:val="28"/>
        </w:rPr>
        <w:t>Важливу роль відіграє також підвищення рівня професійної підготовки державних службовців. Проведення спеціалізованих навчальних програм з інформаційної безпеки сприятиме формуванню належної культури поводження з персональними даними.</w:t>
      </w:r>
    </w:p>
    <w:p w:rsidR="00076275" w:rsidRPr="00FD38BE" w:rsidRDefault="00076275" w:rsidP="00076275">
      <w:pPr>
        <w:spacing w:line="360" w:lineRule="auto"/>
        <w:ind w:firstLine="709"/>
        <w:jc w:val="both"/>
        <w:rPr>
          <w:sz w:val="28"/>
          <w:szCs w:val="28"/>
        </w:rPr>
      </w:pPr>
      <w:r w:rsidRPr="00FD38BE">
        <w:rPr>
          <w:sz w:val="28"/>
          <w:szCs w:val="28"/>
        </w:rPr>
        <w:t>Цифровізація публічного управління є важливим чинником розвитку сучасної держави та сприяє підвищенню ефективності діяльності органів влади. Водночас використання інформаційних технологій передбачає активну обробку персональних даних громадян, що зумовлює необхідність їх належного захисту. Забезпечення інформаційної безпеки у сфері державного управління повинно базуватися на поєднанні правових, організаційних та технічних заходів. Удосконалення законодавства, розвиток систем кіберзахисту та підвищення рівня обізнаності громадян і державних службовців сприятимуть створенню ефективного механізму захисту персональних даних.</w:t>
      </w:r>
    </w:p>
    <w:p w:rsidR="00076275" w:rsidRPr="00FD38BE" w:rsidRDefault="00076275" w:rsidP="00076275">
      <w:pPr>
        <w:spacing w:line="360" w:lineRule="auto"/>
        <w:ind w:firstLine="709"/>
        <w:jc w:val="center"/>
        <w:rPr>
          <w:b/>
          <w:bCs/>
          <w:sz w:val="28"/>
          <w:szCs w:val="28"/>
        </w:rPr>
      </w:pPr>
    </w:p>
    <w:p w:rsidR="00076275" w:rsidRPr="00FD38BE" w:rsidRDefault="00076275" w:rsidP="00076275">
      <w:pPr>
        <w:spacing w:line="360" w:lineRule="auto"/>
        <w:ind w:firstLine="709"/>
        <w:jc w:val="center"/>
        <w:rPr>
          <w:b/>
          <w:bCs/>
          <w:sz w:val="28"/>
          <w:szCs w:val="28"/>
        </w:rPr>
      </w:pPr>
      <w:r w:rsidRPr="00FD38BE">
        <w:rPr>
          <w:b/>
          <w:bCs/>
          <w:sz w:val="28"/>
          <w:szCs w:val="28"/>
        </w:rPr>
        <w:t>СПИСОК ВИКОРИСТАНИХ ДЖЕРЕЛ</w:t>
      </w:r>
    </w:p>
    <w:p w:rsidR="00076275" w:rsidRPr="00FD38BE" w:rsidRDefault="00076275" w:rsidP="00076275">
      <w:pPr>
        <w:numPr>
          <w:ilvl w:val="0"/>
          <w:numId w:val="13"/>
        </w:numPr>
        <w:spacing w:line="360" w:lineRule="auto"/>
        <w:ind w:left="0" w:firstLine="709"/>
        <w:jc w:val="both"/>
        <w:rPr>
          <w:sz w:val="28"/>
          <w:szCs w:val="28"/>
          <w:lang w:val="en-US"/>
        </w:rPr>
      </w:pPr>
      <w:r w:rsidRPr="00FD38BE">
        <w:rPr>
          <w:sz w:val="28"/>
          <w:szCs w:val="28"/>
        </w:rPr>
        <w:t xml:space="preserve">Конституція України: Закон України від 28 червня 1996 р. №254к/96-ВР. </w:t>
      </w:r>
      <w:r w:rsidRPr="00FD38BE">
        <w:rPr>
          <w:sz w:val="28"/>
          <w:szCs w:val="28"/>
          <w:lang w:val="en-US"/>
        </w:rPr>
        <w:t xml:space="preserve">URL: </w:t>
      </w:r>
      <w:hyperlink r:id="rId40">
        <w:r w:rsidRPr="00FD38BE">
          <w:rPr>
            <w:sz w:val="28"/>
            <w:szCs w:val="28"/>
            <w:u w:val="single"/>
            <w:lang w:val="en-US"/>
          </w:rPr>
          <w:t>https://zakon.rada.gov.ua/laws/show/254%D0%BA/96-%D0%B2%D1%80</w:t>
        </w:r>
      </w:hyperlink>
    </w:p>
    <w:p w:rsidR="00076275" w:rsidRPr="00FD38BE" w:rsidRDefault="00076275" w:rsidP="00076275">
      <w:pPr>
        <w:numPr>
          <w:ilvl w:val="0"/>
          <w:numId w:val="13"/>
        </w:numPr>
        <w:spacing w:line="360" w:lineRule="auto"/>
        <w:ind w:left="0" w:firstLine="709"/>
        <w:jc w:val="both"/>
        <w:rPr>
          <w:sz w:val="28"/>
          <w:szCs w:val="28"/>
        </w:rPr>
      </w:pPr>
      <w:r w:rsidRPr="00FD38BE">
        <w:rPr>
          <w:sz w:val="28"/>
          <w:szCs w:val="28"/>
        </w:rPr>
        <w:t>Ненько</w:t>
      </w:r>
      <w:r w:rsidRPr="00FD38BE">
        <w:rPr>
          <w:sz w:val="28"/>
          <w:szCs w:val="28"/>
          <w:lang w:val="en-US"/>
        </w:rPr>
        <w:t xml:space="preserve"> </w:t>
      </w:r>
      <w:r w:rsidRPr="00FD38BE">
        <w:rPr>
          <w:sz w:val="28"/>
          <w:szCs w:val="28"/>
        </w:rPr>
        <w:t>С</w:t>
      </w:r>
      <w:r w:rsidRPr="00FD38BE">
        <w:rPr>
          <w:sz w:val="28"/>
          <w:szCs w:val="28"/>
          <w:lang w:val="en-US"/>
        </w:rPr>
        <w:t>.</w:t>
      </w:r>
      <w:r w:rsidRPr="00FD38BE">
        <w:rPr>
          <w:sz w:val="28"/>
          <w:szCs w:val="28"/>
        </w:rPr>
        <w:t>С</w:t>
      </w:r>
      <w:r w:rsidRPr="00FD38BE">
        <w:rPr>
          <w:sz w:val="28"/>
          <w:szCs w:val="28"/>
          <w:lang w:val="en-US"/>
        </w:rPr>
        <w:t xml:space="preserve">. </w:t>
      </w:r>
      <w:r w:rsidRPr="00FD38BE">
        <w:rPr>
          <w:sz w:val="28"/>
          <w:szCs w:val="28"/>
        </w:rPr>
        <w:t>Цифровізація</w:t>
      </w:r>
      <w:r w:rsidRPr="00FD38BE">
        <w:rPr>
          <w:sz w:val="28"/>
          <w:szCs w:val="28"/>
          <w:lang w:val="en-US"/>
        </w:rPr>
        <w:t xml:space="preserve"> </w:t>
      </w:r>
      <w:r w:rsidRPr="00FD38BE">
        <w:rPr>
          <w:sz w:val="28"/>
          <w:szCs w:val="28"/>
        </w:rPr>
        <w:t>публічного</w:t>
      </w:r>
      <w:r w:rsidRPr="00FD38BE">
        <w:rPr>
          <w:sz w:val="28"/>
          <w:szCs w:val="28"/>
          <w:lang w:val="en-US"/>
        </w:rPr>
        <w:t xml:space="preserve"> </w:t>
      </w:r>
      <w:r w:rsidRPr="00FD38BE">
        <w:rPr>
          <w:sz w:val="28"/>
          <w:szCs w:val="28"/>
        </w:rPr>
        <w:t>адміністрування</w:t>
      </w:r>
      <w:r w:rsidRPr="00FD38BE">
        <w:rPr>
          <w:sz w:val="28"/>
          <w:szCs w:val="28"/>
          <w:lang w:val="en-US"/>
        </w:rPr>
        <w:t xml:space="preserve"> </w:t>
      </w:r>
      <w:r w:rsidRPr="00FD38BE">
        <w:rPr>
          <w:sz w:val="28"/>
          <w:szCs w:val="28"/>
        </w:rPr>
        <w:t>як</w:t>
      </w:r>
      <w:r w:rsidRPr="00FD38BE">
        <w:rPr>
          <w:sz w:val="28"/>
          <w:szCs w:val="28"/>
          <w:lang w:val="en-US"/>
        </w:rPr>
        <w:t xml:space="preserve"> </w:t>
      </w:r>
      <w:r w:rsidRPr="00FD38BE">
        <w:rPr>
          <w:sz w:val="28"/>
          <w:szCs w:val="28"/>
        </w:rPr>
        <w:t>фактор</w:t>
      </w:r>
      <w:r w:rsidRPr="00FD38BE">
        <w:rPr>
          <w:sz w:val="28"/>
          <w:szCs w:val="28"/>
          <w:lang w:val="en-US"/>
        </w:rPr>
        <w:t xml:space="preserve"> </w:t>
      </w:r>
      <w:r w:rsidRPr="00FD38BE">
        <w:rPr>
          <w:sz w:val="28"/>
          <w:szCs w:val="28"/>
        </w:rPr>
        <w:t>модернізації</w:t>
      </w:r>
      <w:r w:rsidRPr="00FD38BE">
        <w:rPr>
          <w:sz w:val="28"/>
          <w:szCs w:val="28"/>
          <w:lang w:val="en-US"/>
        </w:rPr>
        <w:t xml:space="preserve"> </w:t>
      </w:r>
      <w:r w:rsidRPr="00FD38BE">
        <w:rPr>
          <w:sz w:val="28"/>
          <w:szCs w:val="28"/>
        </w:rPr>
        <w:t>адміністративно</w:t>
      </w:r>
      <w:r w:rsidRPr="00FD38BE">
        <w:rPr>
          <w:sz w:val="28"/>
          <w:szCs w:val="28"/>
          <w:lang w:val="en-US"/>
        </w:rPr>
        <w:t>-</w:t>
      </w:r>
      <w:r w:rsidRPr="00FD38BE">
        <w:rPr>
          <w:sz w:val="28"/>
          <w:szCs w:val="28"/>
        </w:rPr>
        <w:t>правового</w:t>
      </w:r>
      <w:r w:rsidRPr="00FD38BE">
        <w:rPr>
          <w:sz w:val="28"/>
          <w:szCs w:val="28"/>
          <w:lang w:val="en-US"/>
        </w:rPr>
        <w:t xml:space="preserve"> </w:t>
      </w:r>
      <w:r w:rsidRPr="00FD38BE">
        <w:rPr>
          <w:sz w:val="28"/>
          <w:szCs w:val="28"/>
        </w:rPr>
        <w:t>забезпечення</w:t>
      </w:r>
      <w:r w:rsidRPr="00FD38BE">
        <w:rPr>
          <w:sz w:val="28"/>
          <w:szCs w:val="28"/>
          <w:lang w:val="en-US"/>
        </w:rPr>
        <w:t xml:space="preserve"> </w:t>
      </w:r>
      <w:r w:rsidRPr="00FD38BE">
        <w:rPr>
          <w:sz w:val="28"/>
          <w:szCs w:val="28"/>
        </w:rPr>
        <w:t>підприємництва</w:t>
      </w:r>
      <w:r w:rsidRPr="00FD38BE">
        <w:rPr>
          <w:sz w:val="28"/>
          <w:szCs w:val="28"/>
          <w:lang w:val="en-US"/>
        </w:rPr>
        <w:t xml:space="preserve">. </w:t>
      </w:r>
      <w:r w:rsidRPr="00FD38BE">
        <w:rPr>
          <w:sz w:val="28"/>
          <w:szCs w:val="28"/>
        </w:rPr>
        <w:t xml:space="preserve">DOI </w:t>
      </w:r>
      <w:hyperlink r:id="rId41">
        <w:r w:rsidRPr="00FD38BE">
          <w:rPr>
            <w:sz w:val="28"/>
            <w:szCs w:val="28"/>
            <w:u w:val="single"/>
          </w:rPr>
          <w:t>https://doi.org/10.32782/2524-0374/2025-9/33</w:t>
        </w:r>
      </w:hyperlink>
      <w:r w:rsidRPr="00FD38BE">
        <w:rPr>
          <w:sz w:val="28"/>
          <w:szCs w:val="28"/>
        </w:rPr>
        <w:t xml:space="preserve"> </w:t>
      </w:r>
    </w:p>
    <w:p w:rsidR="00076275" w:rsidRPr="00FD38BE" w:rsidRDefault="00076275" w:rsidP="00076275">
      <w:pPr>
        <w:numPr>
          <w:ilvl w:val="0"/>
          <w:numId w:val="13"/>
        </w:numPr>
        <w:spacing w:line="360" w:lineRule="auto"/>
        <w:ind w:left="0" w:firstLine="709"/>
        <w:jc w:val="both"/>
        <w:rPr>
          <w:sz w:val="28"/>
          <w:szCs w:val="28"/>
        </w:rPr>
      </w:pPr>
      <w:r w:rsidRPr="00FD38BE">
        <w:rPr>
          <w:sz w:val="28"/>
          <w:szCs w:val="28"/>
        </w:rPr>
        <w:t>Про захист персональних даних: Закон України від 01.06.2010 №2297-VI. URL: https://zakon.rada.gov.ua/laws/show/2297-17</w:t>
      </w:r>
    </w:p>
    <w:p w:rsidR="00076275" w:rsidRPr="00FD38BE" w:rsidRDefault="00076275" w:rsidP="00076275">
      <w:pPr>
        <w:numPr>
          <w:ilvl w:val="0"/>
          <w:numId w:val="13"/>
        </w:numPr>
        <w:spacing w:line="360" w:lineRule="auto"/>
        <w:ind w:left="0" w:firstLine="709"/>
        <w:jc w:val="both"/>
        <w:rPr>
          <w:sz w:val="28"/>
          <w:szCs w:val="28"/>
        </w:rPr>
      </w:pPr>
      <w:r w:rsidRPr="00FD38BE">
        <w:rPr>
          <w:sz w:val="28"/>
          <w:szCs w:val="28"/>
        </w:rPr>
        <w:t>Баранов О.А. Інформаційне право України: підручник. Київ: Юрінком Інтер, 2020.</w:t>
      </w:r>
    </w:p>
    <w:p w:rsidR="00076275" w:rsidRPr="00FD38BE" w:rsidRDefault="00076275" w:rsidP="00076275">
      <w:pPr>
        <w:numPr>
          <w:ilvl w:val="0"/>
          <w:numId w:val="13"/>
        </w:numPr>
        <w:spacing w:line="360" w:lineRule="auto"/>
        <w:ind w:left="0" w:firstLine="709"/>
        <w:jc w:val="both"/>
        <w:rPr>
          <w:sz w:val="28"/>
          <w:szCs w:val="28"/>
        </w:rPr>
      </w:pPr>
      <w:r w:rsidRPr="00FD38BE">
        <w:rPr>
          <w:sz w:val="28"/>
          <w:szCs w:val="28"/>
        </w:rPr>
        <w:t>Про електронні довірчі послуги: Закон України від 05.10.2017 №2155-VIII. URL: https://zakon.rada.gov.ua/laws/show/2155-19</w:t>
      </w:r>
    </w:p>
    <w:p w:rsidR="00076275" w:rsidRPr="00FD38BE" w:rsidRDefault="00076275" w:rsidP="00076275">
      <w:pPr>
        <w:numPr>
          <w:ilvl w:val="0"/>
          <w:numId w:val="13"/>
        </w:numPr>
        <w:spacing w:line="360" w:lineRule="auto"/>
        <w:ind w:left="0" w:firstLine="709"/>
        <w:jc w:val="both"/>
        <w:rPr>
          <w:sz w:val="28"/>
          <w:szCs w:val="28"/>
        </w:rPr>
      </w:pPr>
      <w:r w:rsidRPr="00FD38BE">
        <w:rPr>
          <w:sz w:val="28"/>
          <w:szCs w:val="28"/>
          <w:lang w:val="en-US"/>
        </w:rPr>
        <w:lastRenderedPageBreak/>
        <w:t xml:space="preserve">Regulation (EU) 2016/679 of the European Parliament and of the Council (General Data Protection Regulation). </w:t>
      </w:r>
      <w:r w:rsidRPr="00FD38BE">
        <w:rPr>
          <w:sz w:val="28"/>
          <w:szCs w:val="28"/>
        </w:rPr>
        <w:t>URL: https://eur-lex.europa.eu</w:t>
      </w:r>
    </w:p>
    <w:p w:rsidR="00076275" w:rsidRDefault="00076275" w:rsidP="00076275">
      <w:pPr>
        <w:spacing w:line="360" w:lineRule="auto"/>
        <w:ind w:firstLine="709"/>
        <w:jc w:val="both"/>
        <w:rPr>
          <w:sz w:val="28"/>
          <w:szCs w:val="28"/>
        </w:rPr>
      </w:pPr>
    </w:p>
    <w:p w:rsidR="00076275" w:rsidRPr="00FD38BE" w:rsidRDefault="00076275" w:rsidP="00076275">
      <w:pPr>
        <w:spacing w:line="360" w:lineRule="auto"/>
        <w:ind w:firstLine="709"/>
        <w:jc w:val="both"/>
        <w:rPr>
          <w:sz w:val="28"/>
          <w:szCs w:val="28"/>
        </w:rPr>
      </w:pPr>
    </w:p>
    <w:p w:rsidR="00076275" w:rsidRPr="00FD38BE" w:rsidRDefault="00076275" w:rsidP="00076275">
      <w:pPr>
        <w:spacing w:line="360" w:lineRule="auto"/>
        <w:ind w:firstLine="709"/>
        <w:contextualSpacing/>
        <w:jc w:val="center"/>
        <w:rPr>
          <w:rFonts w:eastAsia="Calibri"/>
          <w:b/>
          <w:bCs/>
          <w:sz w:val="28"/>
          <w:szCs w:val="28"/>
          <w:lang w:val="uk-UA" w:eastAsia="en-US"/>
        </w:rPr>
      </w:pPr>
      <w:r w:rsidRPr="00FD38BE">
        <w:rPr>
          <w:rFonts w:eastAsia="Calibri"/>
          <w:b/>
          <w:bCs/>
          <w:sz w:val="28"/>
          <w:szCs w:val="28"/>
          <w:lang w:val="uk-UA" w:eastAsia="en-US"/>
        </w:rPr>
        <w:t>ВЗАЄМОДІЯ ДЕРЖАВИ ТА ГРОМАДЯНСЬКОГО СУСПІЛЬСТВА ЯК СКЛАДОВА МЕХАНІЗМУ СУЧАСНОЇ ПРАВОВОЇ ДЕРЖАВИ</w:t>
      </w:r>
    </w:p>
    <w:p w:rsidR="00076275" w:rsidRPr="00FD38BE" w:rsidRDefault="00076275" w:rsidP="00076275">
      <w:pPr>
        <w:spacing w:line="360" w:lineRule="auto"/>
        <w:ind w:firstLine="709"/>
        <w:contextualSpacing/>
        <w:jc w:val="center"/>
        <w:rPr>
          <w:rFonts w:eastAsia="Calibri"/>
          <w:b/>
          <w:bCs/>
          <w:i/>
          <w:iCs/>
          <w:sz w:val="28"/>
          <w:szCs w:val="28"/>
          <w:lang w:val="uk-UA" w:eastAsia="en-US"/>
        </w:rPr>
      </w:pPr>
      <w:r w:rsidRPr="00FD38BE">
        <w:rPr>
          <w:rFonts w:eastAsia="Calibri"/>
          <w:b/>
          <w:bCs/>
          <w:i/>
          <w:iCs/>
          <w:sz w:val="28"/>
          <w:szCs w:val="28"/>
          <w:lang w:val="uk-UA" w:eastAsia="en-US"/>
        </w:rPr>
        <w:t>Куба Л. І.</w:t>
      </w:r>
    </w:p>
    <w:p w:rsidR="00076275" w:rsidRPr="00FD38BE" w:rsidRDefault="00076275" w:rsidP="00076275">
      <w:pPr>
        <w:spacing w:line="360" w:lineRule="auto"/>
        <w:ind w:firstLine="709"/>
        <w:contextualSpacing/>
        <w:jc w:val="center"/>
        <w:rPr>
          <w:rFonts w:eastAsia="Calibri"/>
          <w:i/>
          <w:iCs/>
          <w:sz w:val="28"/>
          <w:szCs w:val="28"/>
          <w:lang w:val="uk-UA" w:eastAsia="en-US"/>
        </w:rPr>
      </w:pPr>
      <w:r w:rsidRPr="00FD38BE">
        <w:rPr>
          <w:rFonts w:eastAsia="Calibri"/>
          <w:i/>
          <w:iCs/>
          <w:sz w:val="28"/>
          <w:szCs w:val="28"/>
          <w:lang w:val="uk-UA" w:eastAsia="en-US"/>
        </w:rPr>
        <w:t>студентка 2 курсу магістратури факультету права та економіки  Міжнародного  університету,</w:t>
      </w:r>
    </w:p>
    <w:p w:rsidR="00076275" w:rsidRPr="00DA2AFA" w:rsidRDefault="00076275" w:rsidP="00076275">
      <w:pPr>
        <w:spacing w:line="360" w:lineRule="auto"/>
        <w:ind w:firstLine="709"/>
        <w:contextualSpacing/>
        <w:jc w:val="center"/>
        <w:rPr>
          <w:rFonts w:eastAsia="Calibri"/>
          <w:i/>
          <w:iCs/>
          <w:sz w:val="28"/>
          <w:szCs w:val="28"/>
          <w:lang w:val="uk-UA" w:eastAsia="en-US"/>
        </w:rPr>
      </w:pPr>
      <w:r w:rsidRPr="00FD38BE">
        <w:rPr>
          <w:rFonts w:eastAsia="Calibri"/>
          <w:i/>
          <w:iCs/>
          <w:sz w:val="28"/>
          <w:szCs w:val="28"/>
          <w:lang w:val="uk-UA" w:eastAsia="en-US"/>
        </w:rPr>
        <w:t>м. Одеса, Україна</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У сучасних умовах розвитку правової держави, особливої актуальності набуває проблема взаємодії держави та громадянського суспільства як ключової складової механізму публічної влади. Домінуюче становище держави у системі публічного управління зумовлює необхідність визначення оптимальних меж її впливу на соціальні процеси з метою забезпечення повноцінного функціонування інститутів громадянського суспільства. </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Інституційні механізми взаємодії держави й громадянського суспільства доцільно аналізувати крізь призму повноважень державних органів та можливостей участі громадськості у процесах публічного управління. Державні механізми реалізуються у межах компетенції органів влади, визначеної Конституцією та законами України, зокрема щодо консультацій із громадськістю, врахування громадської думки під час розроблення нормативно-правових актів, здійснення відкритої інформаційної політики. З боку громадянського суспільства взаємодія ґрунтується на гарантованих правах участі у формуванні та реалізації державної політики, здійсненні громадського контролю та ініціюванні суспільно значущих рішень. У такий спосіб формується своєрідний інституційний режим співпраці, що передбачає функціонування стабільних політико-правових механізмів участі громадськості в управлінні та контролі за діяльністю органів влади [1, c. 2].</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Розгляд взаємодії держави й громадянського суспільства в контексті сучасної української державності, передбачає опору на принципи правової </w:t>
      </w:r>
      <w:r w:rsidRPr="00FD38BE">
        <w:rPr>
          <w:rFonts w:eastAsia="Calibri"/>
          <w:sz w:val="28"/>
          <w:szCs w:val="28"/>
          <w:lang w:val="uk-UA" w:eastAsia="en-US"/>
        </w:rPr>
        <w:lastRenderedPageBreak/>
        <w:t>держави та демократичного політичного режиму. Базовим принципом такої взаємодії виступає верховенство права, яке забезпечує підпорядкування державної діяльності вимогам Конституції та законів, а також гарантує юридичну визначеність і передбачуваність владних рішень [1, c. 66]. Правовий характер відносин між державою та громадянським суспільством обумовлюється існуванням відповідного законодавства, що регламентує форми участі громадян, порядок проведення консультацій, механізми доступу до публічної інформації та інші інструменти взаємодії [2, c. 204]. У цьому контексті саме правова основа забезпечує баланс між регулятивною функцією держави та автономією інститутів громадянського суспільства.</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Окремі дослідники, зокрема і К. С. Мельник, розглядають право громадянського суспільства як ключовий механізм впливу на державу, визначаючи його як систему регулятивних і управлінських впливів, спрямованих на обмеження надмірного втручання держави у сферу суспільної самоорганізації [3, c. 9]. Йдеться про встановлення критеріїв легітимності державно-владної діяльності, які дозволяють оцінювати відповідність дій органів влади принципам законності, пропорційності та публічного інтересу. Такий підхід підкреслює, що ефективна взаємодія держави й громадянського суспільства можлива лише за умови чіткого правового врегулювання їх повноважень і відповідальності, а також функціонування дієвих механізмів контролю й стримування влади.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Сучасна держава постає як складний політико-правовий феномен, що характеризується розвиненістю інституційної структури, економічного потенціалу, соціальних механізмів і культурних форм організації суспільства. Вона наділена виключним правом застосування легітимного примусу, здійснює податкову політику, формує систему публічного управління та забезпечує контроль за дотриманням законності через мережу правоохоронних і контрольних органів. За таких умов адміністративний і ресурсний потенціал держави об’єктивно перевищує можливості окремих інститутів громадянського суспільства. Водночас за наявності принципу верховенства права саме правові механізми впливу громадянського суспільства на державу набувають </w:t>
      </w:r>
      <w:r w:rsidRPr="00FD38BE">
        <w:rPr>
          <w:rFonts w:eastAsia="Calibri"/>
          <w:sz w:val="28"/>
          <w:szCs w:val="28"/>
          <w:lang w:val="uk-UA" w:eastAsia="en-US"/>
        </w:rPr>
        <w:lastRenderedPageBreak/>
        <w:t>ключового значення, оскільки дозволяють коригувати владну діяльність без застосування політичного чи економічного тиску, зберігаючи суспільну стабільність і правопорядок .</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Ефективність громадянського суспільства значною мірою залежить від якості правової системи держави, змісту та структури нормативно-правових актів, що регулюють відносини між владою і суспільством. Правове регулювання визначає межі допустимої діяльності державних органів щодо інститутів громадянського суспільства, встановлює критерії легітимності владних рішень і створює можливості для оскарження актів, які суперечать принципам законності та конституційним гарантіям. У цьому контексті право виступає інструментом забезпечення балансу інтересів, здатним делегітимізувати неправомірні дії держави та забезпечити захист публічних і приватних прав [4, c. 48].</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Серед основних функцій права у сфері взаємодії держави й громадянського суспільства науковці виокремлюють: </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w:t>
      </w:r>
      <w:r w:rsidRPr="00FD38BE">
        <w:rPr>
          <w:rFonts w:eastAsia="Calibri"/>
          <w:sz w:val="28"/>
          <w:szCs w:val="28"/>
          <w:lang w:val="uk-UA" w:eastAsia="en-US"/>
        </w:rPr>
        <w:tab/>
        <w:t>функцію обмеження, що передбачає встановлення чітких рамок діяльності державних суб’єктів і недопущення надмірного втручання у сферу суспільної самоорганізації;</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w:t>
      </w:r>
      <w:r w:rsidRPr="00FD38BE">
        <w:rPr>
          <w:rFonts w:eastAsia="Calibri"/>
          <w:sz w:val="28"/>
          <w:szCs w:val="28"/>
          <w:lang w:val="uk-UA" w:eastAsia="en-US"/>
        </w:rPr>
        <w:tab/>
        <w:t>функція трансформації проявляється у здатності перетворювати державне право на інструмент гарантування та захисту інтересів громадянського суспільства, а також у закріпленні суспільних потреб у нормативно-правових актах із належним владним забезпеченням</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w:t>
      </w:r>
      <w:r w:rsidRPr="00FD38BE">
        <w:rPr>
          <w:rFonts w:eastAsia="Calibri"/>
          <w:sz w:val="28"/>
          <w:szCs w:val="28"/>
          <w:lang w:val="uk-UA" w:eastAsia="en-US"/>
        </w:rPr>
        <w:tab/>
        <w:t xml:space="preserve">функція легітимації полягає у визнанні суспільно значущих ініціатив і прагнень як правомірних та таких, що підлягають законодавчому закріпленню  [1; 5]. </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У сукупності ці функції формують правову основу взаємодії державних інституцій і громадянського суспільства, забезпечуючи її стабільність, передбачуваність і демократичний характер.</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Право громадянського суспільства виступає базовим інструментом взаємодії між державними інституціями та суспільними об’єднаннями, оскільки саме через правові норми, процедури та механізми участі забезпечується </w:t>
      </w:r>
      <w:r w:rsidRPr="00FD38BE">
        <w:rPr>
          <w:rFonts w:eastAsia="Calibri"/>
          <w:sz w:val="28"/>
          <w:szCs w:val="28"/>
          <w:lang w:val="uk-UA" w:eastAsia="en-US"/>
        </w:rPr>
        <w:lastRenderedPageBreak/>
        <w:t>реальна можливість впливу громадськості на діяльність органів публічної влади. Завдяки нормативному закріпленню прав і свобод громадян, гарантій їх реалізації та процедур участі у виробленні управлінських рішень формується правове підґрунтя для обмеження надмірної концентрації владних повноважень і забезпечення балансу між державними інтересами та інтересами суспільства [5, c. 494]. Право створює умови для практичного втілення принципів взаємодії держави і громадянського суспільства, серед яких особливого значення набувають легітимність владних дій, законність, взаємна відповідальність і партнерський характер співпраці. Саме правова визначеність цих принципів надає взаємовідносинам держави й громадянського суспільства впорядкованого характеру та сприяє підвищенню результативності їх функціонування у межах механізму сучасної держави.</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Практичне втілення зазначеного механізму чітко простежується на прикладі України, де територіальні громади та інші інститути громадянського суспільства відіграють важливу роль у забезпеченні соціально-економічної стабільності й державної стійкості [3; 6]. У кризових умовах та періоди масштабних суспільно-політичних викликів, взаємодія між державою і громадянським суспільством набуває особливої інтенсивності, оскільки частина функцій із підтримання соціальної, гуманітарної та економічної стабільності передається на рівень місцевого самоврядування, громадських організацій і волонтерських ініціатив. Така трансформація ролей і функцій свідчить про динамічність взаємодії державних структур і громадянського суспільства, а також про здатність цієї взаємодії адаптуватися до нових суспільних потреб і загроз. Водночас посилення ролі місцевих громад і громадських об’єднань у процесах прийняття управлінських рішень підтверджує, що ефективність механізму держави значною мірою залежить від рівня розвитку інституцій громадянського суспільства та їх залученості до публічного управління.</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 xml:space="preserve">Таким чином, збалансована та нормативно врегульована взаємодія держави й громадянського суспільства, виступає необхідною умовою ефективного функціонування механізму сучасної правової держави, </w:t>
      </w:r>
      <w:r w:rsidRPr="00FD38BE">
        <w:rPr>
          <w:rFonts w:eastAsia="Calibri"/>
          <w:sz w:val="28"/>
          <w:szCs w:val="28"/>
          <w:lang w:val="uk-UA" w:eastAsia="en-US"/>
        </w:rPr>
        <w:lastRenderedPageBreak/>
        <w:t>забезпечуючи обмеження публічної влади, гарантування прав і свобод людини та стійкість демократичного розвитку.</w:t>
      </w:r>
    </w:p>
    <w:p w:rsidR="00076275" w:rsidRPr="00FD38BE" w:rsidRDefault="00076275" w:rsidP="00076275">
      <w:pPr>
        <w:spacing w:line="360" w:lineRule="auto"/>
        <w:ind w:firstLine="709"/>
        <w:contextualSpacing/>
        <w:jc w:val="center"/>
        <w:rPr>
          <w:rFonts w:eastAsia="Calibri"/>
          <w:b/>
          <w:bCs/>
          <w:sz w:val="28"/>
          <w:szCs w:val="28"/>
          <w:lang w:val="uk-UA" w:eastAsia="en-US"/>
        </w:rPr>
      </w:pPr>
    </w:p>
    <w:p w:rsidR="00076275" w:rsidRPr="00FD38BE" w:rsidRDefault="00076275" w:rsidP="00076275">
      <w:pPr>
        <w:spacing w:line="360" w:lineRule="auto"/>
        <w:ind w:firstLine="709"/>
        <w:contextualSpacing/>
        <w:jc w:val="center"/>
        <w:rPr>
          <w:rFonts w:eastAsia="Calibri"/>
          <w:b/>
          <w:bCs/>
          <w:sz w:val="28"/>
          <w:szCs w:val="28"/>
          <w:lang w:val="uk-UA" w:eastAsia="en-US"/>
        </w:rPr>
      </w:pPr>
      <w:r w:rsidRPr="00FD38BE">
        <w:rPr>
          <w:rFonts w:eastAsia="Calibri"/>
          <w:b/>
          <w:bCs/>
          <w:sz w:val="28"/>
          <w:szCs w:val="28"/>
          <w:lang w:val="uk-UA" w:eastAsia="en-US"/>
        </w:rPr>
        <w:t>СПИСОК ВИКОРИСТАНИХ ДЖЕРЕЛ</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1.</w:t>
      </w:r>
      <w:r w:rsidRPr="00FD38BE">
        <w:rPr>
          <w:rFonts w:eastAsia="Calibri"/>
          <w:sz w:val="28"/>
          <w:szCs w:val="28"/>
          <w:lang w:val="uk-UA" w:eastAsia="en-US"/>
        </w:rPr>
        <w:tab/>
        <w:t>Атаманова Н. В., Крестовська Н. М., Матвєєва Л. Г., Тицька Я. О., Арабаджи Н. Б. Теорія держави і права: навчальний посібник. Одеса: Міжнародний гуманітарний університет, 2021. 193 с. DOI: https://doi.org/10.32837/11300.24026</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2.</w:t>
      </w:r>
      <w:r w:rsidRPr="00FD38BE">
        <w:rPr>
          <w:rFonts w:eastAsia="Calibri"/>
          <w:sz w:val="28"/>
          <w:szCs w:val="28"/>
          <w:lang w:val="uk-UA" w:eastAsia="en-US"/>
        </w:rPr>
        <w:tab/>
        <w:t>Петренко В. С., Карнаушенко А. С., Мельникова К. В. Соціальні стандарти ЄС та їх вплив на українську економіку. Проблеми сучасних трансформацій. Серія: економіка та управління. 2023. № 10. 201-211</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3.</w:t>
      </w:r>
      <w:r w:rsidRPr="00FD38BE">
        <w:rPr>
          <w:rFonts w:eastAsia="Calibri"/>
          <w:sz w:val="28"/>
          <w:szCs w:val="28"/>
          <w:lang w:val="uk-UA" w:eastAsia="en-US"/>
        </w:rPr>
        <w:tab/>
        <w:t>Мельник К. С. Правові та організаційні засади захисту персональних даних в умовах євроінтеграції України: автореф. дис. … канд. юрид. наук. Київ, 2016. 23 с.</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4.</w:t>
      </w:r>
      <w:r w:rsidRPr="00FD38BE">
        <w:rPr>
          <w:rFonts w:eastAsia="Calibri"/>
          <w:sz w:val="28"/>
          <w:szCs w:val="28"/>
          <w:lang w:val="uk-UA" w:eastAsia="en-US"/>
        </w:rPr>
        <w:tab/>
        <w:t>Горбова Н. А., Палюх А. Я., Пархета В. І. Правовий захист та відновлення прав людини і основоположних свобод в умовах подолання наслідків війни. Київський часопис права. 2023. № 1. С. 47–52.</w:t>
      </w:r>
    </w:p>
    <w:p w:rsidR="00076275" w:rsidRPr="00FD38BE" w:rsidRDefault="00076275" w:rsidP="00076275">
      <w:pPr>
        <w:spacing w:line="360" w:lineRule="auto"/>
        <w:ind w:firstLine="709"/>
        <w:contextualSpacing/>
        <w:jc w:val="both"/>
        <w:rPr>
          <w:rFonts w:eastAsia="Calibri"/>
          <w:sz w:val="28"/>
          <w:szCs w:val="28"/>
          <w:lang w:val="uk-UA" w:eastAsia="en-US"/>
        </w:rPr>
      </w:pPr>
      <w:r w:rsidRPr="00FD38BE">
        <w:rPr>
          <w:rFonts w:eastAsia="Calibri"/>
          <w:sz w:val="28"/>
          <w:szCs w:val="28"/>
          <w:lang w:val="uk-UA" w:eastAsia="en-US"/>
        </w:rPr>
        <w:t>5.</w:t>
      </w:r>
      <w:r w:rsidRPr="00FD38BE">
        <w:rPr>
          <w:rFonts w:eastAsia="Calibri"/>
          <w:sz w:val="28"/>
          <w:szCs w:val="28"/>
          <w:lang w:val="uk-UA" w:eastAsia="en-US"/>
        </w:rPr>
        <w:tab/>
        <w:t>Балагура М. В. Ознаки та характеристики демократичних інститутів у правовій системі сучасної держави. Право і суспільство. 2024. № 5. С. 492–497.</w:t>
      </w:r>
    </w:p>
    <w:p w:rsidR="00076275"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ind w:firstLine="709"/>
        <w:jc w:val="center"/>
        <w:rPr>
          <w:b/>
          <w:iCs/>
          <w:sz w:val="28"/>
          <w:szCs w:val="28"/>
          <w:lang w:val="uk-UA"/>
        </w:rPr>
      </w:pPr>
      <w:r w:rsidRPr="00FD38BE">
        <w:rPr>
          <w:b/>
          <w:iCs/>
          <w:sz w:val="28"/>
          <w:szCs w:val="28"/>
          <w:lang w:val="uk-UA"/>
        </w:rPr>
        <w:t xml:space="preserve">ЩОДО ЕФЕКТИВНОСТІ ДІЯЛЬНОСТІ </w:t>
      </w:r>
    </w:p>
    <w:p w:rsidR="00076275" w:rsidRPr="00FD38BE" w:rsidRDefault="00076275" w:rsidP="00076275">
      <w:pPr>
        <w:spacing w:line="360" w:lineRule="auto"/>
        <w:ind w:firstLine="709"/>
        <w:jc w:val="center"/>
        <w:rPr>
          <w:b/>
          <w:iCs/>
          <w:sz w:val="28"/>
          <w:szCs w:val="28"/>
          <w:lang w:val="uk-UA"/>
        </w:rPr>
      </w:pPr>
      <w:r w:rsidRPr="00FD38BE">
        <w:rPr>
          <w:b/>
          <w:iCs/>
          <w:sz w:val="28"/>
          <w:szCs w:val="28"/>
          <w:lang w:val="uk-UA"/>
        </w:rPr>
        <w:t xml:space="preserve">АДМІНІСТРАТИВНИХ СУДІВ </w:t>
      </w:r>
    </w:p>
    <w:p w:rsidR="00076275" w:rsidRPr="00FD38BE" w:rsidRDefault="00076275" w:rsidP="00076275">
      <w:pPr>
        <w:spacing w:line="360" w:lineRule="auto"/>
        <w:ind w:firstLine="709"/>
        <w:jc w:val="center"/>
        <w:rPr>
          <w:b/>
          <w:i/>
          <w:sz w:val="28"/>
          <w:szCs w:val="28"/>
          <w:lang w:val="uk-UA"/>
        </w:rPr>
      </w:pPr>
      <w:r w:rsidRPr="00FD38BE">
        <w:rPr>
          <w:b/>
          <w:i/>
          <w:sz w:val="28"/>
          <w:szCs w:val="28"/>
          <w:lang w:val="uk-UA"/>
        </w:rPr>
        <w:t>Лисенко І.</w:t>
      </w:r>
    </w:p>
    <w:p w:rsidR="00076275" w:rsidRPr="00FD38BE" w:rsidRDefault="00076275" w:rsidP="00076275">
      <w:pPr>
        <w:spacing w:line="360" w:lineRule="auto"/>
        <w:ind w:firstLine="709"/>
        <w:jc w:val="center"/>
        <w:rPr>
          <w:i/>
          <w:sz w:val="28"/>
          <w:szCs w:val="28"/>
        </w:rPr>
      </w:pPr>
      <w:r w:rsidRPr="00FD38BE">
        <w:rPr>
          <w:i/>
          <w:sz w:val="28"/>
          <w:szCs w:val="28"/>
        </w:rPr>
        <w:t xml:space="preserve">Студентка ІІ курсу магістратури, </w:t>
      </w:r>
    </w:p>
    <w:p w:rsidR="00076275" w:rsidRPr="00FD38BE" w:rsidRDefault="00076275" w:rsidP="00076275">
      <w:pPr>
        <w:spacing w:line="360" w:lineRule="auto"/>
        <w:ind w:firstLine="709"/>
        <w:jc w:val="center"/>
        <w:rPr>
          <w:i/>
          <w:sz w:val="28"/>
          <w:szCs w:val="28"/>
        </w:rPr>
      </w:pPr>
      <w:r w:rsidRPr="00FD38BE">
        <w:rPr>
          <w:i/>
          <w:sz w:val="28"/>
          <w:szCs w:val="28"/>
        </w:rPr>
        <w:t>спеціальність 262 «Правоохоронна діяльність»,</w:t>
      </w:r>
    </w:p>
    <w:p w:rsidR="00076275" w:rsidRPr="00FD38BE" w:rsidRDefault="00076275" w:rsidP="00076275">
      <w:pPr>
        <w:spacing w:line="360" w:lineRule="auto"/>
        <w:ind w:firstLine="709"/>
        <w:jc w:val="center"/>
        <w:rPr>
          <w:i/>
          <w:sz w:val="28"/>
          <w:szCs w:val="28"/>
        </w:rPr>
      </w:pPr>
      <w:r w:rsidRPr="00FD38BE">
        <w:rPr>
          <w:i/>
          <w:sz w:val="28"/>
          <w:szCs w:val="28"/>
        </w:rPr>
        <w:t>Міжнародний університет,</w:t>
      </w:r>
    </w:p>
    <w:p w:rsidR="00076275" w:rsidRPr="00DA2AFA" w:rsidRDefault="00076275" w:rsidP="00076275">
      <w:pPr>
        <w:spacing w:line="360" w:lineRule="auto"/>
        <w:ind w:firstLine="709"/>
        <w:jc w:val="center"/>
        <w:rPr>
          <w:i/>
          <w:sz w:val="28"/>
          <w:szCs w:val="28"/>
        </w:rPr>
      </w:pPr>
      <w:r w:rsidRPr="00FD38BE">
        <w:rPr>
          <w:i/>
          <w:sz w:val="28"/>
          <w:szCs w:val="28"/>
        </w:rPr>
        <w:t>м. Одеса, Україна</w:t>
      </w:r>
    </w:p>
    <w:p w:rsidR="00076275" w:rsidRPr="00FD38BE" w:rsidRDefault="00076275" w:rsidP="00076275">
      <w:pPr>
        <w:spacing w:line="360" w:lineRule="auto"/>
        <w:ind w:firstLine="709"/>
        <w:jc w:val="both"/>
        <w:rPr>
          <w:sz w:val="28"/>
          <w:szCs w:val="28"/>
        </w:rPr>
      </w:pPr>
      <w:r w:rsidRPr="00FD38BE">
        <w:rPr>
          <w:sz w:val="28"/>
          <w:szCs w:val="28"/>
        </w:rPr>
        <w:t xml:space="preserve">Становлення України як демократичної, правової держави зумовлює підвищення ролі судової влади у механізмі забезпечення прав і свобод людини </w:t>
      </w:r>
      <w:r w:rsidRPr="00FD38BE">
        <w:rPr>
          <w:sz w:val="28"/>
          <w:szCs w:val="28"/>
        </w:rPr>
        <w:lastRenderedPageBreak/>
        <w:t>та громадянина. Особливе місце в цій системі посідає адміністративне судочинство, яке виступає ключовим інструментом захисту особи від неправомірних рішень, дій чи бездіяльності органів публічної влади. Саме через інститут адміністративної юстиції забезпечується реалізація принципу верховенства права, формування ефективного механізму судового контролю за діяльністю суб’єктів владних повноважень та підтримання балансу між інтересами держави і суспільства.</w:t>
      </w:r>
    </w:p>
    <w:p w:rsidR="00076275" w:rsidRPr="00FD38BE" w:rsidRDefault="00076275" w:rsidP="00076275">
      <w:pPr>
        <w:spacing w:line="360" w:lineRule="auto"/>
        <w:ind w:firstLine="709"/>
        <w:jc w:val="both"/>
        <w:rPr>
          <w:sz w:val="28"/>
          <w:szCs w:val="28"/>
        </w:rPr>
      </w:pPr>
      <w:r w:rsidRPr="00FD38BE">
        <w:rPr>
          <w:sz w:val="28"/>
          <w:szCs w:val="28"/>
        </w:rPr>
        <w:t>Актуальність теми дослідження зумовлена необхідністю подальшого вдосконалення адміністративного судочинства в Україні в умовах трансформації правової системи, європейської інтеграції та розвитку сучасних інформаційних технологій. З огляду на зростання кількості публічно-правових спорів, підвищується значення адміністративних судів як інституційного механізму, здатного забезпечити ефективний, своєчасний та справедливий розгляд справ між громадянами та суб’єктами владних повноважень.</w:t>
      </w:r>
    </w:p>
    <w:p w:rsidR="00076275" w:rsidRPr="00FD38BE" w:rsidRDefault="00076275" w:rsidP="00076275">
      <w:pPr>
        <w:spacing w:line="360" w:lineRule="auto"/>
        <w:ind w:firstLine="709"/>
        <w:jc w:val="both"/>
        <w:rPr>
          <w:sz w:val="28"/>
          <w:szCs w:val="28"/>
        </w:rPr>
      </w:pPr>
      <w:r w:rsidRPr="00FD38BE">
        <w:rPr>
          <w:sz w:val="28"/>
          <w:szCs w:val="28"/>
        </w:rPr>
        <w:t xml:space="preserve">В сучасній науці адміністративного права просліджується позиція, що «призначенням адміністративного судочинства є захист прав, свобод та інтересів приватних осіб від незаконних рішень, дій та бездіяльності з боку суб’єктів владних повноважень. Важливою складовою досягнення завдання адміністративного судочинства є доказування, яке спрямоване, у першу чергу, на встановлення обставин у справі. Доказова діяльність має впорядкований характер та притаманна для </w:t>
      </w:r>
      <w:proofErr w:type="gramStart"/>
      <w:r w:rsidRPr="00FD38BE">
        <w:rPr>
          <w:sz w:val="28"/>
          <w:szCs w:val="28"/>
        </w:rPr>
        <w:t>вс</w:t>
      </w:r>
      <w:proofErr w:type="gramEnd"/>
      <w:r w:rsidRPr="00FD38BE">
        <w:rPr>
          <w:sz w:val="28"/>
          <w:szCs w:val="28"/>
        </w:rPr>
        <w:t xml:space="preserve">іх стадій розгляду адміністративної справи. На кожній стадії розгляду справи така діяльність характеризується певними особливостями, що у </w:t>
      </w:r>
      <w:proofErr w:type="gramStart"/>
      <w:r w:rsidRPr="00FD38BE">
        <w:rPr>
          <w:sz w:val="28"/>
          <w:szCs w:val="28"/>
        </w:rPr>
        <w:t>п</w:t>
      </w:r>
      <w:proofErr w:type="gramEnd"/>
      <w:r w:rsidRPr="00FD38BE">
        <w:rPr>
          <w:sz w:val="28"/>
          <w:szCs w:val="28"/>
        </w:rPr>
        <w:t>ідсумку має забезпечити прийняття законного й обґрунтованого рішення у справі. Доказування в  адміністративному судочинстві є чинником, який здатний забезпечити поєднання високої ефективності правозастосування із неухильним додержанням прав і свобод приватної особи під час вирішення публічно-правового спору» [1].</w:t>
      </w:r>
    </w:p>
    <w:p w:rsidR="00076275" w:rsidRPr="00FD38BE" w:rsidRDefault="00076275" w:rsidP="00076275">
      <w:pPr>
        <w:spacing w:line="360" w:lineRule="auto"/>
        <w:ind w:firstLine="709"/>
        <w:jc w:val="both"/>
        <w:rPr>
          <w:sz w:val="28"/>
          <w:szCs w:val="28"/>
        </w:rPr>
      </w:pPr>
      <w:r w:rsidRPr="00FD38BE">
        <w:rPr>
          <w:sz w:val="28"/>
          <w:szCs w:val="28"/>
        </w:rPr>
        <w:t>Важливим аспектом розвитку адміністративної юстиції є вдосконалення процедурних механізмів судового розгляду, посилення системи гарантій адміністративного судочинства.</w:t>
      </w:r>
    </w:p>
    <w:p w:rsidR="00076275" w:rsidRPr="00FD38BE" w:rsidRDefault="00076275" w:rsidP="00076275">
      <w:pPr>
        <w:spacing w:line="360" w:lineRule="auto"/>
        <w:ind w:firstLine="709"/>
        <w:jc w:val="both"/>
        <w:rPr>
          <w:sz w:val="28"/>
          <w:szCs w:val="28"/>
        </w:rPr>
      </w:pPr>
      <w:r w:rsidRPr="00FD38BE">
        <w:rPr>
          <w:sz w:val="28"/>
          <w:szCs w:val="28"/>
        </w:rPr>
        <w:lastRenderedPageBreak/>
        <w:t>Систему гарантій ефективного судового захисту суб’єктів права у публічно-правових спорах можна визначити як сукупність компонентів, які забезпечують реальне, ефективне та безперешкодне здійснення права особи на судовий захист у публічно-правових спорах. Така сукупність складається з певних рівнів: нормативно-правові гарантії, інституційні гарантії, інформаційно-технічні гарантії, допоміжні гарантії [4, с. 269].</w:t>
      </w:r>
    </w:p>
    <w:p w:rsidR="00076275" w:rsidRPr="00FD38BE" w:rsidRDefault="00076275" w:rsidP="00076275">
      <w:pPr>
        <w:spacing w:line="360" w:lineRule="auto"/>
        <w:ind w:firstLine="709"/>
        <w:jc w:val="both"/>
        <w:rPr>
          <w:sz w:val="28"/>
          <w:szCs w:val="28"/>
        </w:rPr>
      </w:pPr>
      <w:r w:rsidRPr="00FD38BE">
        <w:rPr>
          <w:sz w:val="28"/>
          <w:szCs w:val="28"/>
        </w:rPr>
        <w:t>Окреме значення у підвищенні ефективності має впровадження сучасних інформаційно-комунікаційних технологій у діяльність судів. Цифровізація судової системи, використання електронного суду, автоматизованих систем документообігу та інших інструментів правових технологій сприяють підвищенню ефективності судочинства, забезпеченню доступності правосуддя та зміцненню довіри громадян до судової влади.</w:t>
      </w:r>
    </w:p>
    <w:p w:rsidR="00076275" w:rsidRPr="00FD38BE" w:rsidRDefault="00076275" w:rsidP="00076275">
      <w:pPr>
        <w:spacing w:line="360" w:lineRule="auto"/>
        <w:ind w:firstLine="709"/>
        <w:jc w:val="both"/>
        <w:rPr>
          <w:sz w:val="28"/>
          <w:szCs w:val="28"/>
        </w:rPr>
      </w:pPr>
      <w:r w:rsidRPr="00FD38BE">
        <w:rPr>
          <w:sz w:val="28"/>
          <w:szCs w:val="28"/>
        </w:rPr>
        <w:t>Досліджуючи проблеми впровадження електронного судочинства в Україні, вітчизняні науковці наголошують, що «Україна як держава-член</w:t>
      </w:r>
      <w:proofErr w:type="gramStart"/>
      <w:r w:rsidRPr="00FD38BE">
        <w:rPr>
          <w:sz w:val="28"/>
          <w:szCs w:val="28"/>
        </w:rPr>
        <w:t xml:space="preserve"> Р</w:t>
      </w:r>
      <w:proofErr w:type="gramEnd"/>
      <w:r w:rsidRPr="00FD38BE">
        <w:rPr>
          <w:sz w:val="28"/>
          <w:szCs w:val="28"/>
        </w:rPr>
        <w:t>ади Європи не може залишатися осторонь процесів інформатизації загалом та судової діяльності зокрема, які проходять на європейському континенті» [3, с. 501].</w:t>
      </w:r>
    </w:p>
    <w:p w:rsidR="00076275" w:rsidRPr="00FD38BE" w:rsidRDefault="00076275" w:rsidP="00076275">
      <w:pPr>
        <w:spacing w:line="360" w:lineRule="auto"/>
        <w:ind w:firstLine="709"/>
        <w:jc w:val="both"/>
        <w:rPr>
          <w:sz w:val="28"/>
          <w:szCs w:val="28"/>
        </w:rPr>
      </w:pPr>
      <w:r w:rsidRPr="00FD38BE">
        <w:rPr>
          <w:sz w:val="28"/>
          <w:szCs w:val="28"/>
        </w:rPr>
        <w:t>Не менш важливим є врахування зарубіжного досвіду функціонування адміністративної юстиції, що дозволяє запозичувати найбільш ефективні моделі організації судового розгляду публічно-правових спорів та адаптувати їх до національної правової системи. Порівняльно-правовий аналіз міжнародної практики сприяє формуванню сучасних підходів до вдосконалення адміністративного судочинства та гармонізації українського законодавства з європейськими правовими стандартами.</w:t>
      </w:r>
    </w:p>
    <w:p w:rsidR="00076275" w:rsidRPr="00FD38BE" w:rsidRDefault="00076275" w:rsidP="00076275">
      <w:pPr>
        <w:spacing w:line="360" w:lineRule="auto"/>
        <w:ind w:firstLine="709"/>
        <w:jc w:val="both"/>
        <w:rPr>
          <w:iCs/>
          <w:sz w:val="28"/>
          <w:szCs w:val="28"/>
        </w:rPr>
      </w:pPr>
      <w:r w:rsidRPr="00FD38BE">
        <w:rPr>
          <w:iCs/>
          <w:sz w:val="28"/>
          <w:szCs w:val="28"/>
        </w:rPr>
        <w:t>З цього приводу М. Кармаліта слушно зазначає, що «у новітніх умовах розвитку суспільно-правових відносин під впливом процесів глобалізації, зближення правових систем, піднесення проблеми прав людини доктринальні правові джерела набувають особливо великого значення. Питання правової доктрини виходять за межі національних правових систем, навіть правових сімей, і мають глобальний характер [2, с. 279].</w:t>
      </w:r>
    </w:p>
    <w:p w:rsidR="00076275" w:rsidRPr="00FD38BE" w:rsidRDefault="00076275" w:rsidP="00076275">
      <w:pPr>
        <w:spacing w:line="360" w:lineRule="auto"/>
        <w:ind w:firstLine="709"/>
        <w:jc w:val="both"/>
        <w:rPr>
          <w:sz w:val="28"/>
          <w:szCs w:val="28"/>
        </w:rPr>
      </w:pPr>
      <w:r w:rsidRPr="00FD38BE">
        <w:rPr>
          <w:sz w:val="28"/>
          <w:szCs w:val="28"/>
        </w:rPr>
        <w:lastRenderedPageBreak/>
        <w:t>Проблематика адміністративного судочинства досліджувалася у працях багатьох вітчизняних та зарубіжних учених-правознавців. Разом із тим, питання підвищення ефективності діяльності адміністративних судів, удосконалення процесуальних гарантій та інтеграції інформаційних технологій у судову діяльність залишаються актуальними та потребують подальшого наукового осмислення.</w:t>
      </w:r>
    </w:p>
    <w:p w:rsidR="00076275" w:rsidRPr="00FD38BE" w:rsidRDefault="00076275" w:rsidP="00076275">
      <w:pPr>
        <w:spacing w:line="360" w:lineRule="auto"/>
        <w:ind w:firstLine="709"/>
        <w:jc w:val="both"/>
        <w:rPr>
          <w:sz w:val="28"/>
          <w:szCs w:val="28"/>
        </w:rPr>
      </w:pPr>
      <w:r w:rsidRPr="00FD38BE">
        <w:rPr>
          <w:sz w:val="28"/>
          <w:szCs w:val="28"/>
        </w:rPr>
        <w:t>Адміністративне судочинство є важливим інституційним механізмом реалізації принципу верховенства права та забезпечення ефективного судового контролю за діяльністю суб’єктів владних повноважень. Його призначення полягає у захисті прав, свобод та законних інтересів фізичних і юридичних осіб у сфері публічно-правових відносин від протиправних рішень, дій чи бездіяльності органів публічної влади.</w:t>
      </w:r>
    </w:p>
    <w:p w:rsidR="00076275" w:rsidRPr="00FD38BE" w:rsidRDefault="00076275" w:rsidP="00076275">
      <w:pPr>
        <w:spacing w:line="360" w:lineRule="auto"/>
        <w:ind w:firstLine="709"/>
        <w:jc w:val="both"/>
        <w:rPr>
          <w:sz w:val="28"/>
          <w:szCs w:val="28"/>
        </w:rPr>
      </w:pPr>
      <w:r w:rsidRPr="00FD38BE">
        <w:rPr>
          <w:sz w:val="28"/>
          <w:szCs w:val="28"/>
        </w:rPr>
        <w:t>Однією з ключових особливостей адміністративного судочинства є активна роль суду у встановленні фактичних обставин справи та оцінці доказів. Така особливість зумовлена принципом офіційного з’ясування всіх обставин справи, що поєднується із принципом змагальності сторін та забезпечує баланс між інтересами держави та правами особи у публічно-правових спорах.</w:t>
      </w:r>
    </w:p>
    <w:p w:rsidR="00076275" w:rsidRPr="00FD38BE" w:rsidRDefault="00076275" w:rsidP="00076275">
      <w:pPr>
        <w:spacing w:line="360" w:lineRule="auto"/>
        <w:ind w:firstLine="709"/>
        <w:jc w:val="both"/>
        <w:rPr>
          <w:sz w:val="28"/>
          <w:szCs w:val="28"/>
        </w:rPr>
      </w:pPr>
      <w:r w:rsidRPr="00FD38BE">
        <w:rPr>
          <w:sz w:val="28"/>
          <w:szCs w:val="28"/>
        </w:rPr>
        <w:t>Адміністративний суд як інституційний елемент адміністративної юстиції відіграє ключову роль у забезпеченні ефективного вирішення публічно-правових спорів. Центральним елементом діяльності суду виступає формування правової позиції, яка знаходить своє відображення у мотивувальній частині судового рішення та визначає алгоритм застосування норм права до встановлених фактичних обставин справи.</w:t>
      </w:r>
    </w:p>
    <w:p w:rsidR="00076275" w:rsidRPr="00FD38BE" w:rsidRDefault="00076275" w:rsidP="00076275">
      <w:pPr>
        <w:spacing w:line="360" w:lineRule="auto"/>
        <w:ind w:firstLine="709"/>
        <w:jc w:val="both"/>
        <w:rPr>
          <w:sz w:val="28"/>
          <w:szCs w:val="28"/>
        </w:rPr>
      </w:pPr>
      <w:r w:rsidRPr="00FD38BE">
        <w:rPr>
          <w:sz w:val="28"/>
          <w:szCs w:val="28"/>
        </w:rPr>
        <w:t>Ефективність адміністративного судочинства забезпечується системою гарантій судового захисту, до яких належать нормативно-правові, інституційні та інформаційно-технічні гарантії. Важливе значення у цьому контексті мають конституційні принципи судочинства, положення Кодексу адміністративного судочинства України, практика Європейського суду з прав людини, а також діяльність органів суддівського врядування та суддівського самоврядування.</w:t>
      </w:r>
    </w:p>
    <w:p w:rsidR="00076275" w:rsidRPr="00FD38BE" w:rsidRDefault="00076275" w:rsidP="00076275">
      <w:pPr>
        <w:spacing w:line="360" w:lineRule="auto"/>
        <w:ind w:firstLine="709"/>
        <w:jc w:val="both"/>
        <w:rPr>
          <w:sz w:val="28"/>
          <w:szCs w:val="28"/>
        </w:rPr>
      </w:pPr>
      <w:r w:rsidRPr="00FD38BE">
        <w:rPr>
          <w:sz w:val="28"/>
          <w:szCs w:val="28"/>
        </w:rPr>
        <w:t xml:space="preserve">Важливою умовою підвищення ефективності адміністративного судочинства є впровадження інформаційно-комунікаційних технологій у </w:t>
      </w:r>
      <w:r w:rsidRPr="00FD38BE">
        <w:rPr>
          <w:sz w:val="28"/>
          <w:szCs w:val="28"/>
        </w:rPr>
        <w:lastRenderedPageBreak/>
        <w:t>судову діяльність. Використання електронного суду, електронного документообігу, електронних баз даних судових рішень та систем електронного моніторингу справ сприяє підвищенню доступності правосуддя, скороченню строків розгляду справ та підвищенню прозорості судової діяльності.</w:t>
      </w:r>
    </w:p>
    <w:p w:rsidR="00076275" w:rsidRPr="00FD38BE" w:rsidRDefault="00076275" w:rsidP="00076275">
      <w:pPr>
        <w:spacing w:line="360" w:lineRule="auto"/>
        <w:ind w:firstLine="709"/>
        <w:jc w:val="both"/>
        <w:rPr>
          <w:sz w:val="28"/>
          <w:szCs w:val="28"/>
        </w:rPr>
      </w:pPr>
      <w:r w:rsidRPr="00FD38BE">
        <w:rPr>
          <w:sz w:val="28"/>
          <w:szCs w:val="28"/>
        </w:rPr>
        <w:t>Врахування зарубіжного досвіду організації адміністративної юстиції та судової практики міжнародних інституцій також сприяє удосконаленню національного адміністративного судочинства. Порівняльно-правовий аналіз дозволяє адаптувати ефективні правові механізми до української правової системи та забезпечити гармонізацію національного законодавства з європейськими правовими стандартами.</w:t>
      </w:r>
    </w:p>
    <w:p w:rsidR="00076275" w:rsidRPr="00FD38BE" w:rsidRDefault="00076275" w:rsidP="00076275">
      <w:pPr>
        <w:spacing w:line="360" w:lineRule="auto"/>
        <w:ind w:firstLine="709"/>
        <w:jc w:val="both"/>
        <w:rPr>
          <w:sz w:val="28"/>
          <w:szCs w:val="28"/>
        </w:rPr>
      </w:pPr>
      <w:r w:rsidRPr="00FD38BE">
        <w:rPr>
          <w:sz w:val="28"/>
          <w:szCs w:val="28"/>
        </w:rPr>
        <w:t>Отже, адміністративне судочинство в Україні виступає важливим елементом механізму забезпечення законності у сфері публічного управління та гарантування ефективного судового захисту прав і свобод людини. Подальший розвиток адміністративної юстиції повинен здійснюватися шляхом удосконалення процесуальних механізмів судового розгляду, розширення використання інформаційних технологій у судовій діяльності та врахування кращих практик зарубіжних правових систем.</w:t>
      </w:r>
    </w:p>
    <w:p w:rsidR="00076275" w:rsidRPr="00FD38BE" w:rsidRDefault="00076275" w:rsidP="00076275">
      <w:pPr>
        <w:spacing w:line="360" w:lineRule="auto"/>
        <w:ind w:firstLine="709"/>
        <w:jc w:val="both"/>
        <w:rPr>
          <w:sz w:val="28"/>
          <w:szCs w:val="28"/>
        </w:rPr>
      </w:pPr>
    </w:p>
    <w:p w:rsidR="00076275" w:rsidRPr="00FD38BE" w:rsidRDefault="00076275" w:rsidP="00076275">
      <w:pPr>
        <w:spacing w:line="360" w:lineRule="auto"/>
        <w:ind w:firstLine="709"/>
        <w:jc w:val="center"/>
        <w:rPr>
          <w:b/>
          <w:bCs/>
          <w:sz w:val="28"/>
          <w:szCs w:val="28"/>
        </w:rPr>
      </w:pPr>
      <w:r w:rsidRPr="00FD38BE">
        <w:rPr>
          <w:b/>
          <w:bCs/>
          <w:sz w:val="28"/>
          <w:szCs w:val="28"/>
        </w:rPr>
        <w:t>СПИСОК ВИКОРИСТАНИХ ДЖЕРЕЛ</w:t>
      </w:r>
    </w:p>
    <w:p w:rsidR="00076275" w:rsidRPr="00FD38BE" w:rsidRDefault="00076275" w:rsidP="00076275">
      <w:pPr>
        <w:pStyle w:val="a7"/>
        <w:numPr>
          <w:ilvl w:val="0"/>
          <w:numId w:val="14"/>
        </w:numPr>
        <w:spacing w:line="360" w:lineRule="auto"/>
        <w:ind w:left="0" w:firstLine="709"/>
        <w:jc w:val="both"/>
        <w:rPr>
          <w:sz w:val="28"/>
          <w:szCs w:val="28"/>
        </w:rPr>
      </w:pPr>
      <w:r w:rsidRPr="00FD38BE">
        <w:rPr>
          <w:sz w:val="28"/>
          <w:szCs w:val="28"/>
        </w:rPr>
        <w:t>Зелінська Я. Особливості доказування в адміністративному судочинстві. Вісник НААУ № 3 (99). 2024. URL: https://unba.org.ua/publications/9067-osoblivosti-dokazuvannya-v-administrativnomu-sudochinstvi.html (дата звернення - 10.02.2026)</w:t>
      </w:r>
    </w:p>
    <w:p w:rsidR="00076275" w:rsidRPr="00FD38BE" w:rsidRDefault="00076275" w:rsidP="00076275">
      <w:pPr>
        <w:pStyle w:val="a7"/>
        <w:numPr>
          <w:ilvl w:val="0"/>
          <w:numId w:val="14"/>
        </w:numPr>
        <w:spacing w:line="360" w:lineRule="auto"/>
        <w:ind w:left="0" w:firstLine="709"/>
        <w:jc w:val="both"/>
        <w:rPr>
          <w:sz w:val="28"/>
          <w:szCs w:val="28"/>
        </w:rPr>
      </w:pPr>
      <w:r w:rsidRPr="00FD38BE">
        <w:rPr>
          <w:sz w:val="28"/>
          <w:szCs w:val="28"/>
        </w:rPr>
        <w:t>Кармаліта М. Місце правової доктрини в сучасній системі джерел (форм) права України. Публічне право. 2012.  № 2. С. 279-287.</w:t>
      </w:r>
    </w:p>
    <w:p w:rsidR="00076275" w:rsidRPr="00FD38BE" w:rsidRDefault="00076275" w:rsidP="00076275">
      <w:pPr>
        <w:pStyle w:val="a7"/>
        <w:numPr>
          <w:ilvl w:val="0"/>
          <w:numId w:val="14"/>
        </w:numPr>
        <w:spacing w:line="360" w:lineRule="auto"/>
        <w:ind w:left="0" w:firstLine="709"/>
        <w:jc w:val="both"/>
        <w:rPr>
          <w:sz w:val="28"/>
          <w:szCs w:val="28"/>
        </w:rPr>
      </w:pPr>
      <w:r w:rsidRPr="00FD38BE">
        <w:rPr>
          <w:sz w:val="28"/>
          <w:szCs w:val="28"/>
        </w:rPr>
        <w:t>Сердюк Л. Р. Нормативно-правове забезпечення впровадження електронного судочинства в Україні. Молодий вчений. 2016. № 3(30). С. 500-505.</w:t>
      </w:r>
    </w:p>
    <w:p w:rsidR="00076275" w:rsidRPr="00FD38BE" w:rsidRDefault="00076275" w:rsidP="00076275">
      <w:pPr>
        <w:pStyle w:val="a7"/>
        <w:numPr>
          <w:ilvl w:val="0"/>
          <w:numId w:val="14"/>
        </w:numPr>
        <w:spacing w:line="360" w:lineRule="auto"/>
        <w:ind w:left="0" w:firstLine="709"/>
        <w:jc w:val="both"/>
        <w:rPr>
          <w:sz w:val="28"/>
          <w:szCs w:val="28"/>
        </w:rPr>
      </w:pPr>
      <w:r w:rsidRPr="00FD38BE">
        <w:rPr>
          <w:sz w:val="28"/>
          <w:szCs w:val="28"/>
        </w:rPr>
        <w:t xml:space="preserve">Цховребова М. Г. Система гарантій ефективного судового захисту суб’єктів права у публічно-правових спорах як складова забезпечення </w:t>
      </w:r>
      <w:r w:rsidRPr="00FD38BE">
        <w:rPr>
          <w:sz w:val="28"/>
          <w:szCs w:val="28"/>
        </w:rPr>
        <w:lastRenderedPageBreak/>
        <w:t>стабільності інвестиційного відновлення України. Юридичний вісник. №1. 2025. С. 269-275.</w:t>
      </w:r>
    </w:p>
    <w:p w:rsidR="00076275" w:rsidRDefault="00076275" w:rsidP="00076275">
      <w:pPr>
        <w:spacing w:line="360" w:lineRule="auto"/>
        <w:contextualSpacing/>
        <w:jc w:val="both"/>
        <w:rPr>
          <w:sz w:val="28"/>
          <w:szCs w:val="28"/>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ind w:firstLine="709"/>
        <w:jc w:val="center"/>
        <w:rPr>
          <w:b/>
          <w:bCs/>
          <w:sz w:val="28"/>
          <w:szCs w:val="28"/>
        </w:rPr>
      </w:pPr>
      <w:r w:rsidRPr="00FD38BE">
        <w:rPr>
          <w:b/>
          <w:bCs/>
          <w:sz w:val="28"/>
          <w:szCs w:val="28"/>
        </w:rPr>
        <w:t>ДИДЖИТАЛІЗАЦІЯ ЯК ЧИННИК ТРАНСФОРМАЦІЇ СУЧАСНОЇ ПРАВОВОЇ СИСТЕМИ</w:t>
      </w:r>
    </w:p>
    <w:p w:rsidR="00076275" w:rsidRPr="00FD38BE" w:rsidRDefault="00076275" w:rsidP="00076275">
      <w:pPr>
        <w:spacing w:line="360" w:lineRule="auto"/>
        <w:ind w:firstLine="709"/>
        <w:jc w:val="center"/>
        <w:rPr>
          <w:b/>
          <w:bCs/>
          <w:i/>
          <w:iCs/>
          <w:sz w:val="28"/>
          <w:szCs w:val="28"/>
        </w:rPr>
      </w:pPr>
      <w:r w:rsidRPr="00FD38BE">
        <w:rPr>
          <w:b/>
          <w:bCs/>
          <w:i/>
          <w:iCs/>
          <w:sz w:val="28"/>
          <w:szCs w:val="28"/>
        </w:rPr>
        <w:t>Луняченко І.В.</w:t>
      </w:r>
    </w:p>
    <w:p w:rsidR="00076275" w:rsidRPr="00FD38BE" w:rsidRDefault="00076275" w:rsidP="00076275">
      <w:pPr>
        <w:spacing w:line="360" w:lineRule="auto"/>
        <w:ind w:firstLine="709"/>
        <w:jc w:val="center"/>
        <w:rPr>
          <w:i/>
          <w:iCs/>
          <w:sz w:val="28"/>
          <w:szCs w:val="28"/>
        </w:rPr>
      </w:pPr>
      <w:r w:rsidRPr="00FD38BE">
        <w:rPr>
          <w:i/>
          <w:iCs/>
          <w:sz w:val="28"/>
          <w:szCs w:val="28"/>
        </w:rPr>
        <w:t>аспірант кафедри державно-правових дисциплін,</w:t>
      </w:r>
    </w:p>
    <w:p w:rsidR="00076275" w:rsidRPr="00FD38BE" w:rsidRDefault="00076275" w:rsidP="00076275">
      <w:pPr>
        <w:spacing w:line="360" w:lineRule="auto"/>
        <w:ind w:firstLine="709"/>
        <w:jc w:val="center"/>
        <w:rPr>
          <w:i/>
          <w:iCs/>
          <w:sz w:val="28"/>
          <w:szCs w:val="28"/>
        </w:rPr>
      </w:pPr>
      <w:r w:rsidRPr="00FD38BE">
        <w:rPr>
          <w:i/>
          <w:iCs/>
          <w:sz w:val="28"/>
          <w:szCs w:val="28"/>
        </w:rPr>
        <w:t xml:space="preserve">Міжнародний університет </w:t>
      </w:r>
    </w:p>
    <w:p w:rsidR="00076275" w:rsidRPr="00FD38BE" w:rsidRDefault="00076275" w:rsidP="00076275">
      <w:pPr>
        <w:spacing w:line="360" w:lineRule="auto"/>
        <w:ind w:firstLine="709"/>
        <w:jc w:val="center"/>
        <w:rPr>
          <w:i/>
          <w:iCs/>
          <w:sz w:val="28"/>
          <w:szCs w:val="28"/>
        </w:rPr>
      </w:pPr>
      <w:r w:rsidRPr="00FD38BE">
        <w:rPr>
          <w:i/>
          <w:iCs/>
          <w:sz w:val="28"/>
          <w:szCs w:val="28"/>
        </w:rPr>
        <w:t>м. Одеса, Україна</w:t>
      </w:r>
    </w:p>
    <w:p w:rsidR="00076275" w:rsidRPr="00DA2AFA" w:rsidRDefault="00076275" w:rsidP="00076275">
      <w:pPr>
        <w:spacing w:line="360" w:lineRule="auto"/>
        <w:ind w:firstLine="709"/>
        <w:jc w:val="center"/>
        <w:rPr>
          <w:i/>
          <w:iCs/>
          <w:sz w:val="28"/>
          <w:szCs w:val="28"/>
        </w:rPr>
      </w:pPr>
      <w:r w:rsidRPr="00DA2AFA">
        <w:rPr>
          <w:i/>
          <w:iCs/>
          <w:sz w:val="28"/>
          <w:szCs w:val="28"/>
        </w:rPr>
        <w:t>Науковий керівник</w:t>
      </w:r>
    </w:p>
    <w:p w:rsidR="00076275" w:rsidRPr="00FD38BE" w:rsidRDefault="00076275" w:rsidP="00076275">
      <w:pPr>
        <w:spacing w:line="360" w:lineRule="auto"/>
        <w:ind w:firstLine="709"/>
        <w:jc w:val="center"/>
        <w:rPr>
          <w:b/>
          <w:bCs/>
          <w:i/>
          <w:iCs/>
          <w:sz w:val="28"/>
          <w:szCs w:val="28"/>
        </w:rPr>
      </w:pPr>
      <w:r w:rsidRPr="00FD38BE">
        <w:rPr>
          <w:b/>
          <w:bCs/>
          <w:i/>
          <w:iCs/>
          <w:sz w:val="28"/>
          <w:szCs w:val="28"/>
        </w:rPr>
        <w:t>Атаманова Н. В.</w:t>
      </w:r>
    </w:p>
    <w:p w:rsidR="00076275" w:rsidRDefault="00076275" w:rsidP="00076275">
      <w:pPr>
        <w:spacing w:line="360" w:lineRule="auto"/>
        <w:ind w:firstLine="709"/>
        <w:jc w:val="center"/>
        <w:rPr>
          <w:i/>
          <w:iCs/>
          <w:sz w:val="28"/>
          <w:szCs w:val="28"/>
        </w:rPr>
      </w:pPr>
      <w:r>
        <w:rPr>
          <w:i/>
          <w:iCs/>
          <w:sz w:val="28"/>
          <w:szCs w:val="28"/>
          <w:lang w:val="uk-UA"/>
        </w:rPr>
        <w:t>к.ю.н.</w:t>
      </w:r>
      <w:r w:rsidRPr="00FD38BE">
        <w:rPr>
          <w:i/>
          <w:iCs/>
          <w:sz w:val="28"/>
          <w:szCs w:val="28"/>
        </w:rPr>
        <w:t>, доцент кафедри державно-правови</w:t>
      </w:r>
      <w:r>
        <w:rPr>
          <w:i/>
          <w:iCs/>
          <w:sz w:val="28"/>
          <w:szCs w:val="28"/>
          <w:lang w:val="uk-UA"/>
        </w:rPr>
        <w:t xml:space="preserve">х </w:t>
      </w:r>
      <w:r w:rsidRPr="00FD38BE">
        <w:rPr>
          <w:i/>
          <w:iCs/>
          <w:sz w:val="28"/>
          <w:szCs w:val="28"/>
        </w:rPr>
        <w:t xml:space="preserve">дисциплін </w:t>
      </w:r>
    </w:p>
    <w:p w:rsidR="00076275" w:rsidRDefault="00076275" w:rsidP="00076275">
      <w:pPr>
        <w:spacing w:line="360" w:lineRule="auto"/>
        <w:ind w:firstLine="709"/>
        <w:jc w:val="center"/>
        <w:rPr>
          <w:i/>
          <w:iCs/>
          <w:sz w:val="28"/>
          <w:szCs w:val="28"/>
        </w:rPr>
      </w:pPr>
      <w:r w:rsidRPr="00FD38BE">
        <w:rPr>
          <w:i/>
          <w:iCs/>
          <w:sz w:val="28"/>
          <w:szCs w:val="28"/>
        </w:rPr>
        <w:t>Міжнародного  університету</w:t>
      </w:r>
    </w:p>
    <w:p w:rsidR="00076275" w:rsidRPr="00FA3276" w:rsidRDefault="00076275" w:rsidP="00076275">
      <w:pPr>
        <w:spacing w:line="360" w:lineRule="auto"/>
        <w:ind w:firstLine="709"/>
        <w:jc w:val="center"/>
        <w:rPr>
          <w:i/>
          <w:iCs/>
          <w:sz w:val="28"/>
          <w:szCs w:val="28"/>
          <w:lang w:val="uk-UA"/>
        </w:rPr>
      </w:pPr>
      <w:r>
        <w:rPr>
          <w:i/>
          <w:iCs/>
          <w:sz w:val="28"/>
          <w:szCs w:val="28"/>
          <w:lang w:val="uk-UA"/>
        </w:rPr>
        <w:t>м. Одеса, Україна</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Диджиталізація обумовлює необхідність модернізації нормативно-правової основи держави, удосконалення інституційних механізмів правового регулювання та забезпечення їх стабільного функціонування в умовах цифрової реальності. У цьому контексті слушною є позиція д.ю.н., доцента Д. Г. Манька, який зазначає, що діджиталізація державно-правової сфери передбачає насамперед модернізацію державного управління, зокрема розробку архітектури функцій органів державної влади, удосконалення процедур збору даних, активне застосування інформаційних технологій, формування системи інформаційної безпеки та подолання корупції [1, </w:t>
      </w:r>
      <w:r w:rsidRPr="00FD38BE">
        <w:rPr>
          <w:sz w:val="28"/>
          <w:szCs w:val="28"/>
          <w:shd w:val="clear" w:color="auto" w:fill="FFFFFF"/>
          <w:lang w:val="en-US"/>
        </w:rPr>
        <w:t>c</w:t>
      </w:r>
      <w:r w:rsidRPr="00FD38BE">
        <w:rPr>
          <w:sz w:val="28"/>
          <w:szCs w:val="28"/>
          <w:shd w:val="clear" w:color="auto" w:fill="FFFFFF"/>
        </w:rPr>
        <w:t>. 161].</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Зазначені напрями модернізації мають системний характер і безпосередньо впливають на трансформацію правової системи загалом, оскільки змінюють механізми реалізації владних повноважень, способи взаємодії держави й громадян, а також інструменти забезпечення законності та правопорядку. Водночас трансформація правової системи повинна зберігати її внутрішню цілісність, системність і відповідність принципам верховенства права. </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lastRenderedPageBreak/>
        <w:t xml:space="preserve">Діджиталізація та цифрова трансформація вже торкнулися таких сфер суспільства, як соціальна, адміністративна, економічна та інші. Настала черга і державно-правової, тому, наразі, дана тема активно обговорюється на рівні урядовців, проте, через нещодавнє її виникнення та поширення, вона недостатньо досліджена [2, </w:t>
      </w:r>
      <w:r w:rsidRPr="00FD38BE">
        <w:rPr>
          <w:sz w:val="28"/>
          <w:szCs w:val="28"/>
          <w:shd w:val="clear" w:color="auto" w:fill="FFFFFF"/>
          <w:lang w:val="en-US"/>
        </w:rPr>
        <w:t>c</w:t>
      </w:r>
      <w:r w:rsidRPr="00FD38BE">
        <w:rPr>
          <w:sz w:val="28"/>
          <w:szCs w:val="28"/>
          <w:shd w:val="clear" w:color="auto" w:fill="FFFFFF"/>
        </w:rPr>
        <w:t xml:space="preserve">. 6]. </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Варто відмітити, що ефективний вплив правової системи на суспільні відносини в умовах цифрової трансформації, можливий тільки за умови наявності стійких організаційних та функціональних засад її розвитку. Ступінь адаптації правової системи України до викликів цифрової епохи визначає рівень правової організації суспільного життя та здатність держави забезпечувати баланс між інноваційними технологіями й гарантіями прав і свобод людини.</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У цифрову епоху перед правовою системою України постають пріоритетні завдання, зокрема підвищення соціальної цінності права, ефективності правового регулювання, посилення взаємозв’язку правотворчої та правозастосовної діяльності, а також зміцнення засад правового статусу особи. Їх результативна реалізація значною мірою визначає спрямованість процесів диджиталізації в державі [3, </w:t>
      </w:r>
      <w:r w:rsidRPr="00FD38BE">
        <w:rPr>
          <w:sz w:val="28"/>
          <w:szCs w:val="28"/>
          <w:shd w:val="clear" w:color="auto" w:fill="FFFFFF"/>
          <w:lang w:val="en-US"/>
        </w:rPr>
        <w:t>c</w:t>
      </w:r>
      <w:r w:rsidRPr="00FD38BE">
        <w:rPr>
          <w:sz w:val="28"/>
          <w:szCs w:val="28"/>
          <w:shd w:val="clear" w:color="auto" w:fill="FFFFFF"/>
        </w:rPr>
        <w:t>. 270]. Водночас суттєве функціональне навантаження покладається саме на механізми правотворчості та правозастосування.</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Правотворчість і правозастосування виступають ключовими чинниками забезпечення функціонування правової системи відповідно до потреб цифрової трансформації суспільства [4, </w:t>
      </w:r>
      <w:r w:rsidRPr="00FD38BE">
        <w:rPr>
          <w:sz w:val="28"/>
          <w:szCs w:val="28"/>
          <w:shd w:val="clear" w:color="auto" w:fill="FFFFFF"/>
          <w:lang w:val="en-US"/>
        </w:rPr>
        <w:t>c</w:t>
      </w:r>
      <w:r w:rsidRPr="00FD38BE">
        <w:rPr>
          <w:sz w:val="28"/>
          <w:szCs w:val="28"/>
          <w:shd w:val="clear" w:color="auto" w:fill="FFFFFF"/>
        </w:rPr>
        <w:t xml:space="preserve">. 31]. </w:t>
      </w:r>
      <w:proofErr w:type="gramStart"/>
      <w:r w:rsidRPr="00FD38BE">
        <w:rPr>
          <w:sz w:val="28"/>
          <w:szCs w:val="28"/>
          <w:shd w:val="clear" w:color="auto" w:fill="FFFFFF"/>
        </w:rPr>
        <w:t>Ст</w:t>
      </w:r>
      <w:proofErr w:type="gramEnd"/>
      <w:r w:rsidRPr="00FD38BE">
        <w:rPr>
          <w:sz w:val="28"/>
          <w:szCs w:val="28"/>
          <w:shd w:val="clear" w:color="auto" w:fill="FFFFFF"/>
        </w:rPr>
        <w:t>ійка правова основа диджиталізації досягається узгодженістю правотворчого та правозастосовного механізмів у межах єдиної правової системи.</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Сьогодні перед правовою системою України на рівні правотворчості та правозастосування постає завдання формування механізму сталого правового регулювання відповідно до цілей і завдань соціально-економічного розвитку держави, зумовлених процесами цифровізації суспільства та розбудовою цифрової економіки. Стале економічне зростання передбачає належне нормативне забезпечення цифрових трансформацій.</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lastRenderedPageBreak/>
        <w:t>Зокрема, стратегічні й нормативні орієнтири цифрової трансформації в Україні закріплені у комплексі взаємопов’язаних актів, які формують правову рамку диджиталізації як компонента правового розвитку. Базові засади безпеки цифрового середовища та захисту критичних інформаційних процесів визначає Закон України від 05.10.2017 № 2163-VIII «Про основні засади забезпечення кібербезпеки України» [5], що інституціалізує державну політику кіберзахисту та координацію суб’єктів у кіберпросторі. Інституційно-організаційний вимір цифровізації публічного управління та цифрової економіки підтримується урядовими стратегічними документами, зокрема Стратегією здійснення цифрового розвитку, цифрових трансформацій і цифровізації системи управління державними фінансами, затвердженою розпорядженням Кабінету Міністрів України від 17 листопада 2021 року № 1467-р [6]. Строк реалізації зазначеної Стратегії продовжено до 2030 року відповідно до розпорядження Кабінету Міністрів України від 13 травня 2025 року № 464-р [7], що свідчить про довгостроковий та системний характер державної політики у сфері цифрової трансформації.</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Фундамент </w:t>
      </w:r>
      <w:proofErr w:type="gramStart"/>
      <w:r w:rsidRPr="00FD38BE">
        <w:rPr>
          <w:sz w:val="28"/>
          <w:szCs w:val="28"/>
          <w:shd w:val="clear" w:color="auto" w:fill="FFFFFF"/>
        </w:rPr>
        <w:t>правового</w:t>
      </w:r>
      <w:proofErr w:type="gramEnd"/>
      <w:r w:rsidRPr="00FD38BE">
        <w:rPr>
          <w:sz w:val="28"/>
          <w:szCs w:val="28"/>
          <w:shd w:val="clear" w:color="auto" w:fill="FFFFFF"/>
        </w:rPr>
        <w:t xml:space="preserve"> забезпечення цифрової держави та цифрових процедур у межах правової системи становлять акти, які надають електронним діям і даним юридичної сили та забезпечують їх належну доказову й регулятивну значущість. До таких належать Закон України від 22 травня 2003 року № 851-IV «Про електронні документи та електронний документообіг» [8], Закон України від 5 жовтня 2017 року № 2155-VIII «Про електронну ідентифікацію та електронні довірчі послуги» [9] та Закон України від 15 липня 2021 року № 1689-IX «Про особливості надання публічних (електронних публічних) послуг» [10]. Зазначені нормативно-правові акти формують правові передумови електронної взаємодії особи і держави, унормовують використання електронного підпису та засобів ідентифікації, а також закладають основу функціонування безпаперових адміністративних процедур як складової трансформації сучасної правової системи.</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Системність цифрового врядування на рівні державних даних та інфраструктури забезпечується Законом України від 18 листопада 2021 року № </w:t>
      </w:r>
      <w:r w:rsidRPr="00FD38BE">
        <w:rPr>
          <w:sz w:val="28"/>
          <w:szCs w:val="28"/>
          <w:shd w:val="clear" w:color="auto" w:fill="FFFFFF"/>
        </w:rPr>
        <w:lastRenderedPageBreak/>
        <w:t xml:space="preserve">1907-IX «Про публічні електронні реєстри» [11], Законом України від 16 грудня 2020 року № 1089-IX «Про електронні комунікації» [12], Законом України від 17 лютого 2022 року № 2075-IX «Про хмарні послуги» [13] та Законом України від 5 липня 1994 року № 80/94-ВР «Про захист інформації в інформаційно-комунікаційних системах» [14]. У сукупності вони визначають вимоги до формування та ведення електронних реєстрів, функціонування цифрових мереж і сервісів, використання хмарної інфраструктури та забезпечення інформаційної безпеки як обов’язкової умови легітимності цифрових правовідносин. На рівні підзаконної імплементації важливе значення має постанова Кабінету Міністрів України № 712 від 18 червня 2025 року [15], якою затверджено процедури авторизації з безпеки інформаційних та електронних комунікаційних систем. </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Адекватне реагування правової системи України на </w:t>
      </w:r>
      <w:proofErr w:type="gramStart"/>
      <w:r w:rsidRPr="00FD38BE">
        <w:rPr>
          <w:sz w:val="28"/>
          <w:szCs w:val="28"/>
          <w:shd w:val="clear" w:color="auto" w:fill="FFFFFF"/>
        </w:rPr>
        <w:t>соц</w:t>
      </w:r>
      <w:proofErr w:type="gramEnd"/>
      <w:r w:rsidRPr="00FD38BE">
        <w:rPr>
          <w:sz w:val="28"/>
          <w:szCs w:val="28"/>
          <w:shd w:val="clear" w:color="auto" w:fill="FFFFFF"/>
        </w:rPr>
        <w:t>іальні зміни, зумовлені цифровою трансформацією, а також забезпечення впорядкованості суспільних відносин, можливі за умов взаємоузгодженого розвитку правотворчості та правозастосування. Саме їх системна кореляція створює належні передумови для реального забезпечення та зміцнення правового статусу особи. У сучасних умовах утвердження та гарантування прав і свобод людини набуває особливої значущості, оскільки правовий статус особи та правова система перебувають у відносинах взаємної обумовленості, де цінність людини виступає визначальним аксіологічним орієнтиром правового розвитку.</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 xml:space="preserve">У цифрову епоху істотно зростає увага до параметрів організації та функціонування правової системи України. Йдеться про поступову зміну її ролі в умовах диджиталізації, коли правова система набуває характеру організуючого чинника забезпечення процесів </w:t>
      </w:r>
      <w:proofErr w:type="gramStart"/>
      <w:r w:rsidRPr="00FD38BE">
        <w:rPr>
          <w:sz w:val="28"/>
          <w:szCs w:val="28"/>
          <w:shd w:val="clear" w:color="auto" w:fill="FFFFFF"/>
        </w:rPr>
        <w:t>соц</w:t>
      </w:r>
      <w:proofErr w:type="gramEnd"/>
      <w:r w:rsidRPr="00FD38BE">
        <w:rPr>
          <w:sz w:val="28"/>
          <w:szCs w:val="28"/>
          <w:shd w:val="clear" w:color="auto" w:fill="FFFFFF"/>
        </w:rPr>
        <w:t xml:space="preserve">іальної цифрової трансформації. Без належного правового інструментарію неможливо забезпечити ефективне впровадження цифрових технологій у сферу публічного управління, економіки та соціальних відносин. У зв’язку з цим об’єктивно виникає потреба в переосмисленні ціннісних засад, структурних параметрів організації та функціонування правової системи в цифровому середовищі. Її такі властивості, як стійкість, збалансованість і системність, набувають особливого соціального значення, оскільки саме від рівня розвитку правової </w:t>
      </w:r>
      <w:r w:rsidRPr="00FD38BE">
        <w:rPr>
          <w:sz w:val="28"/>
          <w:szCs w:val="28"/>
          <w:shd w:val="clear" w:color="auto" w:fill="FFFFFF"/>
        </w:rPr>
        <w:lastRenderedPageBreak/>
        <w:t>системи та ефективності її складових елементів залежить спрямованість і якість процесів цифровізації суспільства.</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У сучасних умовах актуалізується завдання підвищення соціальної цінності права як універсального регулятора динамічних суспільних відносин. Зростання темпів технологічних змін обумовлює необхідність посилення регулятивної ролі права, яке виступає фактором стабілізації та впорядкування суспільних процесів. Право, будучи системоутворюючим елементом правової системи, визначає параметри її розвитку, зокрема в частині розширення юридичних можливостей, удосконалення механізмів правового впливу та оптимізації правового регулювання.</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Перехід держави до цифровізації як стратегічного напряму суспільного розвитку водночас становить системний виклик для правової системи, яка повинна надати комплексну та адекватну відповідь. Реалізація цілей цифрової трансформації неможлива без належного правового супроводу, що визначається рівнем зрілості правової системи, її адаптивністю та здатністю до інституційного оновлення. Адаптація правової системи до технологічних викликів передбачає не лише розширення її юридичних інструментів, а й зміцнення організаційних та функціональних засад усіх її структурних елементів.</w:t>
      </w:r>
    </w:p>
    <w:p w:rsidR="00076275" w:rsidRPr="00FD38BE" w:rsidRDefault="00076275" w:rsidP="00076275">
      <w:pPr>
        <w:spacing w:line="360" w:lineRule="auto"/>
        <w:ind w:firstLine="709"/>
        <w:jc w:val="both"/>
        <w:rPr>
          <w:sz w:val="28"/>
          <w:szCs w:val="28"/>
          <w:shd w:val="clear" w:color="auto" w:fill="FFFFFF"/>
        </w:rPr>
      </w:pPr>
      <w:r w:rsidRPr="00FD38BE">
        <w:rPr>
          <w:sz w:val="28"/>
          <w:szCs w:val="28"/>
          <w:shd w:val="clear" w:color="auto" w:fill="FFFFFF"/>
        </w:rPr>
        <w:t>Таким чином, в умовах цифрової епохи, правова система України постає в новому аксіологічному та функціональному вимірі, де її ціннісна орієнтованість і стратегічні пріоритети визначають загальний напрям розвитку процесів диджиталізації. Це зумовлює необхідність подальшого ґрунтовного теоретико-правового аналізу правової системи як ключового інституційного механізму трансформації сучасного суспільства.</w:t>
      </w:r>
    </w:p>
    <w:p w:rsidR="00076275" w:rsidRPr="00FD38BE" w:rsidRDefault="00076275" w:rsidP="00076275">
      <w:pPr>
        <w:spacing w:line="360" w:lineRule="auto"/>
        <w:ind w:firstLine="709"/>
        <w:jc w:val="center"/>
        <w:rPr>
          <w:sz w:val="28"/>
          <w:szCs w:val="28"/>
          <w:shd w:val="clear" w:color="auto" w:fill="FFFFFF"/>
        </w:rPr>
      </w:pPr>
    </w:p>
    <w:p w:rsidR="00076275" w:rsidRPr="00FD38BE" w:rsidRDefault="00076275" w:rsidP="00076275">
      <w:pPr>
        <w:spacing w:line="360" w:lineRule="auto"/>
        <w:ind w:firstLine="709"/>
        <w:jc w:val="center"/>
        <w:rPr>
          <w:b/>
          <w:bCs/>
          <w:sz w:val="28"/>
          <w:szCs w:val="28"/>
        </w:rPr>
      </w:pPr>
      <w:r w:rsidRPr="00FD38BE">
        <w:rPr>
          <w:b/>
          <w:bCs/>
          <w:sz w:val="28"/>
          <w:szCs w:val="28"/>
        </w:rPr>
        <w:t>СПИСОК ВИКОРИСТАНИХ ДЖЕРЕЛ</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Манько Д.Г. Щодо загальних тенденцій діджиталізації публічного управління у сучасній державі. </w:t>
      </w:r>
      <w:r w:rsidRPr="00FD38BE">
        <w:rPr>
          <w:rStyle w:val="af1"/>
          <w:rFonts w:eastAsiaTheme="majorEastAsia"/>
          <w:sz w:val="28"/>
          <w:szCs w:val="28"/>
          <w:lang w:val="uk-UA"/>
        </w:rPr>
        <w:t>Стан та перспективи розвитку адміністративного права України</w:t>
      </w:r>
      <w:r w:rsidRPr="00FD38BE">
        <w:rPr>
          <w:sz w:val="28"/>
          <w:szCs w:val="28"/>
          <w:lang w:val="uk-UA"/>
        </w:rPr>
        <w:t xml:space="preserve"> : матеріали ІХ Міжнар. наук.-практ. інтернет-конф., м. Одеса, 28 жовтня 2022 р. Одеса : ОДУВС, 2022. С. 161–163.</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rPr>
      </w:pPr>
      <w:r w:rsidRPr="00FD38BE">
        <w:rPr>
          <w:sz w:val="28"/>
          <w:szCs w:val="28"/>
        </w:rPr>
        <w:lastRenderedPageBreak/>
        <w:t xml:space="preserve">Атаманова Н.В., Смирнов М.Д. Діджиталізація державно-правової сфери в Україні. </w:t>
      </w:r>
      <w:r w:rsidRPr="00FD38BE">
        <w:rPr>
          <w:rStyle w:val="af1"/>
          <w:rFonts w:eastAsiaTheme="majorEastAsia"/>
          <w:sz w:val="28"/>
          <w:szCs w:val="28"/>
        </w:rPr>
        <w:t>Актуальні проблеми вітчизняної юриспруденції</w:t>
      </w:r>
      <w:r w:rsidRPr="00FD38BE">
        <w:rPr>
          <w:sz w:val="28"/>
          <w:szCs w:val="28"/>
        </w:rPr>
        <w:t xml:space="preserve">. 2022. № 1. </w:t>
      </w:r>
      <w:r w:rsidRPr="00FD38BE">
        <w:rPr>
          <w:sz w:val="28"/>
          <w:szCs w:val="28"/>
          <w:lang w:val="en-US"/>
        </w:rPr>
        <w:t xml:space="preserve">C. 3-8. </w:t>
      </w:r>
      <w:r w:rsidRPr="00FD38BE">
        <w:rPr>
          <w:sz w:val="28"/>
          <w:szCs w:val="28"/>
        </w:rPr>
        <w:t xml:space="preserve">DOI: </w:t>
      </w:r>
      <w:hyperlink r:id="rId42" w:tgtFrame="_new" w:history="1">
        <w:r w:rsidRPr="00FD38BE">
          <w:rPr>
            <w:rStyle w:val="af0"/>
            <w:rFonts w:eastAsiaTheme="majorEastAsia"/>
            <w:color w:val="auto"/>
            <w:sz w:val="28"/>
            <w:szCs w:val="28"/>
          </w:rPr>
          <w:t>https://doi.org/10.32782/392233</w:t>
        </w:r>
      </w:hyperlink>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rPr>
      </w:pPr>
      <w:r w:rsidRPr="00FD38BE">
        <w:rPr>
          <w:sz w:val="28"/>
          <w:szCs w:val="28"/>
        </w:rPr>
        <w:t xml:space="preserve">Атаманова Н., Федан С. Системна парадигма діджиталізації права. </w:t>
      </w:r>
      <w:r w:rsidRPr="00FD38BE">
        <w:rPr>
          <w:rStyle w:val="af1"/>
          <w:rFonts w:eastAsiaTheme="majorEastAsia"/>
          <w:sz w:val="28"/>
          <w:szCs w:val="28"/>
        </w:rPr>
        <w:t>Актуальні питання у сучасній науці.</w:t>
      </w:r>
      <w:r w:rsidRPr="00FD38BE">
        <w:rPr>
          <w:sz w:val="28"/>
          <w:szCs w:val="28"/>
        </w:rPr>
        <w:t xml:space="preserve"> 2024. № 10(28). С. 261–272. DOI:10.52058/2786-6300-2024-10(28)-261-272.</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rPr>
      </w:pPr>
      <w:r w:rsidRPr="00FD38BE">
        <w:rPr>
          <w:sz w:val="28"/>
          <w:szCs w:val="28"/>
        </w:rPr>
        <w:t xml:space="preserve">Гедіков В.В. Цифрові інструменти у контексті діджиталізації: сучасні тенденції та перспективи. </w:t>
      </w:r>
      <w:r w:rsidRPr="00FD38BE">
        <w:rPr>
          <w:rStyle w:val="af1"/>
          <w:rFonts w:eastAsiaTheme="majorEastAsia"/>
          <w:sz w:val="28"/>
          <w:szCs w:val="28"/>
        </w:rPr>
        <w:t>Київський часопис права</w:t>
      </w:r>
      <w:r w:rsidRPr="00FD38BE">
        <w:rPr>
          <w:sz w:val="28"/>
          <w:szCs w:val="28"/>
        </w:rPr>
        <w:t xml:space="preserve">. 2025. № 2. С. 29–34. DOI: </w:t>
      </w:r>
      <w:hyperlink r:id="rId43" w:tgtFrame="_new" w:history="1">
        <w:r w:rsidRPr="00FD38BE">
          <w:rPr>
            <w:rStyle w:val="af0"/>
            <w:rFonts w:eastAsiaTheme="majorEastAsia"/>
            <w:color w:val="auto"/>
            <w:sz w:val="28"/>
            <w:szCs w:val="28"/>
          </w:rPr>
          <w:t>https://doi.org/10.32782/klj/2025.2.3</w:t>
        </w:r>
      </w:hyperlink>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основні засади забезпечення кібербезпеки України : Закон України від 5 жовтня 2017 р. № 2163-VIII / Верховна Рада України. URL: </w:t>
      </w:r>
      <w:hyperlink r:id="rId44" w:tgtFrame="_new" w:history="1">
        <w:r w:rsidRPr="00FD38BE">
          <w:rPr>
            <w:rStyle w:val="af0"/>
            <w:rFonts w:eastAsiaTheme="majorEastAsia"/>
            <w:color w:val="auto"/>
            <w:sz w:val="28"/>
            <w:szCs w:val="28"/>
            <w:lang w:val="uk-UA"/>
          </w:rPr>
          <w:t>https://zakon.rada.gov.ua/laws/show/2163-19</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схвалення Стратегії здійснення цифрового розвитку, цифрових трансформацій і цифровізації системи управління державними фінансами : розпорядження Кабінету Міністрів України від 17 листопада 2021 р. № 1467-р / Кабінет Міністрів України. URL: </w:t>
      </w:r>
      <w:hyperlink r:id="rId45" w:tgtFrame="_new" w:history="1">
        <w:r w:rsidRPr="00FD38BE">
          <w:rPr>
            <w:rStyle w:val="af0"/>
            <w:rFonts w:eastAsiaTheme="majorEastAsia"/>
            <w:color w:val="auto"/>
            <w:sz w:val="28"/>
            <w:szCs w:val="28"/>
            <w:lang w:val="uk-UA"/>
          </w:rPr>
          <w:t>https://zakon.rada.gov.ua/laws/show/1467-2021-р</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Про внесення змін до розпорядження Кабінету Міністрів України від 17 листопада 2021 р. № 1467-р : розпорядження Кабінету Міністрів України від 13 травня 2025 р. № 464-р / Кабінет Міністрів України. URL: https://zakon.rada.gov.ua/laws/show/464-2025-р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електронні документи та електронний документообіг : Закон України від 22 травня 2003 р. № 851-IV / Верховна Рада України. URL: </w:t>
      </w:r>
      <w:hyperlink r:id="rId46" w:tgtFrame="_new" w:history="1">
        <w:r w:rsidRPr="00FD38BE">
          <w:rPr>
            <w:rStyle w:val="af0"/>
            <w:rFonts w:eastAsiaTheme="majorEastAsia"/>
            <w:color w:val="auto"/>
            <w:sz w:val="28"/>
            <w:szCs w:val="28"/>
            <w:lang w:val="uk-UA"/>
          </w:rPr>
          <w:t>https://zakon.rada.gov.ua/laws/show/851-15</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електронну ідентифікацію та електронні довірчі послуги : Закон України від 5 жовтня 2017 р. № 2155-VIII / Верховна Рада України. URL: </w:t>
      </w:r>
      <w:hyperlink r:id="rId47" w:tgtFrame="_new" w:history="1">
        <w:r w:rsidRPr="00FD38BE">
          <w:rPr>
            <w:rStyle w:val="af0"/>
            <w:rFonts w:eastAsiaTheme="majorEastAsia"/>
            <w:color w:val="auto"/>
            <w:sz w:val="28"/>
            <w:szCs w:val="28"/>
            <w:lang w:val="uk-UA"/>
          </w:rPr>
          <w:t>https://zakon.rada.gov.ua/laws/show/2155-19</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особливості надання публічних (електронних публічних) послуг : Закон України від 15 липня 2021 р. № 1689-IX / Верховна Рада України. URL: </w:t>
      </w:r>
      <w:hyperlink r:id="rId48" w:tgtFrame="_new" w:history="1">
        <w:r w:rsidRPr="00FD38BE">
          <w:rPr>
            <w:rStyle w:val="af0"/>
            <w:rFonts w:eastAsiaTheme="majorEastAsia"/>
            <w:color w:val="auto"/>
            <w:sz w:val="28"/>
            <w:szCs w:val="28"/>
            <w:lang w:val="uk-UA"/>
          </w:rPr>
          <w:t>https://zakon.rada.gov.ua/laws/show/1689-20</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lastRenderedPageBreak/>
        <w:t xml:space="preserve">Про публічні електронні реєстри : Закон України від 18 листопада 2021 р. № 1907-IX / Верховна Рада України. URL: </w:t>
      </w:r>
      <w:hyperlink r:id="rId49" w:tgtFrame="_new" w:history="1">
        <w:r w:rsidRPr="00FD38BE">
          <w:rPr>
            <w:rStyle w:val="af0"/>
            <w:rFonts w:eastAsiaTheme="majorEastAsia"/>
            <w:color w:val="auto"/>
            <w:sz w:val="28"/>
            <w:szCs w:val="28"/>
            <w:lang w:val="uk-UA"/>
          </w:rPr>
          <w:t>https://zakon.rada.gov.ua/laws/show/1907-20</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електронні комунікації : Закон України від 16 грудня 2020 р. № 1089-IX / Верховна Рада України. URL: </w:t>
      </w:r>
      <w:hyperlink r:id="rId50" w:tgtFrame="_new" w:history="1">
        <w:r w:rsidRPr="00FD38BE">
          <w:rPr>
            <w:rStyle w:val="af0"/>
            <w:rFonts w:eastAsiaTheme="majorEastAsia"/>
            <w:color w:val="auto"/>
            <w:sz w:val="28"/>
            <w:szCs w:val="28"/>
            <w:lang w:val="uk-UA"/>
          </w:rPr>
          <w:t>https://zakon.rada.gov.ua/laws/show/1089-20</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хмарні послуги : Закон України від 17 лютого 2022 р. № 2075-IX / Верховна Рада України. URL: </w:t>
      </w:r>
      <w:hyperlink r:id="rId51" w:tgtFrame="_new" w:history="1">
        <w:r w:rsidRPr="00FD38BE">
          <w:rPr>
            <w:rStyle w:val="af0"/>
            <w:rFonts w:eastAsiaTheme="majorEastAsia"/>
            <w:color w:val="auto"/>
            <w:sz w:val="28"/>
            <w:szCs w:val="28"/>
            <w:lang w:val="uk-UA"/>
          </w:rPr>
          <w:t>https://zakon.rada.gov.ua/laws/show/2075-20</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захист інформації в інформаційно-комунікаційних системах : Закон України від 5 липня 1994 р. № 80/94-ВР / Верховна Рада України. URL: </w:t>
      </w:r>
      <w:hyperlink r:id="rId52" w:tgtFrame="_new" w:history="1">
        <w:r w:rsidRPr="00FD38BE">
          <w:rPr>
            <w:rStyle w:val="af0"/>
            <w:rFonts w:eastAsiaTheme="majorEastAsia"/>
            <w:color w:val="auto"/>
            <w:sz w:val="28"/>
            <w:szCs w:val="28"/>
            <w:lang w:val="uk-UA"/>
          </w:rPr>
          <w:t>https://zakon.rada.gov.ua/laws/show/80/94-вр</w:t>
        </w:r>
      </w:hyperlink>
      <w:r w:rsidRPr="00FD38BE">
        <w:rPr>
          <w:sz w:val="28"/>
          <w:szCs w:val="28"/>
          <w:lang w:val="uk-UA"/>
        </w:rPr>
        <w:t xml:space="preserve"> (дата звернення: 27.02.2026).</w:t>
      </w:r>
    </w:p>
    <w:p w:rsidR="00076275" w:rsidRPr="00FD38BE" w:rsidRDefault="00076275" w:rsidP="00076275">
      <w:pPr>
        <w:pStyle w:val="ac"/>
        <w:numPr>
          <w:ilvl w:val="0"/>
          <w:numId w:val="16"/>
        </w:numPr>
        <w:spacing w:before="0" w:beforeAutospacing="0" w:after="0" w:afterAutospacing="0" w:line="360" w:lineRule="auto"/>
        <w:ind w:left="0" w:firstLine="709"/>
        <w:jc w:val="both"/>
        <w:rPr>
          <w:sz w:val="28"/>
          <w:szCs w:val="28"/>
          <w:lang w:val="uk-UA"/>
        </w:rPr>
      </w:pPr>
      <w:r w:rsidRPr="00FD38BE">
        <w:rPr>
          <w:sz w:val="28"/>
          <w:szCs w:val="28"/>
          <w:lang w:val="uk-UA"/>
        </w:rPr>
        <w:t xml:space="preserve">Про затвердження Порядку проведення авторизації з безпеки інформаційних та електронних комунікаційних систем : постанова Кабінету Міністрів України від 18 червня 2025 р. № 712 / Кабінет Міністрів України. URL: </w:t>
      </w:r>
      <w:hyperlink r:id="rId53" w:tgtFrame="_new" w:history="1">
        <w:r w:rsidRPr="00FD38BE">
          <w:rPr>
            <w:rStyle w:val="af0"/>
            <w:rFonts w:eastAsiaTheme="majorEastAsia"/>
            <w:color w:val="auto"/>
            <w:sz w:val="28"/>
            <w:szCs w:val="28"/>
            <w:lang w:val="uk-UA"/>
          </w:rPr>
          <w:t>https://zakon.rada.gov.ua/laws/show/712-2025-п</w:t>
        </w:r>
      </w:hyperlink>
      <w:r w:rsidRPr="00FD38BE">
        <w:rPr>
          <w:sz w:val="28"/>
          <w:szCs w:val="28"/>
          <w:lang w:val="uk-UA"/>
        </w:rPr>
        <w:t xml:space="preserve"> (дата звернення: 27.02.2026).</w:t>
      </w:r>
    </w:p>
    <w:p w:rsidR="00076275"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FD38BE" w:rsidRDefault="00076275" w:rsidP="00076275">
      <w:pPr>
        <w:spacing w:line="360" w:lineRule="auto"/>
        <w:ind w:firstLine="709"/>
        <w:jc w:val="center"/>
        <w:rPr>
          <w:rFonts w:eastAsia="Aptos"/>
          <w:b/>
          <w:bCs/>
          <w:sz w:val="28"/>
          <w:szCs w:val="28"/>
          <w:lang w:val="uk-UA" w:eastAsia="en-US"/>
        </w:rPr>
      </w:pPr>
      <w:r w:rsidRPr="00FD38BE">
        <w:rPr>
          <w:rFonts w:eastAsia="Aptos"/>
          <w:b/>
          <w:bCs/>
          <w:sz w:val="28"/>
          <w:szCs w:val="28"/>
          <w:lang w:val="uk-UA" w:eastAsia="en-US"/>
        </w:rPr>
        <w:t>ЗАГАЛЬНА ХАРАКТЕРИСТИКА ПРАВОВОГО РЕГУЛЮВАННЯ ПОРЯДКУ ПРИТЯГНЕННЯ ДЕРЖАВНИХ СЛУЖБОВЦІВ ДО МАТЕРІАЛЬНОЇ ВІДПОВІДАЛЬНОСТІ</w:t>
      </w:r>
    </w:p>
    <w:p w:rsidR="00076275" w:rsidRPr="00FD38BE" w:rsidRDefault="00076275" w:rsidP="00076275">
      <w:pPr>
        <w:spacing w:line="360" w:lineRule="auto"/>
        <w:ind w:firstLine="709"/>
        <w:jc w:val="center"/>
        <w:rPr>
          <w:rFonts w:eastAsia="Aptos"/>
          <w:b/>
          <w:bCs/>
          <w:i/>
          <w:iCs/>
          <w:sz w:val="28"/>
          <w:szCs w:val="28"/>
          <w:lang w:val="uk-UA" w:eastAsia="en-US"/>
        </w:rPr>
      </w:pPr>
      <w:r w:rsidRPr="00FD38BE">
        <w:rPr>
          <w:rFonts w:eastAsia="Aptos"/>
          <w:b/>
          <w:bCs/>
          <w:i/>
          <w:iCs/>
          <w:sz w:val="28"/>
          <w:szCs w:val="28"/>
          <w:lang w:val="uk-UA" w:eastAsia="en-US"/>
        </w:rPr>
        <w:t>Лупу С.С.,</w:t>
      </w:r>
    </w:p>
    <w:p w:rsidR="00076275" w:rsidRPr="00FD38BE" w:rsidRDefault="00076275" w:rsidP="00076275">
      <w:pPr>
        <w:spacing w:line="360" w:lineRule="auto"/>
        <w:ind w:firstLine="709"/>
        <w:jc w:val="center"/>
        <w:rPr>
          <w:rFonts w:eastAsia="Aptos"/>
          <w:i/>
          <w:iCs/>
          <w:sz w:val="28"/>
          <w:szCs w:val="28"/>
          <w:lang w:val="uk-UA" w:eastAsia="en-US"/>
        </w:rPr>
      </w:pPr>
      <w:r w:rsidRPr="00FD38BE">
        <w:rPr>
          <w:rFonts w:eastAsia="Aptos"/>
          <w:i/>
          <w:iCs/>
          <w:sz w:val="28"/>
          <w:szCs w:val="28"/>
          <w:lang w:val="uk-UA" w:eastAsia="en-US"/>
        </w:rPr>
        <w:t>аспірант кафедри державно-правових дисциплін</w:t>
      </w:r>
    </w:p>
    <w:p w:rsidR="00076275" w:rsidRPr="00FD38BE" w:rsidRDefault="00076275" w:rsidP="00076275">
      <w:pPr>
        <w:spacing w:line="360" w:lineRule="auto"/>
        <w:ind w:firstLine="709"/>
        <w:jc w:val="center"/>
        <w:rPr>
          <w:rFonts w:eastAsia="Aptos"/>
          <w:i/>
          <w:iCs/>
          <w:sz w:val="28"/>
          <w:szCs w:val="28"/>
          <w:lang w:val="uk-UA" w:eastAsia="en-US"/>
        </w:rPr>
      </w:pPr>
      <w:r w:rsidRPr="00FD38BE">
        <w:rPr>
          <w:rFonts w:eastAsia="Aptos"/>
          <w:i/>
          <w:iCs/>
          <w:sz w:val="28"/>
          <w:szCs w:val="28"/>
          <w:lang w:val="uk-UA" w:eastAsia="en-US"/>
        </w:rPr>
        <w:t>Міжнародного університету</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Матеріальна відповідальність як один із видів юридичної відповідальності, до якої може бути притягнуто державного службовця, потребує належного забезпечення механізму реалізації, оскільки саме порядок притягнення службовців до неї визначає такі її показники, як: дієвість та ефективність. Більше того, порядок притягнення державних службовців до матеріальної відповідальності являє собою процесуально-процедурну підставу </w:t>
      </w:r>
      <w:r w:rsidRPr="00FD38BE">
        <w:rPr>
          <w:rFonts w:eastAsia="Aptos"/>
          <w:sz w:val="28"/>
          <w:szCs w:val="28"/>
          <w:lang w:val="uk-UA" w:eastAsia="en-US"/>
        </w:rPr>
        <w:lastRenderedPageBreak/>
        <w:t xml:space="preserve">цього виду відповідальності, яка нарівні із фактичною та нормативною підставами визначають можливі випадки її настання для конкретного державного службовця.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Аналіз положень глави 3 розділу VIII «Дисциплінарна та матеріальна відповідальність державних службовців» Закону України «Про державну службу» [1] свідчить про прагнення законодавця хоча б у загальному вигляді визначити усі три підстави матеріальної відповідальності державних службовців. Проте, окремо виокремлених положень, безпосередньо присвячених порядку притягнення державних службовців до матеріальної відповідальності, глави 3 розділу VIII Закону України «Про державну службу» не містить. Варто наголосити на тому, що норми стосовно порядку притягнення державних службовців до матеріальної відповідальності розпорошені у всіх трьох статтях глави 3 розділу VIII Закону України «Про державну службу».</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У зв’язку з цим, необхідним та актуальним є здійснення загальної характеристики правового регулювання порядку притягнення державних службовців до матеріальної відповідальності.</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Розпочати характеристику правових засад порядку притягнення державних службовців до матеріальної відповідальності, як видається, необхідно із виокремлення її окремих видів, до яких може бути притягнуто державних службовців. Зазначене обумовлюється тим, що у залежності від виду матеріальної відповідальності відрізнятиметься і правове регулювання порядку притягнення державних службовців до неї.</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У залежності від спрямованості та правового регулювання матеріальну відповідальність державних службовців необхідно поділяти на два види:</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1) загальну – визначається положеннями законодавства про працю та передбачає відшкодування шкоди, завданої державним службовцем державному органу, у якому здійснюється проходження служби. Така матеріальна відповідальність може бути повною (застосовується у повному розмірі шкоди, заподіяної з вини державного службовця державному органу) та обмеженою (застосовується у розмірі прямої дійсної шкоди, але не більше свого середнього місячного заробітку);</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lastRenderedPageBreak/>
        <w:t xml:space="preserve">2) спеціальну – передбачається положеннями законодавства про державну службу та настає у випадку заподіяння матеріальної та моральної шкоди фізичним та юридичним особам незаконними рішеннями, діями чи бездіяльністю державних службовців під час здійснення ними своїх повноважень. Така матеріальна відповідальність може бути повною (застосовується за загальним правилом у повному обсязі шкоди, заподіяної державі внаслідок неналежного виконання ним посадових обов’язків) і частковою (застосовується за наявності відповідних обставин, у зв’язку з якими повне відшкодування державним службовцем шкоди буде необґрунтованим) [2, с. 72].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У відповідності до цього, загальна матеріальна відповідальність регулюється положеннями законодавства про працю, зокрема Кодексом законів про працю України [3], Законом України «Про визначення розміру збитків, завданих підприємству, установі, організації розкраданням, знищенням (псуванням), недостачею або втратою дорогоцінних металів, дорогоцінного каміння та валютних цінностей» [4]. Вбачається, що і порядок притягнення державних службовців до загальної матеріальної відповідальності встановлюється положеннями законодавства про працю.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Спеціальна матеріальна відповідальність регулюється положеннями Закону України «Про державну службу», але, як вже було зазначено, порядок притягнення державних службовців до спеціальної матеріальної відповідальності встановлюється не тільки положеннями законодавства про державну службу.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Зміст положень ст. 82 Закону України «Про державну службу» на перший погляд вказує на встановлення порядку притягнення державних службовців до спеціальної матеріальної відповідальності. Поряд з цим, у науково-практичній літературі зазначається, що статтею 82 Закону України «Про державну службу» уперше визначено основні положення досудового порядку відшкодування шкоди, завданої державним службовцем державному органу [5, с. 515] та врегульовано порядок та визначено строки добровільного відшкодування шкоди, заподіяної державним службовцем [6, с. 636].</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lastRenderedPageBreak/>
        <w:t xml:space="preserve">У зв’язку з цим, слід констатувати, що положеннями Закону України «Про державну службу» встановлюється виключно досудовий порядок притягнення державних службовців до матеріальної відповідальності. При цьому, не виключається можливість державного службовця добровільно відшкодувати завдану матеріальну шкоду, внаслідок чого питання притягнення такого державного службовця до матеріальної відповідальності вже не вирішується. У контексті цього слід сказати, що зазначене повністю узгоджується із метою матеріальної відповідальності, яка полягає у відшкодуванні шкоди, заподіяної державним службовцем державі.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Судовий порядок притягнення державних службовців до матеріальної відповідальності законодавством про державну службу не передбачається. У свою чергу, положеннями ч. 4 ст. 82 Закону України «Про державну службу» встановлено, що у разі ненадання державним службовцем відповіді на пропозицію про добровільне відшкодування шкоди, відмови від відшкодування шкоди чи невідшкодування шкоди до зазначеного у пропозиції строку керівник державної служби може звернутися з позовом про таке відшкодування до суду </w:t>
      </w:r>
      <w:r w:rsidRPr="00FD38BE">
        <w:rPr>
          <w:rFonts w:eastAsia="Aptos"/>
          <w:sz w:val="28"/>
          <w:szCs w:val="28"/>
          <w:lang w:eastAsia="en-US"/>
        </w:rPr>
        <w:t>[1]</w:t>
      </w:r>
      <w:r w:rsidRPr="00FD38BE">
        <w:rPr>
          <w:rFonts w:eastAsia="Aptos"/>
          <w:sz w:val="28"/>
          <w:szCs w:val="28"/>
          <w:lang w:val="uk-UA" w:eastAsia="en-US"/>
        </w:rPr>
        <w:t>. Отже, положеннями Закону України «Про державну службу» визначено передумови застосування судового порядку притягнення державних службовців до матеріальної відповідальності.</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Аналіз положень ст. 82 Закону України «Про державну службу» свідчить, що судовий порядок притягнення державних службовців до матеріальної відповідальності застосовується виключно після досудового врегулювання та лише у разі ненадання державним службовцем відповіді на пропозицію про добровільне відшкодування шкоди або відмови від відшкодування шкоди чи невідшкодування шкоди до зазначеного у пропозиції строку. Ці умов є обов’язковими та підлягають доказуванню під час звернення до суду з позовною заявою про відшкодування матеріальної шкоди.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Судовий порядок притягнення державних службовців до спеціальної матеріальної відповідальності передбачено положеннями законодавства про адміністративне судочинство, що визначає порядок розгляду адміністративними судами публічно-правових спорів. </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lastRenderedPageBreak/>
        <w:t>Підсумовуючи викладене необхідно зазначити, що правове регулювання порядку притягнення державних службовців до матеріальної відповідальності здійснюється положеннями різних нормативно-правових актів у залежності від виду матеріальної відповідальності. Визначено, що правове регулювання притягнення державних службовців до загальної матеріальної відповідальності здійснюється положеннями законодавства про працю, як і підстави для притягнення до неї. Правове регулювання притягнення державних службовців до спеціальної матеріальної відповідальності здійснюється положеннями законодавства про державну службу (в частині досудового порядку притягнення до спеціальної матеріальної відповідальності) та законодавства про адміністративне судочинство (в частині судового порядку притягнення до спеціальної матеріальної відповідальності).</w:t>
      </w:r>
    </w:p>
    <w:p w:rsidR="00076275" w:rsidRPr="00FD38BE" w:rsidRDefault="00076275" w:rsidP="00076275">
      <w:pPr>
        <w:spacing w:line="360" w:lineRule="auto"/>
        <w:ind w:firstLine="709"/>
        <w:rPr>
          <w:rFonts w:eastAsia="Aptos"/>
          <w:sz w:val="28"/>
          <w:szCs w:val="28"/>
          <w:lang w:val="uk-UA" w:eastAsia="en-US"/>
        </w:rPr>
      </w:pPr>
    </w:p>
    <w:p w:rsidR="00076275" w:rsidRPr="00FD38BE" w:rsidRDefault="00076275" w:rsidP="00076275">
      <w:pPr>
        <w:spacing w:line="360" w:lineRule="auto"/>
        <w:ind w:firstLine="709"/>
        <w:jc w:val="center"/>
        <w:rPr>
          <w:rFonts w:eastAsia="Aptos"/>
          <w:b/>
          <w:bCs/>
          <w:sz w:val="28"/>
          <w:szCs w:val="28"/>
          <w:lang w:val="uk-UA" w:eastAsia="en-US"/>
        </w:rPr>
      </w:pPr>
      <w:r w:rsidRPr="00FD38BE">
        <w:rPr>
          <w:rFonts w:eastAsia="Aptos"/>
          <w:b/>
          <w:bCs/>
          <w:sz w:val="28"/>
          <w:szCs w:val="28"/>
          <w:lang w:val="uk-UA" w:eastAsia="en-US"/>
        </w:rPr>
        <w:t>СПИСОК ВИКОРИСТАНИХ ДЖЕРЕЛ</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1. Про державну службу: Закон України від 10.12.2015 № 889-VIII. Дата оновлення: 11.03.2026. URL: https://zakon.rada.gov.ua/laws/show/889-19/conv#Text (дата звернення 13.03.2026).</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t xml:space="preserve">2. Лупу С.С. Види матеріальної відповідальності державних службовців. </w:t>
      </w:r>
      <w:r w:rsidRPr="00FD38BE">
        <w:rPr>
          <w:rFonts w:eastAsia="Aptos"/>
          <w:i/>
          <w:iCs/>
          <w:sz w:val="28"/>
          <w:szCs w:val="28"/>
          <w:lang w:val="uk-UA" w:eastAsia="en-US"/>
        </w:rPr>
        <w:t>Науковий вісник публічного та приватного права</w:t>
      </w:r>
      <w:r w:rsidRPr="00FD38BE">
        <w:rPr>
          <w:rFonts w:eastAsia="Aptos"/>
          <w:sz w:val="28"/>
          <w:szCs w:val="28"/>
          <w:lang w:val="uk-UA" w:eastAsia="en-US"/>
        </w:rPr>
        <w:t xml:space="preserve">. 2024. Вип. 4. С. 67–73. DOI https://doi.org/10.32844/2618-1258.2024.5.13 (дата звернення 13.03.2026). </w:t>
      </w:r>
    </w:p>
    <w:p w:rsidR="00076275" w:rsidRPr="00FD38BE" w:rsidRDefault="00076275" w:rsidP="00076275">
      <w:pPr>
        <w:spacing w:line="360" w:lineRule="auto"/>
        <w:ind w:firstLine="709"/>
        <w:jc w:val="both"/>
        <w:rPr>
          <w:rFonts w:eastAsia="Aptos"/>
          <w:sz w:val="28"/>
          <w:szCs w:val="28"/>
          <w:lang w:eastAsia="en-US"/>
        </w:rPr>
      </w:pPr>
      <w:r w:rsidRPr="00FD38BE">
        <w:rPr>
          <w:rFonts w:eastAsia="Aptos"/>
          <w:sz w:val="28"/>
          <w:szCs w:val="28"/>
          <w:lang w:val="uk-UA" w:eastAsia="en-US"/>
        </w:rPr>
        <w:t>3. Кодекс законів про працю України від 10.12.1971 № 322-VIII. Дата оновлення: 01.01.2026. URL: https://zakon.rada.gov.ua/laws/show/322-08#Text (дата звернення 13.03.2026).</w:t>
      </w:r>
    </w:p>
    <w:p w:rsidR="00076275" w:rsidRPr="00FD38BE" w:rsidRDefault="00076275" w:rsidP="00076275">
      <w:pPr>
        <w:spacing w:line="360" w:lineRule="auto"/>
        <w:ind w:firstLine="709"/>
        <w:jc w:val="both"/>
        <w:rPr>
          <w:rFonts w:eastAsia="Aptos"/>
          <w:sz w:val="28"/>
          <w:szCs w:val="28"/>
          <w:lang w:eastAsia="en-US"/>
        </w:rPr>
      </w:pPr>
      <w:r w:rsidRPr="00FD38BE">
        <w:rPr>
          <w:rFonts w:eastAsia="Aptos"/>
          <w:sz w:val="28"/>
          <w:szCs w:val="28"/>
          <w:lang w:eastAsia="en-US"/>
        </w:rPr>
        <w:t>4</w:t>
      </w:r>
      <w:r w:rsidRPr="00FD38BE">
        <w:rPr>
          <w:rFonts w:eastAsia="Aptos"/>
          <w:sz w:val="28"/>
          <w:szCs w:val="28"/>
          <w:lang w:val="uk-UA" w:eastAsia="en-US"/>
        </w:rPr>
        <w:t>.</w:t>
      </w:r>
      <w:r w:rsidRPr="00FD38BE">
        <w:rPr>
          <w:rFonts w:eastAsia="Aptos"/>
          <w:sz w:val="28"/>
          <w:szCs w:val="28"/>
          <w:lang w:eastAsia="en-US"/>
        </w:rPr>
        <w:t xml:space="preserve"> </w:t>
      </w:r>
      <w:r w:rsidRPr="00FD38BE">
        <w:rPr>
          <w:rFonts w:eastAsia="Aptos"/>
          <w:sz w:val="28"/>
          <w:szCs w:val="28"/>
          <w:lang w:val="uk-UA" w:eastAsia="en-US"/>
        </w:rPr>
        <w:t xml:space="preserve">Про визначення розміру збитків, завданих підприємству, установі, організації розкраданням, знищенням (псуванням), недостачею або втратою дорогоцінних металів, дорогоцінного каміння та валютних цінностей: Закон України від 06.06.1995 № 217/95-ВР. Дата оновлення: 06.08.1999. URL: https://zakon.rada.gov.ua/laws/show/217/95-%D0%B2%D1%80#Text (дата звернення </w:t>
      </w:r>
      <w:r w:rsidRPr="00FD38BE">
        <w:rPr>
          <w:rFonts w:eastAsia="Aptos"/>
          <w:sz w:val="28"/>
          <w:szCs w:val="28"/>
          <w:lang w:eastAsia="en-US"/>
        </w:rPr>
        <w:t>13</w:t>
      </w:r>
      <w:r w:rsidRPr="00FD38BE">
        <w:rPr>
          <w:rFonts w:eastAsia="Aptos"/>
          <w:sz w:val="28"/>
          <w:szCs w:val="28"/>
          <w:lang w:val="uk-UA" w:eastAsia="en-US"/>
        </w:rPr>
        <w:t>.</w:t>
      </w:r>
      <w:r w:rsidRPr="00FD38BE">
        <w:rPr>
          <w:rFonts w:eastAsia="Aptos"/>
          <w:sz w:val="28"/>
          <w:szCs w:val="28"/>
          <w:lang w:eastAsia="en-US"/>
        </w:rPr>
        <w:t>03</w:t>
      </w:r>
      <w:r w:rsidRPr="00FD38BE">
        <w:rPr>
          <w:rFonts w:eastAsia="Aptos"/>
          <w:sz w:val="28"/>
          <w:szCs w:val="28"/>
          <w:lang w:val="uk-UA" w:eastAsia="en-US"/>
        </w:rPr>
        <w:t>.202</w:t>
      </w:r>
      <w:r w:rsidRPr="00FD38BE">
        <w:rPr>
          <w:rFonts w:eastAsia="Aptos"/>
          <w:sz w:val="28"/>
          <w:szCs w:val="28"/>
          <w:lang w:eastAsia="en-US"/>
        </w:rPr>
        <w:t>6</w:t>
      </w:r>
      <w:r w:rsidRPr="00FD38BE">
        <w:rPr>
          <w:rFonts w:eastAsia="Aptos"/>
          <w:sz w:val="28"/>
          <w:szCs w:val="28"/>
          <w:lang w:val="uk-UA" w:eastAsia="en-US"/>
        </w:rPr>
        <w:t>).</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eastAsia="en-US"/>
        </w:rPr>
        <w:t xml:space="preserve">5. </w:t>
      </w:r>
      <w:r w:rsidRPr="00FD38BE">
        <w:rPr>
          <w:rFonts w:eastAsia="Aptos"/>
          <w:sz w:val="28"/>
          <w:szCs w:val="28"/>
          <w:lang w:val="uk-UA" w:eastAsia="en-US"/>
        </w:rPr>
        <w:t>Біла-Тіунова Л.Р. Науково-практичний коментар до Закону України «Про державну службу». Одеса: Фенікс, 2020. 628 с.</w:t>
      </w:r>
    </w:p>
    <w:p w:rsidR="00076275" w:rsidRPr="00FD38BE" w:rsidRDefault="00076275" w:rsidP="00076275">
      <w:pPr>
        <w:spacing w:line="360" w:lineRule="auto"/>
        <w:ind w:firstLine="709"/>
        <w:jc w:val="both"/>
        <w:rPr>
          <w:rFonts w:eastAsia="Aptos"/>
          <w:sz w:val="28"/>
          <w:szCs w:val="28"/>
          <w:lang w:val="uk-UA" w:eastAsia="en-US"/>
        </w:rPr>
      </w:pPr>
      <w:r w:rsidRPr="00FD38BE">
        <w:rPr>
          <w:rFonts w:eastAsia="Aptos"/>
          <w:sz w:val="28"/>
          <w:szCs w:val="28"/>
          <w:lang w:val="uk-UA" w:eastAsia="en-US"/>
        </w:rPr>
        <w:lastRenderedPageBreak/>
        <w:t>6. Науково-практичний коментар до Закону України «Про державну службу» / Ред. кол.: К.О. Ващенко, І.Б. Коліушко, В.П. Тимощук, В.А. Дерець (відп. ред.). Київ: ФОП Москаленко О.М., 2017. 796 с. URL: https://pravo.org.ua/wp-content/uploads/2024/10/1513082951commentary-_layout_web.pdf (дата звернення 13.03.2026).</w:t>
      </w:r>
    </w:p>
    <w:p w:rsidR="00076275" w:rsidRDefault="00076275" w:rsidP="00076275">
      <w:pPr>
        <w:spacing w:line="360" w:lineRule="auto"/>
        <w:jc w:val="both"/>
        <w:rPr>
          <w:rFonts w:eastAsia="Aptos"/>
          <w:sz w:val="28"/>
          <w:szCs w:val="28"/>
          <w:lang w:val="uk-UA" w:eastAsia="en-US"/>
        </w:rPr>
      </w:pPr>
    </w:p>
    <w:p w:rsidR="00076275" w:rsidRPr="00FD38BE" w:rsidRDefault="00076275" w:rsidP="00076275">
      <w:pPr>
        <w:spacing w:line="360" w:lineRule="auto"/>
        <w:jc w:val="both"/>
        <w:rPr>
          <w:sz w:val="28"/>
          <w:szCs w:val="28"/>
          <w:lang w:val="uk-UA"/>
        </w:rPr>
      </w:pPr>
    </w:p>
    <w:p w:rsidR="00076275" w:rsidRPr="00FA3276" w:rsidRDefault="00076275" w:rsidP="00076275">
      <w:pPr>
        <w:spacing w:line="360" w:lineRule="auto"/>
        <w:ind w:firstLine="709"/>
        <w:jc w:val="center"/>
        <w:rPr>
          <w:rFonts w:eastAsiaTheme="minorHAnsi"/>
          <w:b/>
          <w:iCs/>
          <w:kern w:val="2"/>
          <w:sz w:val="28"/>
          <w:szCs w:val="28"/>
          <w:lang w:val="uk-UA" w:eastAsia="en-US"/>
        </w:rPr>
      </w:pPr>
      <w:r w:rsidRPr="00A20EF1">
        <w:rPr>
          <w:rFonts w:eastAsiaTheme="minorHAnsi"/>
          <w:b/>
          <w:iCs/>
          <w:kern w:val="2"/>
          <w:sz w:val="28"/>
          <w:szCs w:val="28"/>
          <w:lang w:val="uk-UA" w:eastAsia="en-US"/>
        </w:rPr>
        <w:t>ЦИФРОВИЙ СУВЕРЕНІТЕТ СУЧАСНОЇ ДЕРЖАВИ: ДО ПОСТАНОВКИ ПРОБЛЕМИ</w:t>
      </w:r>
    </w:p>
    <w:p w:rsidR="00076275" w:rsidRPr="00A20EF1" w:rsidRDefault="00076275" w:rsidP="00076275">
      <w:pPr>
        <w:spacing w:line="360" w:lineRule="auto"/>
        <w:ind w:firstLine="709"/>
        <w:jc w:val="center"/>
        <w:rPr>
          <w:b/>
          <w:i/>
          <w:kern w:val="2"/>
          <w:sz w:val="28"/>
          <w:szCs w:val="28"/>
          <w:lang w:val="uk-UA" w:eastAsia="en-US"/>
        </w:rPr>
      </w:pPr>
      <w:r w:rsidRPr="00A20EF1">
        <w:rPr>
          <w:b/>
          <w:i/>
          <w:kern w:val="2"/>
          <w:sz w:val="28"/>
          <w:szCs w:val="28"/>
          <w:lang w:val="uk-UA" w:eastAsia="en-US"/>
        </w:rPr>
        <w:t>Макаров Ігор Михайлович</w:t>
      </w:r>
    </w:p>
    <w:p w:rsidR="00076275" w:rsidRPr="00A20EF1" w:rsidRDefault="00076275" w:rsidP="00076275">
      <w:pPr>
        <w:spacing w:line="360" w:lineRule="auto"/>
        <w:ind w:firstLine="709"/>
        <w:jc w:val="center"/>
        <w:rPr>
          <w:i/>
          <w:kern w:val="2"/>
          <w:sz w:val="28"/>
          <w:szCs w:val="28"/>
          <w:lang w:val="uk-UA" w:eastAsia="en-US"/>
        </w:rPr>
      </w:pPr>
      <w:r w:rsidRPr="00A20EF1">
        <w:rPr>
          <w:i/>
          <w:kern w:val="2"/>
          <w:sz w:val="28"/>
          <w:szCs w:val="28"/>
          <w:lang w:val="uk-UA" w:eastAsia="en-US"/>
        </w:rPr>
        <w:t>аспірант кафедри державно-правових дисциплін,</w:t>
      </w:r>
    </w:p>
    <w:p w:rsidR="00076275" w:rsidRPr="00A20EF1" w:rsidRDefault="00076275" w:rsidP="00076275">
      <w:pPr>
        <w:spacing w:line="360" w:lineRule="auto"/>
        <w:ind w:firstLine="709"/>
        <w:jc w:val="center"/>
        <w:rPr>
          <w:i/>
          <w:kern w:val="2"/>
          <w:sz w:val="28"/>
          <w:szCs w:val="28"/>
          <w:lang w:val="uk-UA" w:eastAsia="en-US"/>
        </w:rPr>
      </w:pPr>
      <w:r w:rsidRPr="00A20EF1">
        <w:rPr>
          <w:i/>
          <w:kern w:val="2"/>
          <w:sz w:val="28"/>
          <w:szCs w:val="28"/>
          <w:lang w:val="uk-UA" w:eastAsia="en-US"/>
        </w:rPr>
        <w:t>Міжнародний університет,</w:t>
      </w:r>
    </w:p>
    <w:p w:rsidR="00076275" w:rsidRPr="00A20EF1" w:rsidRDefault="00076275" w:rsidP="00076275">
      <w:pPr>
        <w:spacing w:line="360" w:lineRule="auto"/>
        <w:ind w:firstLine="709"/>
        <w:jc w:val="center"/>
        <w:rPr>
          <w:i/>
          <w:kern w:val="2"/>
          <w:sz w:val="28"/>
          <w:szCs w:val="28"/>
          <w:lang w:val="uk-UA" w:eastAsia="en-US"/>
        </w:rPr>
      </w:pPr>
      <w:r w:rsidRPr="00A20EF1">
        <w:rPr>
          <w:i/>
          <w:kern w:val="2"/>
          <w:sz w:val="28"/>
          <w:szCs w:val="28"/>
          <w:lang w:val="uk-UA" w:eastAsia="en-US"/>
        </w:rPr>
        <w:t>м. Одеса, Україна</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Одним з найактуальніших питань сучасної юридичної науки вбачається встановлення правової природи та сутності цифрового суверенітету сучасної держави. При чому, цифровий суверенітет має аналізуватися не лише як політико-правова категорія, а як інформаційно-технологічна спроможність держави управляти цифровими потоками.</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Слід погодитися із науковою позицію М. В. Дзевелюка, що сучасна держава це – «правова стійка, сильна комунікативна, економічно й духовно стабільна, інституціональна система організації легітимної, легальної та легалізованої державної влади в суспільстві на певному просторі, основним завданням якої є забезпечення та захист прав і свобод людини та громадянина» [3, с. 33].</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Сучасний етап розвитку державності характеризується глибокою цифровою трансформацією публічного управління, економічних процесів та правового регулювання. Інформаційно-комунікаційні технології стали не лише інструментом модернізації державних функцій, а й чинником структурної зміни самого механізму реалізації влади. У цих умовах постає питання: чи зберігає держава свою суверенну спроможність у цифровому середовищі, архітектура якого часто перебуває поза межами її прямого контролю?</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lastRenderedPageBreak/>
        <w:t>Класична доктрина суверенітету ґрунтується на територіальному верховенстві, повноті влади та незалежності у зовнішніх відносинах. Так, Ю. В. Байдін, в своєму дослідженні цілком слушно розкриває поняття державного суверенітету України через такі характеристики як: «…верховенство, самостійність, повнота й неподільність влади в межах її території та незалежність й рівноправність у зовнішніх зносинах» [1].</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Однак цифровий простір має екстериторіальний характер, функціонує на основі глобальних мережевих протоколів і значною мірою контролюється транснаціональними корпораціями. Це створює нову конфігурацію співвідношення державної влади, приватної цифрової інфраструктури та глобальних інформаційних потоків.</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О. А. Баранов, підкреслює, що «…цифрова трансформація проводиться з метою нейтралізації цивілізаційних викликів та відбувається на основі максимального використання цифрових технологій» [2, с. 72].</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Таким чином, проблема цифрового суверенітету сучасної держави полягає у необхідності переосмислення традиційної категорії суверенітету з урахуванням технологічних реалій інформаційного суспільства.</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Суверенітет у класичному розумінні передбачає верховенство державної влади на певній території та її незалежність у міжнародному вимірі. Водночас цифровізація суспільних процесів розмиває просторові межі здійснення влади. Цифрові платформи, хмарні сервіси, глобальні інформаційні мережі формують альтернативні центри впливу, здатні визначати правила поведінки суб’єктів незалежно від національних кордонів.</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Проблема посилюється тим, що нормативні механізми державного регулювання часто відстають від темпів технологічного розвитку. Виникають обставини, коли поведінка користувачів визначається не лише нормами права, а й програмним кодом, алгоритмами та технічними протоколами.</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 xml:space="preserve">У цьому контексті постає питання: чи є цифровий суверенітет лише продовженням класичного суверенітету в новому середовищі, чи він становить самостійну форму потенцій держави, що потребує нових теоретико-правових </w:t>
      </w:r>
      <w:r w:rsidRPr="00A20EF1">
        <w:rPr>
          <w:rFonts w:eastAsiaTheme="minorHAnsi"/>
          <w:bCs/>
          <w:iCs/>
          <w:kern w:val="2"/>
          <w:sz w:val="28"/>
          <w:szCs w:val="28"/>
          <w:lang w:val="uk-UA" w:eastAsia="en-US"/>
        </w:rPr>
        <w:lastRenderedPageBreak/>
        <w:t>підходів? Постановка цієї проблеми передбачає визнання того, що цифровий простір стає новим виміром здійснення державної влади.</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І. В. Міма обґрунтовує, що «…цифрова держава має формуватися на базі комплексних змін умов і правової основи організації та функціонування апарату держави у напрямі його оптимізації, широкого застосування інформаційно-комунікаційних технологій з метою спрощення системи державного управління, підвищення ефективності механізмів правового регулювання суспільних відносин, передбачати впровадження новацій до правової системи суспільства з метою підвищення рівня законності та правопорядку» [4, с. 491].</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Цифровий суверенітет сучасної держави доцільно розглядати як комплексну категорію, що включає декілька взаємопов’язаних вимірів: нормативного, управлінського, інформаційного та технологічного.</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Нормативний вимір цифрового суверенітету полягає у спроможності держави формувати та реалізовувати власну цифрову політику, встановлювати правила функціонування цифрового середовища, регулювати обіг даних, застосування штучного інтелекту, діяльність цифрових платформ. Йдеться про нормативну автономію у сфері цифрових відносин. Але із урахуванням загальносвітових та регіональних тенденцій правового регулювання у цій сфері.</w:t>
      </w:r>
    </w:p>
    <w:p w:rsidR="00076275" w:rsidRPr="00A20EF1" w:rsidRDefault="00076275" w:rsidP="00076275">
      <w:pPr>
        <w:spacing w:line="360" w:lineRule="auto"/>
        <w:ind w:firstLine="709"/>
        <w:jc w:val="both"/>
        <w:rPr>
          <w:rFonts w:eastAsiaTheme="minorHAnsi"/>
          <w:kern w:val="2"/>
          <w:sz w:val="28"/>
          <w:szCs w:val="28"/>
          <w:lang w:val="uk-UA" w:eastAsia="en-US"/>
        </w:rPr>
      </w:pPr>
      <w:r w:rsidRPr="00A20EF1">
        <w:rPr>
          <w:rFonts w:eastAsiaTheme="minorHAnsi"/>
          <w:kern w:val="2"/>
          <w:sz w:val="28"/>
          <w:szCs w:val="28"/>
          <w:lang w:val="uk-UA" w:eastAsia="en-US"/>
        </w:rPr>
        <w:t>Визначаючи засади організації державного управління із урахуванням впливу цифрової трансформації, в Україні було прийнято низку нормативних актів</w:t>
      </w:r>
      <w:r w:rsidRPr="00A20EF1">
        <w:rPr>
          <w:rFonts w:eastAsiaTheme="minorHAnsi"/>
          <w:kern w:val="2"/>
          <w:sz w:val="28"/>
          <w:szCs w:val="28"/>
          <w:vertAlign w:val="superscript"/>
          <w:lang w:val="uk-UA" w:eastAsia="en-US"/>
        </w:rPr>
        <w:footnoteReference w:id="1"/>
      </w:r>
      <w:r w:rsidRPr="00A20EF1">
        <w:rPr>
          <w:rFonts w:eastAsiaTheme="minorHAnsi"/>
          <w:kern w:val="2"/>
          <w:sz w:val="28"/>
          <w:szCs w:val="28"/>
          <w:lang w:val="uk-UA" w:eastAsia="en-US"/>
        </w:rPr>
        <w:t xml:space="preserve"> орієнтованих на задоволення потреб громадян із широким залученням цифрових інструментів.</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Управлінський вимір цифрового суверенітету отримує прояв у здатності держави приймати стратегічні рішення в цифровій сфері незалежно від зовнішнього тиску, забезпечуючи при цьому баланс між відкритістю глобального цифрового середовища та національними інтересами.</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 xml:space="preserve">Слід погодитися із І. Г. Сураєм, що «Трансформація публічного управління – це зміна моделі управління (тобто радикальні, парадигмальні </w:t>
      </w:r>
      <w:r w:rsidRPr="00A20EF1">
        <w:rPr>
          <w:rFonts w:eastAsiaTheme="minorHAnsi"/>
          <w:bCs/>
          <w:iCs/>
          <w:kern w:val="2"/>
          <w:sz w:val="28"/>
          <w:szCs w:val="28"/>
          <w:lang w:val="uk-UA" w:eastAsia="en-US"/>
        </w:rPr>
        <w:lastRenderedPageBreak/>
        <w:t>зміни), що проявляється у зміні візії досягнення цілей (а іноді й цілей), цінностей, підходів, механізмів, інструментів, суб’єкт-об’єктних відносин тощо, внаслідок чого система публічного управління набуває нової якості. Саме у процесі переходу від державного (Public administration) до публічного управління (Public management, New Public management, Good Governance) сьогодні важливим є широке застосування новітніх інноваційних механізмів, зокрема цифрових, що має пришвидшити й забезпечити демократичний розвиток публічного управління в Україні» [8].</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Інформаційний вимір цифрового суверенітету охоплює захист інформаційного простору, забезпечення кібербезпеки, протидію інформаційним загрозам, гарантування захисту персональних даних. У цьому аспекті цифровий суверенітет набуває безпекового характеру.</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Технологічний вимір цифрового суверенітету пов’язаний із контролем над критичною цифровою інфраструктурою: державними реєстрами, дата-центрами, телекомунікаційними мережами, системами електронного врядування. Технологічна залежність від зовнішніх суб’єктів може обмежувати реальну суверенну спроможність держави.</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У зазначеній площині, особливо важливим вбачається забезпечення балансу цифрового суверенітету держави із правами людини. Проблема цифрового суверенітету не може розглядатися ізольовано від людиноцентричного виміру. Надмірна концентрація цифрових повноважень у держави може призвести до обмеження прав і свобод, зокрема права на приватність, свободу вираження поглядів, свободу доступу до інформації. З іншого боку, відсутність належного державного контролю створює ризики для захисту персональних даних, інформаційної безпеки та конституційного ладу.</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 xml:space="preserve">Отже, цифровий суверенітет має ґрунтуватися на принципах верховенства права, пропорційності втручання та поваги до людської гідності. Він не повинен перетворюватися на інструмент цифрового ізоляціонізму або авторитарного контролю. </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 xml:space="preserve">Цифровий суверенітет не слід зводити до технічного контролю над інфраструктурою, він виступає комплексною правовою категорією, що поєднує </w:t>
      </w:r>
      <w:r w:rsidRPr="00A20EF1">
        <w:rPr>
          <w:rFonts w:eastAsiaTheme="minorHAnsi"/>
          <w:bCs/>
          <w:iCs/>
          <w:kern w:val="2"/>
          <w:sz w:val="28"/>
          <w:szCs w:val="28"/>
          <w:lang w:val="uk-UA" w:eastAsia="en-US"/>
        </w:rPr>
        <w:lastRenderedPageBreak/>
        <w:t>нормативну автономію, технологічну спроможність та гарантії прав людини в умовах інформаційної глобалізації.</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Всебічне загальнотеоретичне дослідження проблеми цифрового суверенітету потребує застосування діяльнісного та інформаційного підходів. У межах яких держава розглядається як суб’єкт управління інформаційними потоками, а право – як належний механізм регуляції цифрових процесів.</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Цифровий суверенітет у цьому контексті можна визначити як комплексну правову та інституційну спроможність держави самостійно формувати й реалізовувати цифрову політику, здійснювати контроль над національною цифровою інфраструктурою, забезпечувати захист інформаційного простору та гарантувати цифрову незалежність у процесі прийняття управлінських рішень, що здійснюється на засадах людиноцентризму та принципу верховенства права.</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Проблема цифрового суверенітету сучасної держави полягає у пошуку балансу між глобальною відкритістю цифрового простору та необхідністю збереження регулятивної автономії держави. Вона вимагає переосмислення класичних уявлень про суверенітет, територіальність та юрисдикцію.</w:t>
      </w:r>
    </w:p>
    <w:p w:rsidR="00076275" w:rsidRPr="00A20EF1" w:rsidRDefault="00076275" w:rsidP="00076275">
      <w:pPr>
        <w:spacing w:line="360" w:lineRule="auto"/>
        <w:ind w:firstLine="709"/>
        <w:jc w:val="both"/>
        <w:rPr>
          <w:rFonts w:eastAsiaTheme="minorHAnsi"/>
          <w:bCs/>
          <w:iCs/>
          <w:kern w:val="2"/>
          <w:sz w:val="28"/>
          <w:szCs w:val="28"/>
          <w:lang w:val="uk-UA" w:eastAsia="en-US"/>
        </w:rPr>
      </w:pPr>
      <w:r w:rsidRPr="00A20EF1">
        <w:rPr>
          <w:rFonts w:eastAsiaTheme="minorHAnsi"/>
          <w:bCs/>
          <w:iCs/>
          <w:kern w:val="2"/>
          <w:sz w:val="28"/>
          <w:szCs w:val="28"/>
          <w:lang w:val="uk-UA" w:eastAsia="en-US"/>
        </w:rPr>
        <w:t>Подальші наукові дослідження мають бути спрямовані на уточнення категоріального апарату цифрового суверенітету, розроблення його структурної моделі та визначення критеріїв ефективності його реалізації в умовах інформаційного суспільства.</w:t>
      </w:r>
    </w:p>
    <w:p w:rsidR="00076275" w:rsidRPr="00FD38BE" w:rsidRDefault="00076275" w:rsidP="00076275">
      <w:pPr>
        <w:spacing w:line="360" w:lineRule="auto"/>
        <w:rPr>
          <w:rFonts w:eastAsiaTheme="minorHAnsi"/>
          <w:b/>
          <w:bCs/>
          <w:kern w:val="2"/>
          <w:sz w:val="28"/>
          <w:szCs w:val="28"/>
          <w:lang w:val="uk-UA" w:eastAsia="en-US"/>
        </w:rPr>
      </w:pPr>
    </w:p>
    <w:p w:rsidR="00076275" w:rsidRPr="00A20EF1" w:rsidRDefault="00076275" w:rsidP="00076275">
      <w:pPr>
        <w:spacing w:line="360" w:lineRule="auto"/>
        <w:ind w:firstLine="709"/>
        <w:jc w:val="center"/>
        <w:rPr>
          <w:rFonts w:eastAsiaTheme="minorHAnsi"/>
          <w:b/>
          <w:bCs/>
          <w:kern w:val="2"/>
          <w:sz w:val="28"/>
          <w:szCs w:val="28"/>
          <w:lang w:val="uk-UA" w:eastAsia="en-US"/>
        </w:rPr>
      </w:pPr>
      <w:r w:rsidRPr="00A20EF1">
        <w:rPr>
          <w:rFonts w:eastAsiaTheme="minorHAnsi"/>
          <w:b/>
          <w:bCs/>
          <w:kern w:val="2"/>
          <w:sz w:val="28"/>
          <w:szCs w:val="28"/>
          <w:lang w:val="uk-UA" w:eastAsia="en-US"/>
        </w:rPr>
        <w:t>СПИСОК ВИКОРИСТАНИХ ДЖЕРЕЛ</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Байдін Ю. В. Державний суверенітет і його межі в умовах європейської інтеграції (питання теорії): дис. … канд. юрид. наук: 12.00.01. Харків, 2012. 245 с.</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Баранов О.А. Соціальна та цифрова трансформації: Джерело правових проблем. Інформація і право. № 3 (38)/2021. С. 59–73.</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Дзевелюк М. В. Концептуальні засади обґрунтування сучасної держави. Науковий вісник Міжнародного гуманітарного університету. Серія: Юриспруденція. 2015. Вип. 17(1). С. 32–34.</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lastRenderedPageBreak/>
        <w:t>Міма І. В. Теоретико-правовий вимір цифрової держави. Наукові перспективи № 7(37). 2023. С. 481-493. https://doi.org/10.52058/2708-7530-2023-7(37)-481-493</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 xml:space="preserve">Про затвердження плану заходів з реалізації Концепції розвитку електронного урядування в Україні : розпорядження КМУ від 22 серпня 2018 р. № 617-р. URL: </w:t>
      </w:r>
      <w:hyperlink r:id="rId54" w:history="1">
        <w:r w:rsidRPr="00A20EF1">
          <w:rPr>
            <w:rFonts w:eastAsiaTheme="minorHAnsi"/>
            <w:kern w:val="2"/>
            <w:sz w:val="28"/>
            <w:szCs w:val="28"/>
            <w:u w:val="single"/>
            <w:lang w:val="uk-UA" w:eastAsia="en-US"/>
          </w:rPr>
          <w:t>https://zakon.rada.gov.ua/laws/main/617-2018-р</w:t>
        </w:r>
      </w:hyperlink>
      <w:r w:rsidRPr="00A20EF1">
        <w:rPr>
          <w:rFonts w:eastAsiaTheme="minorHAnsi"/>
          <w:kern w:val="2"/>
          <w:sz w:val="28"/>
          <w:szCs w:val="28"/>
          <w:lang w:val="uk-UA" w:eastAsia="en-US"/>
        </w:rPr>
        <w:t>.</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 xml:space="preserve">Про схвалення Концепції розвитку електронного урядування в Україні : розпорядження КМУ від 20 вересня 2017 р. № 649-р. URL: </w:t>
      </w:r>
      <w:hyperlink r:id="rId55" w:history="1">
        <w:r w:rsidRPr="00A20EF1">
          <w:rPr>
            <w:rFonts w:eastAsiaTheme="minorHAnsi"/>
            <w:kern w:val="2"/>
            <w:sz w:val="28"/>
            <w:szCs w:val="28"/>
            <w:u w:val="single"/>
            <w:lang w:val="uk-UA" w:eastAsia="en-US"/>
          </w:rPr>
          <w:t>https://zakon.rada.gov.ua/laws/show/649-2017-р</w:t>
        </w:r>
      </w:hyperlink>
      <w:r w:rsidRPr="00A20EF1">
        <w:rPr>
          <w:rFonts w:eastAsiaTheme="minorHAnsi"/>
          <w:kern w:val="2"/>
          <w:sz w:val="28"/>
          <w:szCs w:val="28"/>
          <w:lang w:val="uk-UA" w:eastAsia="en-US"/>
        </w:rPr>
        <w:t>.</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Про схвалення Концепції розвитку електронної демократії в Україні та плану заходів щодо її реалізації : розпорядження КМУ від 8 листопада 2017 р. № 797-р. URL: https://zakon.rada.gov.ua/laws/main/797-2017-р.</w:t>
      </w:r>
    </w:p>
    <w:p w:rsidR="00076275" w:rsidRPr="00A20EF1" w:rsidRDefault="00076275" w:rsidP="00076275">
      <w:pPr>
        <w:numPr>
          <w:ilvl w:val="0"/>
          <w:numId w:val="17"/>
        </w:numPr>
        <w:spacing w:line="360" w:lineRule="auto"/>
        <w:ind w:left="0" w:firstLine="709"/>
        <w:jc w:val="both"/>
        <w:rPr>
          <w:rFonts w:eastAsiaTheme="minorHAnsi"/>
          <w:kern w:val="2"/>
          <w:sz w:val="28"/>
          <w:szCs w:val="28"/>
          <w:lang w:val="uk-UA" w:eastAsia="en-US"/>
        </w:rPr>
      </w:pPr>
      <w:r w:rsidRPr="00A20EF1">
        <w:rPr>
          <w:rFonts w:eastAsiaTheme="minorHAnsi"/>
          <w:kern w:val="2"/>
          <w:sz w:val="28"/>
          <w:szCs w:val="28"/>
          <w:lang w:val="uk-UA" w:eastAsia="en-US"/>
        </w:rPr>
        <w:t>Сурай І. Г. Цифрова трансформація публічного управління: семантичний аналіз поняття. Державне управління: удосконалення та розвиток. № 1. 2024. DOI: http://doi.org/10.32702/2307-2156.2024.1.2</w:t>
      </w:r>
    </w:p>
    <w:p w:rsidR="00076275" w:rsidRDefault="00076275" w:rsidP="00076275">
      <w:pPr>
        <w:spacing w:line="360" w:lineRule="auto"/>
        <w:contextualSpacing/>
        <w:jc w:val="both"/>
        <w:rPr>
          <w:rFonts w:eastAsiaTheme="minorHAnsi"/>
          <w:kern w:val="2"/>
          <w:sz w:val="28"/>
          <w:szCs w:val="28"/>
          <w:lang w:val="uk-UA" w:eastAsia="en-US"/>
        </w:rPr>
      </w:pPr>
    </w:p>
    <w:p w:rsidR="00076275" w:rsidRPr="00FD38BE" w:rsidRDefault="00076275" w:rsidP="00076275">
      <w:pPr>
        <w:spacing w:line="360" w:lineRule="auto"/>
        <w:contextualSpacing/>
        <w:jc w:val="both"/>
        <w:rPr>
          <w:rFonts w:eastAsia="Calibri"/>
          <w:sz w:val="28"/>
          <w:szCs w:val="28"/>
          <w:lang w:val="uk-UA" w:eastAsia="en-US"/>
        </w:rPr>
      </w:pPr>
    </w:p>
    <w:p w:rsidR="00076275" w:rsidRPr="00BA6A46" w:rsidRDefault="00076275" w:rsidP="00076275">
      <w:pPr>
        <w:spacing w:line="360" w:lineRule="auto"/>
        <w:ind w:firstLine="709"/>
        <w:jc w:val="center"/>
        <w:rPr>
          <w:rFonts w:eastAsiaTheme="minorHAnsi"/>
          <w:b/>
          <w:iCs/>
          <w:sz w:val="28"/>
          <w:szCs w:val="28"/>
          <w:lang w:val="uk-UA" w:eastAsia="en-US"/>
        </w:rPr>
      </w:pPr>
      <w:r w:rsidRPr="00BA6A46">
        <w:rPr>
          <w:rFonts w:eastAsiaTheme="minorHAnsi"/>
          <w:b/>
          <w:iCs/>
          <w:sz w:val="28"/>
          <w:szCs w:val="28"/>
          <w:lang w:val="uk-UA" w:eastAsia="en-US"/>
        </w:rPr>
        <w:t>СОЦІАЛЬНЕ ПРИЗНАЧЕННЯ АДВОКАТУРИ</w:t>
      </w:r>
    </w:p>
    <w:p w:rsidR="00076275" w:rsidRPr="00BA6A46" w:rsidRDefault="00076275" w:rsidP="00076275">
      <w:pPr>
        <w:spacing w:line="360" w:lineRule="auto"/>
        <w:ind w:firstLine="709"/>
        <w:jc w:val="center"/>
        <w:rPr>
          <w:rFonts w:eastAsiaTheme="minorHAnsi"/>
          <w:b/>
          <w:i/>
          <w:sz w:val="28"/>
          <w:szCs w:val="28"/>
          <w:lang w:val="uk-UA" w:eastAsia="en-US"/>
        </w:rPr>
      </w:pPr>
      <w:r w:rsidRPr="00BA6A46">
        <w:rPr>
          <w:rFonts w:eastAsiaTheme="minorHAnsi"/>
          <w:b/>
          <w:i/>
          <w:sz w:val="28"/>
          <w:szCs w:val="28"/>
          <w:lang w:val="uk-UA" w:eastAsia="en-US"/>
        </w:rPr>
        <w:t>Малихіна Ю. В.</w:t>
      </w:r>
    </w:p>
    <w:p w:rsidR="00076275" w:rsidRPr="00BA6A46" w:rsidRDefault="00076275" w:rsidP="00076275">
      <w:pPr>
        <w:spacing w:line="360" w:lineRule="auto"/>
        <w:ind w:firstLine="709"/>
        <w:jc w:val="center"/>
        <w:rPr>
          <w:rFonts w:eastAsiaTheme="minorHAnsi"/>
          <w:i/>
          <w:sz w:val="28"/>
          <w:szCs w:val="28"/>
          <w:lang w:val="uk-UA" w:eastAsia="en-US"/>
        </w:rPr>
      </w:pPr>
      <w:r w:rsidRPr="00BA6A46">
        <w:rPr>
          <w:rFonts w:eastAsiaTheme="minorHAnsi"/>
          <w:i/>
          <w:sz w:val="28"/>
          <w:szCs w:val="28"/>
          <w:lang w:val="uk-UA" w:eastAsia="en-US"/>
        </w:rPr>
        <w:t xml:space="preserve">Студентка ІІ курсу магістратури, </w:t>
      </w:r>
    </w:p>
    <w:p w:rsidR="00076275" w:rsidRPr="00BA6A46" w:rsidRDefault="00076275" w:rsidP="00076275">
      <w:pPr>
        <w:spacing w:line="360" w:lineRule="auto"/>
        <w:ind w:firstLine="709"/>
        <w:jc w:val="center"/>
        <w:rPr>
          <w:rFonts w:eastAsiaTheme="minorHAnsi"/>
          <w:i/>
          <w:sz w:val="28"/>
          <w:szCs w:val="28"/>
          <w:lang w:val="uk-UA" w:eastAsia="en-US"/>
        </w:rPr>
      </w:pPr>
      <w:r w:rsidRPr="00BA6A46">
        <w:rPr>
          <w:rFonts w:eastAsiaTheme="minorHAnsi"/>
          <w:i/>
          <w:sz w:val="28"/>
          <w:szCs w:val="28"/>
          <w:lang w:val="uk-UA" w:eastAsia="en-US"/>
        </w:rPr>
        <w:t>спеціальність 293 «Міжнародне право»,</w:t>
      </w:r>
    </w:p>
    <w:p w:rsidR="00076275" w:rsidRPr="00BA6A46" w:rsidRDefault="00076275" w:rsidP="00076275">
      <w:pPr>
        <w:spacing w:line="360" w:lineRule="auto"/>
        <w:ind w:firstLine="709"/>
        <w:jc w:val="center"/>
        <w:rPr>
          <w:rFonts w:eastAsiaTheme="minorHAnsi"/>
          <w:i/>
          <w:sz w:val="28"/>
          <w:szCs w:val="28"/>
          <w:lang w:val="uk-UA" w:eastAsia="en-US"/>
        </w:rPr>
      </w:pPr>
      <w:r w:rsidRPr="00BA6A46">
        <w:rPr>
          <w:rFonts w:eastAsiaTheme="minorHAnsi"/>
          <w:i/>
          <w:sz w:val="28"/>
          <w:szCs w:val="28"/>
          <w:lang w:val="uk-UA" w:eastAsia="en-US"/>
        </w:rPr>
        <w:t>Міжнародний університет,</w:t>
      </w:r>
    </w:p>
    <w:p w:rsidR="00076275" w:rsidRPr="00FA3276" w:rsidRDefault="00076275" w:rsidP="00076275">
      <w:pPr>
        <w:spacing w:line="360" w:lineRule="auto"/>
        <w:ind w:firstLine="709"/>
        <w:jc w:val="center"/>
        <w:rPr>
          <w:rFonts w:eastAsiaTheme="minorHAnsi"/>
          <w:i/>
          <w:sz w:val="28"/>
          <w:szCs w:val="28"/>
          <w:lang w:val="uk-UA" w:eastAsia="en-US"/>
        </w:rPr>
      </w:pPr>
      <w:r w:rsidRPr="00BA6A46">
        <w:rPr>
          <w:rFonts w:eastAsiaTheme="minorHAnsi"/>
          <w:i/>
          <w:sz w:val="28"/>
          <w:szCs w:val="28"/>
          <w:lang w:val="uk-UA" w:eastAsia="en-US"/>
        </w:rPr>
        <w:t>м. Одеса, Україна</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Адвокати виконують контролюючу функцію щодо дотримання законності органами влади та іншими учасниками процесу. Вони мають право звертати увагу на можливі порушення прав клієнтів, вказувати на невідповідність дій державних органів законодавству, а також захищати інтереси людей у випадках, коли вони не можуть самостійно відстояти свої права. Ця функція робить адвокатуру не лише інструментом приватного захисту, а й елементом підтримки загального правопорядку.</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lastRenderedPageBreak/>
        <w:t>Адвокатура в умовах правової держави виступає як один із ключових інститутів, що забезпечує реалізацію принципів верховенства права та захист прав і свобод громадян. Її призначення полягає у наданні професійної юридичної допомоги всім, хто її потребує, незалежно від соціального стану, громадянства чи політичних поглядів [8, с. 167]. Це забезпечує доступність правової допомоги та створює передумови для рівності сторін у правових відносинах.</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Особливе значення адвокатури проявляється у забезпеченні функціонування системи правосуддя. Адвокати виступають посередниками між громадянами і судовою системою, надаючи консультації, готуючи процесуальні документи та представляючи інтереси клієнтів у судових органах. Така роль дозволяє судовій системі ефективно функціонувати, оскільки адвокати забезпечують дотримання процесуальних прав учасників справ і сприяють формуванню справедливого розгляду [6, с. 63].</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Крім того, адвокатура виконує стабілізаційну функцію у суспільстві, зменшуючи ймовірність правових конфліктів та сприяючи врегулюванню суперечок до звернення до суду. За допомогою консультацій, медіації та правової експертизи адвокати допомагають сторонам знаходити компромісні рішення, що знижує навантаження на судові органи та сприяє гармонізації правовідносин [2, с. 107].</w:t>
      </w:r>
    </w:p>
    <w:p w:rsidR="00076275" w:rsidRPr="00BA6A46" w:rsidRDefault="00076275" w:rsidP="00076275">
      <w:pPr>
        <w:spacing w:line="360" w:lineRule="auto"/>
        <w:ind w:firstLine="709"/>
        <w:jc w:val="both"/>
        <w:rPr>
          <w:sz w:val="28"/>
          <w:szCs w:val="28"/>
        </w:rPr>
      </w:pPr>
      <w:r w:rsidRPr="00BA6A46">
        <w:rPr>
          <w:sz w:val="28"/>
          <w:szCs w:val="28"/>
          <w:lang w:val="uk-UA"/>
        </w:rPr>
        <w:t>Ще одним напрямком призначення адвокатури є захист прав людини та громадянських свобод. Адвокати беруть участь у справах, пов’язаних із порушенням конституційних прав, сприяють реалізації міжнародних стандартів прав людини у національному правовому полі. Їхня діяльність спрямована на запобігання зловживанням владою, захист від незаконних дій органів державної влади та забезпечення законності у суспільних відносинах [9, с. 150].</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Адвокатура також має освітню та консультативну функцію, формуючи правову культуру у суспільстві. Проводячи семінари, тренінги, лекції, адвокати підвищують правову обізнаність населення, навчають основам юридичної поведінки та способам захисту своїх прав. Це дозволяє громадянам більш </w:t>
      </w:r>
      <w:r w:rsidRPr="00BA6A46">
        <w:rPr>
          <w:rFonts w:eastAsiaTheme="minorHAnsi"/>
          <w:sz w:val="28"/>
          <w:szCs w:val="28"/>
          <w:lang w:val="uk-UA" w:eastAsia="en-US"/>
        </w:rPr>
        <w:lastRenderedPageBreak/>
        <w:t>ефективно користуватися своїми правами та зменшує ймовірність правопорушень.</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Адвокатура у правовій державі виконує гарантійну функцію щодо дотримання законності. Вона контролює правильність застосування норм права, вказує на порушення, сприяє справедливому розгляду справ та захисту інтересів клієнтів у правовому полі. Завдяки цьому адвокатура виступає не лише як захисник окремих осіб, але й як активний учасник підтримки правопорядку у державі.</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Адвокатура в сучасній правовій державі виконує роль своєрідного «мосту» між громадянами та системою правосуддя. Її діяльність спрямована на те, щоб кожна людина, незалежно від соціального статусу чи матеріальних можливостей, мала змогу захистити свої права та отримати кваліфіковану допомогу [7, с. 29]. Це означає, що адвокат виступає не просто представником у суді, а радником і помічником, який допомагає орієнтуватися у складних правових питаннях.</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Особливу увагу слід приділяти тому, що адвокатура забезпечує доступ до правосуддя у широкому сенсі. Люди, що звертаються до адвоката, отримують не лише захист у судових процесах, але й консультації, оцінку ризиків та рекомендації щодо подальших кроків. Такий підхід робить адвокатуру своєрідним гарантом того, що законність дій громадян буде дотримана.</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Ще один важливий аспект – профілактична роль адвокатури. Консультації та попереднє правове супроводження допомагають громадянам уникати порушень законодавства та мінімізувати ризики виникнення конфліктних ситуацій </w:t>
      </w:r>
      <w:r w:rsidRPr="00BA6A46">
        <w:rPr>
          <w:rFonts w:eastAsiaTheme="minorHAnsi"/>
          <w:sz w:val="28"/>
          <w:szCs w:val="28"/>
          <w:lang w:eastAsia="en-US"/>
        </w:rPr>
        <w:t>[1, с. 39]</w:t>
      </w:r>
      <w:r w:rsidRPr="00BA6A46">
        <w:rPr>
          <w:rFonts w:eastAsiaTheme="minorHAnsi"/>
          <w:sz w:val="28"/>
          <w:szCs w:val="28"/>
          <w:lang w:val="uk-UA" w:eastAsia="en-US"/>
        </w:rPr>
        <w:t>. Завдяки цьому адвокати не тільки допомагають розв’язувати проблеми, але й попереджують їх, що позитивно впливає на стабільність суспільства.</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Адвокатура також сприяє розвитку правової культури в суспільстві. Через освітні заходи, лекції, публікації та просвітницькі програми адвокати допомагають людям зрозуміти свої права та обов’язки, навчитися користуватися законними інструментами для їх захисту. Це робить діяльність </w:t>
      </w:r>
      <w:r w:rsidRPr="00BA6A46">
        <w:rPr>
          <w:rFonts w:eastAsiaTheme="minorHAnsi"/>
          <w:sz w:val="28"/>
          <w:szCs w:val="28"/>
          <w:lang w:val="uk-UA" w:eastAsia="en-US"/>
        </w:rPr>
        <w:lastRenderedPageBreak/>
        <w:t>адвокатів важливою не лише для окремих клієнтів, але й для суспільства в цілому.</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Не можна оминути і роль адвокатури у зміцненні довіри до правової системи. Коли люди бачать, що їхні права реально захищаються і що існує незалежний фахівець, який дбає про законність, зростає довіра до судів, органів влади та самої системи правосуддя </w:t>
      </w:r>
      <w:r w:rsidRPr="00BA6A46">
        <w:rPr>
          <w:rFonts w:eastAsiaTheme="minorHAnsi"/>
          <w:sz w:val="28"/>
          <w:szCs w:val="28"/>
          <w:lang w:eastAsia="en-US"/>
        </w:rPr>
        <w:t>[3, с. 610]</w:t>
      </w:r>
      <w:r w:rsidRPr="00BA6A46">
        <w:rPr>
          <w:rFonts w:eastAsiaTheme="minorHAnsi"/>
          <w:sz w:val="28"/>
          <w:szCs w:val="28"/>
          <w:lang w:val="uk-UA" w:eastAsia="en-US"/>
        </w:rPr>
        <w:t>. Адвокат стає гарантом того, що закон працює для всіх однаково, а права людини не порушуються.</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     Уявімо, що адвокатура – це не просто професія, а своєрідний «барометр справедливості» у суспільстві. Наприклад, історично адвокати завжди стояли на захисті прав тих, хто не міг самостійно відстоювати свої інтереси. У XIX столітті в Україні адвокати часто брали участь у справах, які стосувалися свободи слова та захисту громадян від незаконних арештів. Це не лише підкреслювало їхню роль у системі правосуддя, а й формувало довіру населення до законності </w:t>
      </w:r>
      <w:r w:rsidRPr="00BA6A46">
        <w:rPr>
          <w:rFonts w:eastAsiaTheme="minorHAnsi"/>
          <w:sz w:val="28"/>
          <w:szCs w:val="28"/>
          <w:lang w:eastAsia="en-US"/>
        </w:rPr>
        <w:t>[5, с. 230]</w:t>
      </w:r>
      <w:r w:rsidRPr="00BA6A46">
        <w:rPr>
          <w:rFonts w:eastAsiaTheme="minorHAnsi"/>
          <w:sz w:val="28"/>
          <w:szCs w:val="28"/>
          <w:lang w:val="uk-UA" w:eastAsia="en-US"/>
        </w:rPr>
        <w:t>.</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 xml:space="preserve">Цікаво, що сучасна адвокатура активно використовує технології для забезпечення доступу до правової допомоги. Онлайн-консультації, електронний документообіг та відеозустрічі стали не просто зручними, а необхідними, особливо у віддалених регіонах. Це дозволяє навіть людям у маленьких містечках та селах отримувати підтримку кваліфікованого фахівця, не виїжджаючи до обласного центру </w:t>
      </w:r>
      <w:r w:rsidRPr="00BA6A46">
        <w:rPr>
          <w:rFonts w:eastAsiaTheme="minorHAnsi"/>
          <w:sz w:val="28"/>
          <w:szCs w:val="28"/>
          <w:lang w:eastAsia="en-US"/>
        </w:rPr>
        <w:t>[4, с. 37]</w:t>
      </w:r>
      <w:r w:rsidRPr="00BA6A46">
        <w:rPr>
          <w:rFonts w:eastAsiaTheme="minorHAnsi"/>
          <w:sz w:val="28"/>
          <w:szCs w:val="28"/>
          <w:lang w:val="uk-UA" w:eastAsia="en-US"/>
        </w:rPr>
        <w:t>.</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Ще один цікавий факт: адвокатура в Україні бере участь у міжнародних проектах і обмінах досвідом. Це дозволяє не тільки переймати кращі практики інших країн, але й впроваджувати власні інновації. Наприклад, деякі українські адвокатські об’єднання започаткували програми наставництва, де досвідчені юристи допомагають молодим адвокатам розвивати навички практичної роботи.</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Важливою є і роль адвокатів у захисті прав споживачів та малого бізнесу. Адвокати часто виступають консультантами у комерційних спорах, допомагають укладати договори та розв’язувати конфлікти ще на стадії переговорів. Це зменшує навантаження на судову систему і одночасно сприяє розвитку економіки, адже правові ризики бізнесу стають менш критичними.</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lastRenderedPageBreak/>
        <w:t>Також адвокатура виконує громадську функцію, беручи участь у просвітницьких програмах для школярів та студентів. Завдяки таким ініціативам молодь отримує знання про основи законодавства, права людини та способи захисту власних інтересів. Це сприяє формуванню свідомого громадянина і підвищує загальну правову культуру населення.</w:t>
      </w:r>
    </w:p>
    <w:p w:rsidR="00076275" w:rsidRPr="00BA6A46"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В окремих країнах адвокатів навіть залучають до аналізу законопроєктів на етапі їх підготовки, щоб передбачити можливі правові колізії та уникнути порушень прав громадян ще до ухвалення закону. Українська адвокатура теж почала рухатися в цьому напрямку, активно співпрацюючи з парламентськими комітетами та профільними організаціями.</w:t>
      </w:r>
    </w:p>
    <w:p w:rsidR="00076275" w:rsidRDefault="00076275" w:rsidP="00076275">
      <w:pPr>
        <w:spacing w:line="360" w:lineRule="auto"/>
        <w:ind w:firstLine="709"/>
        <w:jc w:val="both"/>
        <w:rPr>
          <w:rFonts w:eastAsiaTheme="minorHAnsi"/>
          <w:sz w:val="28"/>
          <w:szCs w:val="28"/>
          <w:lang w:val="uk-UA" w:eastAsia="en-US"/>
        </w:rPr>
      </w:pPr>
      <w:r w:rsidRPr="00BA6A46">
        <w:rPr>
          <w:rFonts w:eastAsiaTheme="minorHAnsi"/>
          <w:sz w:val="28"/>
          <w:szCs w:val="28"/>
          <w:lang w:val="uk-UA" w:eastAsia="en-US"/>
        </w:rPr>
        <w:t>Завдяки такій багатогранній діяльності адвокатура у правовій державі стає не просто професією, а гарантом дотримання законності та прав людини, поєднуючи практичну допомогу, освітню роботу та контроль за дотриманням законів.</w:t>
      </w:r>
    </w:p>
    <w:p w:rsidR="00076275" w:rsidRPr="00BA6A46" w:rsidRDefault="00076275" w:rsidP="00076275">
      <w:pPr>
        <w:spacing w:line="360" w:lineRule="auto"/>
        <w:ind w:firstLine="709"/>
        <w:jc w:val="both"/>
        <w:rPr>
          <w:rFonts w:eastAsiaTheme="minorHAnsi"/>
          <w:sz w:val="28"/>
          <w:szCs w:val="28"/>
          <w:lang w:val="uk-UA" w:eastAsia="en-US"/>
        </w:rPr>
      </w:pPr>
    </w:p>
    <w:p w:rsidR="00076275" w:rsidRPr="00BA6A46" w:rsidRDefault="00076275" w:rsidP="00076275">
      <w:pPr>
        <w:spacing w:line="360" w:lineRule="auto"/>
        <w:ind w:firstLine="709"/>
        <w:jc w:val="center"/>
        <w:rPr>
          <w:rFonts w:eastAsiaTheme="minorHAnsi"/>
          <w:b/>
          <w:bCs/>
          <w:sz w:val="28"/>
          <w:szCs w:val="28"/>
          <w:lang w:val="uk-UA" w:eastAsia="en-US"/>
        </w:rPr>
      </w:pPr>
      <w:r w:rsidRPr="00BA6A46">
        <w:rPr>
          <w:rFonts w:eastAsiaTheme="minorHAnsi"/>
          <w:b/>
          <w:bCs/>
          <w:sz w:val="28"/>
          <w:szCs w:val="28"/>
          <w:lang w:val="uk-UA" w:eastAsia="en-US"/>
        </w:rPr>
        <w:t>СПИСОК ВИКОРИСТАНИХ ДЖЕРЕЛ</w:t>
      </w:r>
    </w:p>
    <w:p w:rsidR="00076275" w:rsidRPr="00BA6A46" w:rsidRDefault="00076275" w:rsidP="00076275">
      <w:pPr>
        <w:numPr>
          <w:ilvl w:val="0"/>
          <w:numId w:val="18"/>
        </w:numPr>
        <w:spacing w:line="360" w:lineRule="auto"/>
        <w:ind w:left="0" w:firstLine="709"/>
        <w:jc w:val="both"/>
        <w:rPr>
          <w:sz w:val="28"/>
          <w:szCs w:val="28"/>
        </w:rPr>
      </w:pPr>
      <w:r w:rsidRPr="00BA6A46">
        <w:rPr>
          <w:sz w:val="28"/>
          <w:szCs w:val="28"/>
        </w:rPr>
        <w:t>Бадзелюк</w:t>
      </w:r>
      <w:r w:rsidRPr="00BA6A46">
        <w:rPr>
          <w:sz w:val="28"/>
          <w:szCs w:val="28"/>
          <w:lang w:val="uk-UA"/>
        </w:rPr>
        <w:t xml:space="preserve"> П. П.</w:t>
      </w:r>
      <w:r w:rsidRPr="00BA6A46">
        <w:rPr>
          <w:sz w:val="28"/>
          <w:szCs w:val="28"/>
        </w:rPr>
        <w:t xml:space="preserve"> Адвокатура як інструмент реалізації основоположного права особи на професійну правову допомогу</w:t>
      </w:r>
      <w:r w:rsidRPr="00BA6A46">
        <w:rPr>
          <w:sz w:val="28"/>
          <w:szCs w:val="28"/>
          <w:lang w:val="uk-UA"/>
        </w:rPr>
        <w:t>.</w:t>
      </w:r>
      <w:r w:rsidRPr="00BA6A46">
        <w:rPr>
          <w:sz w:val="28"/>
          <w:szCs w:val="28"/>
        </w:rPr>
        <w:t xml:space="preserve"> </w:t>
      </w:r>
      <w:r w:rsidRPr="00BA6A46">
        <w:rPr>
          <w:i/>
          <w:iCs/>
          <w:sz w:val="28"/>
          <w:szCs w:val="28"/>
        </w:rPr>
        <w:t>Вісник Ужгородського нац. університету. Серія «Юриспруденція</w:t>
      </w:r>
      <w:r w:rsidRPr="00BA6A46">
        <w:rPr>
          <w:i/>
          <w:iCs/>
          <w:sz w:val="28"/>
          <w:szCs w:val="28"/>
          <w:lang w:val="uk-UA"/>
        </w:rPr>
        <w:t>.</w:t>
      </w:r>
      <w:r w:rsidRPr="00BA6A46">
        <w:rPr>
          <w:sz w:val="28"/>
          <w:szCs w:val="28"/>
        </w:rPr>
        <w:t xml:space="preserve"> 2021</w:t>
      </w:r>
      <w:r w:rsidRPr="00BA6A46">
        <w:rPr>
          <w:sz w:val="28"/>
          <w:szCs w:val="28"/>
          <w:lang w:val="uk-UA"/>
        </w:rPr>
        <w:t>.</w:t>
      </w:r>
      <w:r w:rsidRPr="00BA6A46">
        <w:rPr>
          <w:sz w:val="28"/>
          <w:szCs w:val="28"/>
        </w:rPr>
        <w:t xml:space="preserve"> </w:t>
      </w:r>
      <w:r w:rsidRPr="00BA6A46">
        <w:rPr>
          <w:sz w:val="28"/>
          <w:szCs w:val="28"/>
          <w:lang w:val="uk-UA"/>
        </w:rPr>
        <w:t>С</w:t>
      </w:r>
      <w:r w:rsidRPr="00BA6A46">
        <w:rPr>
          <w:sz w:val="28"/>
          <w:szCs w:val="28"/>
        </w:rPr>
        <w:t>. 39‑47.</w:t>
      </w:r>
    </w:p>
    <w:p w:rsidR="00076275" w:rsidRPr="00BA6A46" w:rsidRDefault="00076275" w:rsidP="00076275">
      <w:pPr>
        <w:numPr>
          <w:ilvl w:val="0"/>
          <w:numId w:val="18"/>
        </w:numPr>
        <w:spacing w:line="360" w:lineRule="auto"/>
        <w:ind w:left="0" w:firstLine="709"/>
        <w:jc w:val="both"/>
        <w:rPr>
          <w:sz w:val="28"/>
          <w:szCs w:val="28"/>
        </w:rPr>
      </w:pPr>
      <w:r w:rsidRPr="00BA6A46">
        <w:rPr>
          <w:sz w:val="28"/>
          <w:szCs w:val="28"/>
        </w:rPr>
        <w:t>Ведєрніков Ю. А., Кульбач С. О., Кучук А. М. Юридична деонтологія. Дніпропетровськ, 2011.</w:t>
      </w:r>
      <w:r w:rsidRPr="00BA6A46">
        <w:rPr>
          <w:sz w:val="28"/>
          <w:szCs w:val="28"/>
          <w:lang w:val="uk-UA"/>
        </w:rPr>
        <w:t xml:space="preserve"> 206</w:t>
      </w:r>
      <w:r w:rsidRPr="00BA6A46">
        <w:rPr>
          <w:sz w:val="28"/>
          <w:szCs w:val="28"/>
        </w:rPr>
        <w:t xml:space="preserve"> </w:t>
      </w:r>
      <w:r w:rsidRPr="00BA6A46">
        <w:rPr>
          <w:sz w:val="28"/>
          <w:szCs w:val="28"/>
          <w:lang w:val="uk-UA"/>
        </w:rPr>
        <w:t>с</w:t>
      </w:r>
      <w:r w:rsidRPr="00BA6A46">
        <w:rPr>
          <w:sz w:val="28"/>
          <w:szCs w:val="28"/>
        </w:rPr>
        <w:t>.</w:t>
      </w:r>
    </w:p>
    <w:p w:rsidR="00076275" w:rsidRPr="00BA6A46" w:rsidRDefault="00076275" w:rsidP="00076275">
      <w:pPr>
        <w:numPr>
          <w:ilvl w:val="0"/>
          <w:numId w:val="18"/>
        </w:numPr>
        <w:spacing w:line="360" w:lineRule="auto"/>
        <w:ind w:left="0" w:firstLine="709"/>
        <w:jc w:val="both"/>
        <w:rPr>
          <w:sz w:val="28"/>
          <w:szCs w:val="28"/>
        </w:rPr>
      </w:pPr>
      <w:r w:rsidRPr="00BA6A46">
        <w:rPr>
          <w:sz w:val="28"/>
          <w:szCs w:val="28"/>
        </w:rPr>
        <w:t>Вилков</w:t>
      </w:r>
      <w:r w:rsidRPr="00BA6A46">
        <w:rPr>
          <w:sz w:val="28"/>
          <w:szCs w:val="28"/>
          <w:lang w:val="uk-UA"/>
        </w:rPr>
        <w:t xml:space="preserve"> С. В. </w:t>
      </w:r>
      <w:r w:rsidRPr="00BA6A46">
        <w:rPr>
          <w:sz w:val="28"/>
          <w:szCs w:val="28"/>
        </w:rPr>
        <w:t>Роль та значення адвокатського самоврядування через призму забезпечення механізму практичної реалізації верховенства права</w:t>
      </w:r>
      <w:r w:rsidRPr="00BA6A46">
        <w:rPr>
          <w:sz w:val="28"/>
          <w:szCs w:val="28"/>
          <w:lang w:val="uk-UA"/>
        </w:rPr>
        <w:t>.</w:t>
      </w:r>
      <w:r w:rsidRPr="00BA6A46">
        <w:rPr>
          <w:sz w:val="28"/>
          <w:szCs w:val="28"/>
        </w:rPr>
        <w:t xml:space="preserve"> </w:t>
      </w:r>
      <w:r w:rsidRPr="00BA6A46">
        <w:rPr>
          <w:i/>
          <w:iCs/>
          <w:sz w:val="28"/>
          <w:szCs w:val="28"/>
        </w:rPr>
        <w:t>Вісник Кримінологічної асоціації України</w:t>
      </w:r>
      <w:r w:rsidRPr="00BA6A46">
        <w:rPr>
          <w:sz w:val="28"/>
          <w:szCs w:val="28"/>
          <w:lang w:val="uk-UA"/>
        </w:rPr>
        <w:t>.</w:t>
      </w:r>
      <w:r w:rsidRPr="00BA6A46">
        <w:rPr>
          <w:sz w:val="28"/>
          <w:szCs w:val="28"/>
        </w:rPr>
        <w:t xml:space="preserve"> т. 33</w:t>
      </w:r>
      <w:r w:rsidRPr="00BA6A46">
        <w:rPr>
          <w:sz w:val="28"/>
          <w:szCs w:val="28"/>
          <w:lang w:val="uk-UA"/>
        </w:rPr>
        <w:t>.</w:t>
      </w:r>
      <w:r w:rsidRPr="00BA6A46">
        <w:rPr>
          <w:sz w:val="28"/>
          <w:szCs w:val="28"/>
        </w:rPr>
        <w:t xml:space="preserve"> № 3</w:t>
      </w:r>
      <w:r w:rsidRPr="00BA6A46">
        <w:rPr>
          <w:sz w:val="28"/>
          <w:szCs w:val="28"/>
          <w:lang w:val="uk-UA"/>
        </w:rPr>
        <w:t>.</w:t>
      </w:r>
      <w:r w:rsidRPr="00BA6A46">
        <w:rPr>
          <w:sz w:val="28"/>
          <w:szCs w:val="28"/>
        </w:rPr>
        <w:t xml:space="preserve"> 2024</w:t>
      </w:r>
      <w:r w:rsidRPr="00BA6A46">
        <w:rPr>
          <w:sz w:val="28"/>
          <w:szCs w:val="28"/>
          <w:lang w:val="uk-UA"/>
        </w:rPr>
        <w:t>.</w:t>
      </w:r>
      <w:r w:rsidRPr="00BA6A46">
        <w:rPr>
          <w:sz w:val="28"/>
          <w:szCs w:val="28"/>
        </w:rPr>
        <w:t xml:space="preserve"> </w:t>
      </w:r>
      <w:r w:rsidRPr="00BA6A46">
        <w:rPr>
          <w:sz w:val="28"/>
          <w:szCs w:val="28"/>
          <w:lang w:val="uk-UA"/>
        </w:rPr>
        <w:t>С</w:t>
      </w:r>
      <w:r w:rsidRPr="00BA6A46">
        <w:rPr>
          <w:sz w:val="28"/>
          <w:szCs w:val="28"/>
        </w:rPr>
        <w:t>. 610</w:t>
      </w:r>
      <w:r w:rsidRPr="00BA6A46">
        <w:rPr>
          <w:sz w:val="28"/>
          <w:szCs w:val="28"/>
        </w:rPr>
        <w:noBreakHyphen/>
        <w:t>613.</w:t>
      </w:r>
    </w:p>
    <w:p w:rsidR="00076275" w:rsidRPr="00BA6A46" w:rsidRDefault="00076275" w:rsidP="00076275">
      <w:pPr>
        <w:numPr>
          <w:ilvl w:val="0"/>
          <w:numId w:val="18"/>
        </w:numPr>
        <w:spacing w:line="360" w:lineRule="auto"/>
        <w:ind w:left="0" w:firstLine="709"/>
        <w:jc w:val="both"/>
        <w:rPr>
          <w:sz w:val="28"/>
          <w:szCs w:val="28"/>
          <w:lang w:val="uk-UA"/>
        </w:rPr>
      </w:pPr>
      <w:r w:rsidRPr="00BA6A46">
        <w:rPr>
          <w:sz w:val="28"/>
          <w:szCs w:val="28"/>
        </w:rPr>
        <w:t xml:space="preserve">Зейкан Я. П., Лисак О. М., Барсук В. М. Адвокатська техніка: </w:t>
      </w:r>
      <w:proofErr w:type="gramStart"/>
      <w:r w:rsidRPr="00BA6A46">
        <w:rPr>
          <w:sz w:val="28"/>
          <w:szCs w:val="28"/>
        </w:rPr>
        <w:t>п</w:t>
      </w:r>
      <w:proofErr w:type="gramEnd"/>
      <w:r w:rsidRPr="00BA6A46">
        <w:rPr>
          <w:sz w:val="28"/>
          <w:szCs w:val="28"/>
        </w:rPr>
        <w:t>ідготовка до процесу та методики переконання : практичний посібник. 4-те видання,</w:t>
      </w:r>
      <w:r w:rsidRPr="00BA6A46">
        <w:rPr>
          <w:sz w:val="28"/>
          <w:szCs w:val="28"/>
          <w:lang w:val="uk-UA"/>
        </w:rPr>
        <w:t xml:space="preserve"> </w:t>
      </w:r>
      <w:r w:rsidRPr="00BA6A46">
        <w:rPr>
          <w:sz w:val="28"/>
          <w:szCs w:val="28"/>
        </w:rPr>
        <w:t>доповн. і переробл. Київ</w:t>
      </w:r>
      <w:proofErr w:type="gramStart"/>
      <w:r w:rsidRPr="00BA6A46">
        <w:rPr>
          <w:sz w:val="28"/>
          <w:szCs w:val="28"/>
        </w:rPr>
        <w:t xml:space="preserve"> :</w:t>
      </w:r>
      <w:proofErr w:type="gramEnd"/>
      <w:r w:rsidRPr="00BA6A46">
        <w:rPr>
          <w:sz w:val="28"/>
          <w:szCs w:val="28"/>
        </w:rPr>
        <w:t xml:space="preserve"> ВД «Дакор», 2024. 640 с.</w:t>
      </w:r>
    </w:p>
    <w:p w:rsidR="00076275" w:rsidRPr="00BA6A46" w:rsidRDefault="00076275" w:rsidP="00076275">
      <w:pPr>
        <w:numPr>
          <w:ilvl w:val="0"/>
          <w:numId w:val="18"/>
        </w:numPr>
        <w:spacing w:line="360" w:lineRule="auto"/>
        <w:ind w:left="0" w:firstLine="709"/>
        <w:jc w:val="both"/>
        <w:rPr>
          <w:sz w:val="28"/>
          <w:szCs w:val="28"/>
          <w:lang w:val="uk-UA"/>
        </w:rPr>
      </w:pPr>
      <w:r w:rsidRPr="00BA6A46">
        <w:rPr>
          <w:sz w:val="28"/>
          <w:szCs w:val="28"/>
          <w:lang w:val="uk-UA"/>
        </w:rPr>
        <w:t xml:space="preserve">Козьміних А. В. Адвокатура як інститут громадянського суспільства в сучасній науці. </w:t>
      </w:r>
      <w:r w:rsidRPr="00BA6A46">
        <w:rPr>
          <w:i/>
          <w:iCs/>
          <w:sz w:val="28"/>
          <w:szCs w:val="28"/>
          <w:lang w:val="uk-UA"/>
        </w:rPr>
        <w:t>Актуальні проблеми політики :</w:t>
      </w:r>
      <w:r w:rsidRPr="00BA6A46">
        <w:rPr>
          <w:sz w:val="28"/>
          <w:szCs w:val="28"/>
          <w:lang w:val="uk-UA"/>
        </w:rPr>
        <w:t xml:space="preserve"> зб. наук. пр. / редкол.: С. В. Ківалов (керівник авт. кол.), Л. І. Кормич (ред.), М. А. Польовий </w:t>
      </w:r>
      <w:r w:rsidRPr="00BA6A46">
        <w:rPr>
          <w:sz w:val="28"/>
          <w:szCs w:val="28"/>
          <w:lang w:val="uk-UA"/>
        </w:rPr>
        <w:lastRenderedPageBreak/>
        <w:t xml:space="preserve">(відп. секр.) </w:t>
      </w:r>
      <w:r w:rsidRPr="00BA6A46">
        <w:rPr>
          <w:sz w:val="28"/>
          <w:szCs w:val="28"/>
        </w:rPr>
        <w:t xml:space="preserve">[та ін.] ; ОНЮА, </w:t>
      </w:r>
      <w:proofErr w:type="gramStart"/>
      <w:r w:rsidRPr="00BA6A46">
        <w:rPr>
          <w:sz w:val="28"/>
          <w:szCs w:val="28"/>
        </w:rPr>
        <w:t>П</w:t>
      </w:r>
      <w:proofErr w:type="gramEnd"/>
      <w:r w:rsidRPr="00BA6A46">
        <w:rPr>
          <w:sz w:val="28"/>
          <w:szCs w:val="28"/>
        </w:rPr>
        <w:t>івденноукр. центр гендер. проблем. Одеса, 2009. Вип. 36. С. 228-235.</w:t>
      </w:r>
    </w:p>
    <w:p w:rsidR="00076275" w:rsidRPr="00BA6A46" w:rsidRDefault="00076275" w:rsidP="00076275">
      <w:pPr>
        <w:numPr>
          <w:ilvl w:val="0"/>
          <w:numId w:val="18"/>
        </w:numPr>
        <w:spacing w:line="360" w:lineRule="auto"/>
        <w:ind w:left="0" w:firstLine="709"/>
        <w:jc w:val="both"/>
        <w:rPr>
          <w:sz w:val="28"/>
          <w:szCs w:val="28"/>
        </w:rPr>
      </w:pPr>
      <w:r w:rsidRPr="00BA6A46">
        <w:rPr>
          <w:sz w:val="28"/>
          <w:szCs w:val="28"/>
        </w:rPr>
        <w:t xml:space="preserve">Крижанівський А. Ф. Правозахисна діяльність адвоката як фактор правопорядку. </w:t>
      </w:r>
      <w:r w:rsidRPr="00BA6A46">
        <w:rPr>
          <w:i/>
          <w:iCs/>
          <w:sz w:val="28"/>
          <w:szCs w:val="28"/>
        </w:rPr>
        <w:t>Адвокат</w:t>
      </w:r>
      <w:r w:rsidRPr="00BA6A46">
        <w:rPr>
          <w:sz w:val="28"/>
          <w:szCs w:val="28"/>
          <w:lang w:val="uk-UA"/>
        </w:rPr>
        <w:t>.</w:t>
      </w:r>
      <w:r w:rsidRPr="00BA6A46">
        <w:rPr>
          <w:sz w:val="28"/>
          <w:szCs w:val="28"/>
        </w:rPr>
        <w:t xml:space="preserve"> №11/12</w:t>
      </w:r>
      <w:r w:rsidRPr="00BA6A46">
        <w:rPr>
          <w:sz w:val="28"/>
          <w:szCs w:val="28"/>
          <w:lang w:val="uk-UA"/>
        </w:rPr>
        <w:t xml:space="preserve">. </w:t>
      </w:r>
      <w:r w:rsidRPr="00BA6A46">
        <w:rPr>
          <w:sz w:val="28"/>
          <w:szCs w:val="28"/>
        </w:rPr>
        <w:t>2007</w:t>
      </w:r>
      <w:r w:rsidRPr="00BA6A46">
        <w:rPr>
          <w:sz w:val="28"/>
          <w:szCs w:val="28"/>
          <w:lang w:val="uk-UA"/>
        </w:rPr>
        <w:t>.</w:t>
      </w:r>
      <w:r w:rsidRPr="00BA6A46">
        <w:rPr>
          <w:sz w:val="28"/>
          <w:szCs w:val="28"/>
        </w:rPr>
        <w:t xml:space="preserve"> С. 36–38.</w:t>
      </w:r>
    </w:p>
    <w:p w:rsidR="00076275" w:rsidRPr="00BA6A46" w:rsidRDefault="00076275" w:rsidP="00076275">
      <w:pPr>
        <w:numPr>
          <w:ilvl w:val="0"/>
          <w:numId w:val="18"/>
        </w:numPr>
        <w:spacing w:line="360" w:lineRule="auto"/>
        <w:ind w:left="0" w:firstLine="709"/>
        <w:contextualSpacing/>
        <w:jc w:val="both"/>
        <w:rPr>
          <w:sz w:val="28"/>
          <w:szCs w:val="28"/>
        </w:rPr>
      </w:pPr>
      <w:r w:rsidRPr="00BA6A46">
        <w:rPr>
          <w:sz w:val="28"/>
          <w:szCs w:val="28"/>
        </w:rPr>
        <w:t>Манько Д. Г. Юридична техніка й технології: Курс лекцій / Д. Г. Манько. Херсон: Олді-плюс, 2013. 204 с.</w:t>
      </w:r>
    </w:p>
    <w:p w:rsidR="00076275" w:rsidRPr="00BA6A46" w:rsidRDefault="00076275" w:rsidP="00076275">
      <w:pPr>
        <w:numPr>
          <w:ilvl w:val="0"/>
          <w:numId w:val="18"/>
        </w:numPr>
        <w:spacing w:line="360" w:lineRule="auto"/>
        <w:ind w:left="0" w:firstLine="709"/>
        <w:contextualSpacing/>
        <w:jc w:val="both"/>
        <w:rPr>
          <w:sz w:val="28"/>
          <w:szCs w:val="28"/>
          <w:lang w:val="uk-UA"/>
        </w:rPr>
      </w:pPr>
      <w:r w:rsidRPr="00BA6A46">
        <w:rPr>
          <w:sz w:val="28"/>
          <w:szCs w:val="28"/>
          <w:lang w:val="uk-UA"/>
        </w:rPr>
        <w:t>Манько Д. Г. Юридичні технології та алгоритми формалізації права у вимірі юридичної діяльності : монографія. Одеса : Фенікс, 2019. 280 с.</w:t>
      </w:r>
    </w:p>
    <w:p w:rsidR="00076275" w:rsidRPr="00BA6A46" w:rsidRDefault="00076275" w:rsidP="00076275">
      <w:pPr>
        <w:numPr>
          <w:ilvl w:val="0"/>
          <w:numId w:val="18"/>
        </w:numPr>
        <w:spacing w:line="360" w:lineRule="auto"/>
        <w:ind w:left="0" w:firstLine="709"/>
        <w:jc w:val="both"/>
        <w:rPr>
          <w:sz w:val="28"/>
          <w:szCs w:val="28"/>
        </w:rPr>
      </w:pPr>
      <w:r w:rsidRPr="00BA6A46">
        <w:rPr>
          <w:sz w:val="28"/>
          <w:szCs w:val="28"/>
        </w:rPr>
        <w:t xml:space="preserve">Меліхова Ю. О. Проблеми адвокатури в Україні на сучасному етапі розвитку. </w:t>
      </w:r>
      <w:r w:rsidRPr="00BA6A46">
        <w:rPr>
          <w:i/>
          <w:iCs/>
          <w:sz w:val="28"/>
          <w:szCs w:val="28"/>
        </w:rPr>
        <w:t>Часопис Академії адвокатури України</w:t>
      </w:r>
      <w:r w:rsidRPr="00BA6A46">
        <w:rPr>
          <w:sz w:val="28"/>
          <w:szCs w:val="28"/>
          <w:lang w:val="uk-UA"/>
        </w:rPr>
        <w:t>.</w:t>
      </w:r>
      <w:r w:rsidRPr="00BA6A46">
        <w:rPr>
          <w:sz w:val="28"/>
          <w:szCs w:val="28"/>
        </w:rPr>
        <w:t xml:space="preserve"> Т. 8</w:t>
      </w:r>
      <w:r w:rsidRPr="00BA6A46">
        <w:rPr>
          <w:sz w:val="28"/>
          <w:szCs w:val="28"/>
          <w:lang w:val="uk-UA"/>
        </w:rPr>
        <w:t>.</w:t>
      </w:r>
      <w:r w:rsidRPr="00BA6A46">
        <w:rPr>
          <w:sz w:val="28"/>
          <w:szCs w:val="28"/>
        </w:rPr>
        <w:t xml:space="preserve"> №1</w:t>
      </w:r>
      <w:r w:rsidRPr="00BA6A46">
        <w:rPr>
          <w:sz w:val="28"/>
          <w:szCs w:val="28"/>
          <w:lang w:val="uk-UA"/>
        </w:rPr>
        <w:t>.</w:t>
      </w:r>
      <w:r w:rsidRPr="00BA6A46">
        <w:rPr>
          <w:sz w:val="28"/>
          <w:szCs w:val="28"/>
        </w:rPr>
        <w:t xml:space="preserve"> 2015</w:t>
      </w:r>
      <w:r w:rsidRPr="00BA6A46">
        <w:rPr>
          <w:sz w:val="28"/>
          <w:szCs w:val="28"/>
          <w:lang w:val="uk-UA"/>
        </w:rPr>
        <w:t>.</w:t>
      </w:r>
      <w:r w:rsidRPr="00BA6A46">
        <w:rPr>
          <w:sz w:val="28"/>
          <w:szCs w:val="28"/>
        </w:rPr>
        <w:t xml:space="preserve"> С. 107–109.</w:t>
      </w:r>
    </w:p>
    <w:p w:rsidR="00076275" w:rsidRDefault="00076275" w:rsidP="00076275">
      <w:pPr>
        <w:spacing w:line="360" w:lineRule="auto"/>
        <w:ind w:firstLine="709"/>
        <w:jc w:val="both"/>
        <w:rPr>
          <w:rFonts w:eastAsiaTheme="minorHAnsi"/>
          <w:sz w:val="28"/>
          <w:szCs w:val="28"/>
          <w:lang w:val="uk-UA" w:eastAsia="en-US"/>
        </w:rPr>
      </w:pPr>
    </w:p>
    <w:p w:rsidR="00076275" w:rsidRPr="00BA6A46" w:rsidRDefault="00076275" w:rsidP="00076275">
      <w:pPr>
        <w:spacing w:line="360" w:lineRule="auto"/>
        <w:ind w:firstLine="709"/>
        <w:jc w:val="both"/>
        <w:rPr>
          <w:rFonts w:eastAsiaTheme="minorHAnsi"/>
          <w:sz w:val="28"/>
          <w:szCs w:val="28"/>
          <w:lang w:val="uk-UA" w:eastAsia="en-US"/>
        </w:rPr>
      </w:pPr>
    </w:p>
    <w:p w:rsidR="00076275" w:rsidRPr="00FA3276" w:rsidRDefault="00076275" w:rsidP="00076275">
      <w:pPr>
        <w:spacing w:line="360" w:lineRule="auto"/>
        <w:ind w:firstLine="709"/>
        <w:jc w:val="center"/>
        <w:rPr>
          <w:rFonts w:eastAsiaTheme="minorHAnsi"/>
          <w:b/>
          <w:iCs/>
          <w:kern w:val="2"/>
          <w:sz w:val="28"/>
          <w:szCs w:val="28"/>
          <w:lang w:val="uk-UA" w:eastAsia="en-US"/>
        </w:rPr>
      </w:pPr>
      <w:r w:rsidRPr="00935DCC">
        <w:rPr>
          <w:rFonts w:eastAsiaTheme="minorHAnsi"/>
          <w:b/>
          <w:iCs/>
          <w:kern w:val="2"/>
          <w:sz w:val="28"/>
          <w:szCs w:val="28"/>
          <w:lang w:val="uk-UA" w:eastAsia="en-US"/>
        </w:rPr>
        <w:t>ЦІЛІСНІСТЬ ПРАВА: ДО ПОСТАНОВКИ ПРОБЛЕМИ</w:t>
      </w:r>
    </w:p>
    <w:p w:rsidR="00076275" w:rsidRPr="00935DCC" w:rsidRDefault="00076275" w:rsidP="00076275">
      <w:pPr>
        <w:spacing w:line="360" w:lineRule="auto"/>
        <w:ind w:firstLine="709"/>
        <w:jc w:val="center"/>
        <w:rPr>
          <w:b/>
          <w:i/>
          <w:kern w:val="2"/>
          <w:sz w:val="28"/>
          <w:szCs w:val="28"/>
          <w:lang w:val="uk-UA" w:eastAsia="en-US"/>
        </w:rPr>
      </w:pPr>
      <w:r w:rsidRPr="00935DCC">
        <w:rPr>
          <w:b/>
          <w:i/>
          <w:kern w:val="2"/>
          <w:sz w:val="28"/>
          <w:szCs w:val="28"/>
          <w:lang w:val="uk-UA" w:eastAsia="en-US"/>
        </w:rPr>
        <w:t xml:space="preserve">Манько </w:t>
      </w:r>
      <w:r>
        <w:rPr>
          <w:b/>
          <w:i/>
          <w:kern w:val="2"/>
          <w:sz w:val="28"/>
          <w:szCs w:val="28"/>
          <w:lang w:val="uk-UA" w:eastAsia="en-US"/>
        </w:rPr>
        <w:t>Д. Г.</w:t>
      </w:r>
    </w:p>
    <w:p w:rsidR="00076275" w:rsidRPr="00935DCC" w:rsidRDefault="00076275" w:rsidP="00076275">
      <w:pPr>
        <w:spacing w:line="360" w:lineRule="auto"/>
        <w:ind w:firstLine="709"/>
        <w:jc w:val="center"/>
        <w:rPr>
          <w:i/>
          <w:kern w:val="2"/>
          <w:sz w:val="28"/>
          <w:szCs w:val="28"/>
          <w:lang w:val="uk-UA" w:eastAsia="en-US"/>
        </w:rPr>
      </w:pPr>
      <w:r w:rsidRPr="00935DCC">
        <w:rPr>
          <w:i/>
          <w:kern w:val="2"/>
          <w:sz w:val="28"/>
          <w:szCs w:val="28"/>
          <w:lang w:val="uk-UA" w:eastAsia="en-US"/>
        </w:rPr>
        <w:t>д.ю.н., професор, завідувач кафедри державно-правових дисциплін,</w:t>
      </w:r>
    </w:p>
    <w:p w:rsidR="00076275" w:rsidRPr="00935DCC" w:rsidRDefault="00076275" w:rsidP="00076275">
      <w:pPr>
        <w:spacing w:line="360" w:lineRule="auto"/>
        <w:ind w:firstLine="709"/>
        <w:jc w:val="center"/>
        <w:rPr>
          <w:i/>
          <w:kern w:val="2"/>
          <w:sz w:val="28"/>
          <w:szCs w:val="28"/>
          <w:lang w:val="uk-UA" w:eastAsia="en-US"/>
        </w:rPr>
      </w:pPr>
      <w:r w:rsidRPr="00935DCC">
        <w:rPr>
          <w:i/>
          <w:kern w:val="2"/>
          <w:sz w:val="28"/>
          <w:szCs w:val="28"/>
          <w:lang w:val="uk-UA" w:eastAsia="en-US"/>
        </w:rPr>
        <w:t>Міжнародний університет,</w:t>
      </w:r>
    </w:p>
    <w:p w:rsidR="00076275" w:rsidRPr="00935DCC" w:rsidRDefault="00076275" w:rsidP="00076275">
      <w:pPr>
        <w:spacing w:line="360" w:lineRule="auto"/>
        <w:ind w:firstLine="709"/>
        <w:jc w:val="center"/>
        <w:rPr>
          <w:i/>
          <w:kern w:val="2"/>
          <w:sz w:val="28"/>
          <w:szCs w:val="28"/>
          <w:lang w:val="uk-UA" w:eastAsia="en-US"/>
        </w:rPr>
      </w:pPr>
      <w:r w:rsidRPr="00935DCC">
        <w:rPr>
          <w:i/>
          <w:kern w:val="2"/>
          <w:sz w:val="28"/>
          <w:szCs w:val="28"/>
          <w:lang w:val="uk-UA" w:eastAsia="en-US"/>
        </w:rPr>
        <w:t>м. Одеса, Україна</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Сучасний етап розвитку права характеризується зростанням складності соціальних процесів, посиленням впливу глобалізації, цифрової трансформації та зміни алгоритмів суспільних комунікацій, що обумовлює необхідність переосмислення усталених концепцій праворозуміння. За таких умов дедалі очевиднішою стає обмеженість підходів, які зводять право переважно до сукупності нормативних приписів або формально-юридичних конструкцій, і водночас актуалізується потреба у цілісному баченні права як багатовимірного соціально-нормативного феномена.</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У сучасному правовому дискурсі простежується тенденція до фрагментації юридичного знання, що проявляється у множинності паралельних наукових програм. Хоча такий плюралізм є свідченням розвитку юридичної науки, він водночас породжує проблему зв’язності та системності правової теорії. У цьому контексті особливого значення набуває звернення до положень, </w:t>
      </w:r>
      <w:r w:rsidRPr="00935DCC">
        <w:rPr>
          <w:rFonts w:eastAsiaTheme="minorHAnsi"/>
          <w:bCs/>
          <w:iCs/>
          <w:kern w:val="2"/>
          <w:sz w:val="28"/>
          <w:szCs w:val="28"/>
          <w:lang w:val="uk-UA" w:eastAsia="en-US"/>
        </w:rPr>
        <w:lastRenderedPageBreak/>
        <w:t>здатних виконувати інтегруючу функцію, одним з яких вбачається концепт цілісності права.</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Цілісність права має сприйматися не лише як характеристика його внутрішньої будови, а як спосіб буття права, що поєднує ціннісний, нормативний і практичний виміри, забезпечуючи збереження ідентичності права в умовах динамічних соціальних змін. Саме через осмислення цілісності стає можливим подолання протиставлення ідеального й реального, належного й сущого, стабільності та змінюваності у праві.</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Актуальність дослідження зумовлена також необхідністю методологічного оновлення юридичної науки, зокрема шляхом екстраполяції загальнофілософських і міждисциплінарних категорій у правову сферу. Використання поняття «концепт» дозволяє розглядати право як структурований простір смислів, ідей та цінностей, а звернення до ідеї цілісності, як до ключової характеристики організації правової реальності, відкриває можливості для аналізу нелінійних, синергетичних і різомних аспектів його існування.</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Починаючи наукові пошуки концепту цілісності права, цілком виправданим є попереднє узгодження понятійного апарату. Перш за все поняття «концепт».</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Згідно даних Словника української мови, концепт це – «(філос.) формулювання, загальне поняття, думка» </w:t>
      </w:r>
      <w:r w:rsidRPr="00935DCC">
        <w:rPr>
          <w:rFonts w:eastAsiaTheme="minorHAnsi"/>
          <w:bCs/>
          <w:iCs/>
          <w:kern w:val="2"/>
          <w:sz w:val="28"/>
          <w:szCs w:val="28"/>
          <w:lang w:eastAsia="en-US"/>
        </w:rPr>
        <w:t>[4]</w:t>
      </w:r>
      <w:r w:rsidRPr="00935DCC">
        <w:rPr>
          <w:rFonts w:eastAsiaTheme="minorHAnsi"/>
          <w:bCs/>
          <w:iCs/>
          <w:kern w:val="2"/>
          <w:sz w:val="28"/>
          <w:szCs w:val="28"/>
          <w:lang w:val="uk-UA" w:eastAsia="en-US"/>
        </w:rPr>
        <w:t>.</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Виходячи з зазначеного визначення, можна припустити, що концепт відображає процес і результат структурування знання про певний об’єкт, задає логіку його осмислення та дозволяють мислити про нього не фрагментарно, а як про цілісне явище.</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Є. О. Харитонов визначає, що « …«концепт» – це  сукупність («жмут») уявлень, понять, знань, асоціацій, емоцій, які виникають у зв’язку з використанням терміно-поняття «приватне право», супроводжують і характеризують його» [5, с. 36].</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У цьому сенсі концепт виступає метатеоретичним інструментом, який не підміняє конкретні теорії, а забезпечує їх узгоджене співіснування.</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lastRenderedPageBreak/>
        <w:t>В свою чергу поняття цілісність похідне від «цілісний» та тлумачиться як те, що «… має внутрішню єдність, сприймається як єдине ціле» [4].</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Зазначене визначення дозволяє сформулювати розуміння цілісності як інтегральної властивості складного об’єкта або системи, що полягає у внутрішній єдності, структурній упорядкованості та функціональній узгодженості його елементів, завдяки чому об’єкт набуває власної якості, зберігаючи ідентичність у процесі змін та не втрачаючи здатності до саморозвитку.</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Екстраполяція понять «концепт» і «цілісність» у правову сферу дозволяє здійснити методологічний перехід від загально-філософського та міждисциплінарного рівня осмислення до аналізу права як складного соціального явища. </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На думку К. В. Горобця, «… концепти виступають ідеями, що структурують знання про право, створюючи передумови для його розгляду як системи. Таке структурування є основним критерієм цілісності, зв’язності юриспруденції в цілому та правової теорії зокрема. Різні варіанти системного уявлення про право пропонують альтернативні та такі, що конкурують між собою, наукові концепції, змістовне наповнення яких і створює сучасний правовий дискурс» [1, с. 211].</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Відповідно до позиції К. В. Горобця, цілісність є критерієм зв’язності юридичного знання, адже саме вона перетворює розрізнені правові уявлення на систему, забезпечуючи єдність правової теорії та формуючи сучасний правовий дискурс як поле конкуренції, а не хаосу концепцій. Таким чином, цілісність – це не результат, а умова існування права як системи.</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Вказана наукова позиція підкреслює, що цілісність права означає безперервність переходу від цінності – до норми, від норми – до дії. Відтак право одночасно є ідеєю і фактом, воно існує між моральним і позитивним, а його форми простягаються від абстрактних принципів до конкретних справедливих вчинків.</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Нелінійність цілісності права достатньо чітко простежується під час синергетичного аналізу. </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lastRenderedPageBreak/>
        <w:t xml:space="preserve">Як обґрунтовує Ю. В. Цуркан-Сайфуліна «синергетичний підхід керується тим, що всі природні та суспільні системи, включаючи й правові, розвиваються нелінійно, тобто з високою ймовірністю випадковості, тому їх неможливо інтерпретувати винятково через таку наукову парадигму як закономірність. Саме випадковість є генератором нового в таких системах, вона приводить до того, що в них панує переважно саморозвиток, самоорганізація, які, власне, здатні забезпечити їх упорядкованість» </w:t>
      </w:r>
      <w:r w:rsidRPr="00935DCC">
        <w:rPr>
          <w:rFonts w:eastAsiaTheme="minorHAnsi"/>
          <w:bCs/>
          <w:iCs/>
          <w:kern w:val="2"/>
          <w:sz w:val="28"/>
          <w:szCs w:val="28"/>
          <w:lang w:eastAsia="en-US"/>
        </w:rPr>
        <w:t>[6, с. 25]</w:t>
      </w:r>
      <w:r w:rsidRPr="00935DCC">
        <w:rPr>
          <w:rFonts w:eastAsiaTheme="minorHAnsi"/>
          <w:bCs/>
          <w:iCs/>
          <w:kern w:val="2"/>
          <w:sz w:val="28"/>
          <w:szCs w:val="28"/>
          <w:lang w:val="uk-UA" w:eastAsia="en-US"/>
        </w:rPr>
        <w:t>.</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У руслі обґрунтованого Ю. В. Цуркан-Сайфуліною розуміння синергетичного підходу, цілісність права не зводиться до жорсткої детермінованості. Навпаки, право розвивається нелінійно, де випадковість виступає генератором нового, а самоорганізація є механізмом збереження впорядкованості. У цьому аспекті цілісність відображає здатність правової системи зберігати ідентичність у процесі змін.</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Не менш важливим методологічним інструментом розкриття природи цілісності права є системно-структурний підхід, завдяки якому, стає можливим встановити такі характеристики цілісності права як: системність (внутрішня будова та зовнішня впорядкованість), комплексність, універсалізм.</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Цілісність права не слід ототожнювати із інтегративним праворозумінням. Останнє постулює синтетичне поєднання форми, змісту та дії (соціального призначення/втілення у життя) права.</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Однак цілісність також не тотожна комплексності, яка відображає розгляд права з точки зору принципу плюралізму та множинності паралельно існуючих підходів до його розуміння.</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Щодо універсалістичної характеристики цілісності права, слід погодитися із В. В. Дудченко, яка слушно підкреслює, що «… сучасне право покликане регулювати складні політичні, економічні, культурні процеси, адаптуватися до наслідків глобалізації. Домінуючою тенденцією розвитку сучасного права має бути вироблення різних інституцій та механізмів забезпечення прав людини, адже право має відображати духовні цінності суспільства, які надають значення і сенсу цьому суспільству. Характеризуючи універсалізм сучасного права, слід </w:t>
      </w:r>
      <w:r w:rsidRPr="00935DCC">
        <w:rPr>
          <w:rFonts w:eastAsiaTheme="minorHAnsi"/>
          <w:bCs/>
          <w:iCs/>
          <w:kern w:val="2"/>
          <w:sz w:val="28"/>
          <w:szCs w:val="28"/>
          <w:lang w:val="uk-UA" w:eastAsia="en-US"/>
        </w:rPr>
        <w:lastRenderedPageBreak/>
        <w:t xml:space="preserve">зазначити, що зовнішня варіантність правових систем є наслідком розгалуження однієї основи глобального правопорядку» </w:t>
      </w:r>
      <w:r w:rsidRPr="00935DCC">
        <w:rPr>
          <w:rFonts w:eastAsiaTheme="minorHAnsi"/>
          <w:bCs/>
          <w:iCs/>
          <w:kern w:val="2"/>
          <w:sz w:val="28"/>
          <w:szCs w:val="28"/>
          <w:lang w:eastAsia="en-US"/>
        </w:rPr>
        <w:t>[2, с. 43]</w:t>
      </w:r>
      <w:r w:rsidRPr="00935DCC">
        <w:rPr>
          <w:rFonts w:eastAsiaTheme="minorHAnsi"/>
          <w:bCs/>
          <w:iCs/>
          <w:kern w:val="2"/>
          <w:sz w:val="28"/>
          <w:szCs w:val="28"/>
          <w:lang w:val="uk-UA" w:eastAsia="en-US"/>
        </w:rPr>
        <w:t>.</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Відтак цілісність сучасного права проявляється у тому, що різноманіття національних правових систем ґрунтується на спільній основі глобального правопорядку в якій права людини виступають універсальним смисловим ядром, а духовні цінності надають праву соціального сенсу.</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Враховуючи наведені положення, у якості попереднього висновку стає можливим наголосити, що цілісність права слід розуміти як сукупність характеристик, які відображають його онтологічну природу.</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Цілісність права має кілька вимірів прояву: аксіологічний – власна цінність права та його значущість для соціуму; онтологічний – буття права, від правової спадщини до діючих норм із урахуванням закономірностей та випадковостей його нелінійного існування (виникнення, зміни, втрати чинності); гносеологічний – праворозуміння.</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Саме через концепт цілісності права, стає можливим розуміння та опис його різомної природи – сталої та відкритої до адаптації й апґрейдізації одночасно. У метафоричному ключі це можна описати через оксюморон «статична-динаміка». Де завжди статичним, незмінним буде – соціальне призначення права та його аксіологічний вимір, а динамічним – його потенціал підлаштовуватися під потреби суспільства та/або передувати майбутнім викликам шляхом реалізації прогностичної функції та стратегічного планування порядку організації правового впливу. Саме це забезпечує адаптивність права без втрати його ідентичності.</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У зазначеному аспекті слід враховувати обґрунтування Ю. М. Оборотова, що «розгляд права як цілісності є перспективним з використанням для такого його розгляду поняття різоми, яке якраз фіксує позаструктурний і нелінійний спосіб організації цілісності. Різома, на відміну від структури, не боїться розриву. У різоми в принципі немає ні початку, ні кінця, тільки середина, з якої вона росте і виходить за її межі» </w:t>
      </w:r>
      <w:r w:rsidRPr="00935DCC">
        <w:rPr>
          <w:rFonts w:eastAsiaTheme="minorHAnsi"/>
          <w:bCs/>
          <w:iCs/>
          <w:kern w:val="2"/>
          <w:sz w:val="28"/>
          <w:szCs w:val="28"/>
          <w:lang w:eastAsia="en-US"/>
        </w:rPr>
        <w:t>[3, с. 15]</w:t>
      </w:r>
      <w:r w:rsidRPr="00935DCC">
        <w:rPr>
          <w:rFonts w:eastAsiaTheme="minorHAnsi"/>
          <w:bCs/>
          <w:iCs/>
          <w:kern w:val="2"/>
          <w:sz w:val="28"/>
          <w:szCs w:val="28"/>
          <w:lang w:val="uk-UA" w:eastAsia="en-US"/>
        </w:rPr>
        <w:t>.</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 xml:space="preserve">Відтак, концепт цілісності права пропонується розуміти як об’єктивне буття права, в якості самоорганізованої, системно-структурно впорядкованої й </w:t>
      </w:r>
      <w:r w:rsidRPr="00935DCC">
        <w:rPr>
          <w:rFonts w:eastAsiaTheme="minorHAnsi"/>
          <w:bCs/>
          <w:iCs/>
          <w:kern w:val="2"/>
          <w:sz w:val="28"/>
          <w:szCs w:val="28"/>
          <w:lang w:val="uk-UA" w:eastAsia="en-US"/>
        </w:rPr>
        <w:lastRenderedPageBreak/>
        <w:t>водночас нелінійної соціально-нормативної реальності, що забезпечує єдність його ціннісного призначення, нормативної структури, смислового розуміння та практичного втілення в умовах історичної мінливості й цивілізаційних трансформацій.</w:t>
      </w:r>
    </w:p>
    <w:p w:rsidR="00076275" w:rsidRPr="00935DCC" w:rsidRDefault="00076275" w:rsidP="00076275">
      <w:pPr>
        <w:spacing w:line="360" w:lineRule="auto"/>
        <w:ind w:firstLine="709"/>
        <w:jc w:val="both"/>
        <w:rPr>
          <w:rFonts w:eastAsiaTheme="minorHAnsi"/>
          <w:bCs/>
          <w:iCs/>
          <w:kern w:val="2"/>
          <w:sz w:val="28"/>
          <w:szCs w:val="28"/>
          <w:lang w:val="uk-UA" w:eastAsia="en-US"/>
        </w:rPr>
      </w:pPr>
      <w:r w:rsidRPr="00935DCC">
        <w:rPr>
          <w:rFonts w:eastAsiaTheme="minorHAnsi"/>
          <w:bCs/>
          <w:iCs/>
          <w:kern w:val="2"/>
          <w:sz w:val="28"/>
          <w:szCs w:val="28"/>
          <w:lang w:val="uk-UA" w:eastAsia="en-US"/>
        </w:rPr>
        <w:t>Цілісність права – це властивість і водночас формат існування права як антропоцентричної, впорядкованої та нелінійної, такої що має здатність до самоорганізації різоми, що поєднує сталість соціального призначення з відкритістю до історичних змін і майбутніх викликів.</w:t>
      </w:r>
    </w:p>
    <w:p w:rsidR="00076275" w:rsidRPr="00935DCC" w:rsidRDefault="00076275" w:rsidP="00076275">
      <w:pPr>
        <w:spacing w:line="360" w:lineRule="auto"/>
        <w:ind w:firstLine="709"/>
        <w:jc w:val="center"/>
        <w:rPr>
          <w:rFonts w:eastAsiaTheme="minorHAnsi"/>
          <w:b/>
          <w:bCs/>
          <w:kern w:val="2"/>
          <w:sz w:val="28"/>
          <w:szCs w:val="28"/>
          <w:lang w:val="uk-UA" w:eastAsia="en-US"/>
        </w:rPr>
      </w:pPr>
    </w:p>
    <w:p w:rsidR="00076275" w:rsidRPr="00935DCC" w:rsidRDefault="00076275" w:rsidP="00076275">
      <w:pPr>
        <w:spacing w:line="360" w:lineRule="auto"/>
        <w:ind w:firstLine="709"/>
        <w:jc w:val="center"/>
        <w:rPr>
          <w:rFonts w:eastAsiaTheme="minorHAnsi"/>
          <w:b/>
          <w:bCs/>
          <w:kern w:val="2"/>
          <w:sz w:val="28"/>
          <w:szCs w:val="28"/>
          <w:lang w:val="uk-UA" w:eastAsia="en-US"/>
        </w:rPr>
      </w:pPr>
      <w:r w:rsidRPr="00935DCC">
        <w:rPr>
          <w:rFonts w:eastAsiaTheme="minorHAnsi"/>
          <w:b/>
          <w:bCs/>
          <w:kern w:val="2"/>
          <w:sz w:val="28"/>
          <w:szCs w:val="28"/>
          <w:lang w:val="uk-UA" w:eastAsia="en-US"/>
        </w:rPr>
        <w:t>СПИСОК ВИКОРИСТАНИХ ДЖЕРЕЛ</w:t>
      </w:r>
    </w:p>
    <w:p w:rsidR="00076275" w:rsidRPr="00935DCC"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1.</w:t>
      </w:r>
      <w:r w:rsidRPr="00935DCC">
        <w:rPr>
          <w:rFonts w:eastAsiaTheme="minorHAnsi"/>
          <w:kern w:val="2"/>
          <w:sz w:val="28"/>
          <w:szCs w:val="28"/>
          <w:lang w:val="uk-UA" w:eastAsia="en-US"/>
        </w:rPr>
        <w:tab/>
        <w:t xml:space="preserve">Горобець К. В. Концепт права: спроба системної інтерпретації. </w:t>
      </w:r>
      <w:r w:rsidRPr="00935DCC">
        <w:rPr>
          <w:rFonts w:eastAsiaTheme="minorHAnsi"/>
          <w:i/>
          <w:iCs/>
          <w:kern w:val="2"/>
          <w:sz w:val="28"/>
          <w:szCs w:val="28"/>
          <w:lang w:val="uk-UA" w:eastAsia="en-US"/>
        </w:rPr>
        <w:t>Філософія права і загальна теорія права</w:t>
      </w:r>
      <w:r w:rsidRPr="00935DCC">
        <w:rPr>
          <w:rFonts w:eastAsiaTheme="minorHAnsi"/>
          <w:kern w:val="2"/>
          <w:sz w:val="28"/>
          <w:szCs w:val="28"/>
          <w:lang w:val="uk-UA" w:eastAsia="en-US"/>
        </w:rPr>
        <w:t>. № 1–2. 2015. С. 211-223.</w:t>
      </w:r>
    </w:p>
    <w:p w:rsidR="00076275" w:rsidRPr="00935DCC"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2.</w:t>
      </w:r>
      <w:r w:rsidRPr="00935DCC">
        <w:rPr>
          <w:rFonts w:eastAsiaTheme="minorHAnsi"/>
          <w:kern w:val="2"/>
          <w:sz w:val="28"/>
          <w:szCs w:val="28"/>
          <w:lang w:val="uk-UA" w:eastAsia="en-US"/>
        </w:rPr>
        <w:tab/>
        <w:t xml:space="preserve">Дудченко В. В. Універсалізація сучасного права. </w:t>
      </w:r>
      <w:r w:rsidRPr="00935DCC">
        <w:rPr>
          <w:rFonts w:eastAsiaTheme="minorHAnsi"/>
          <w:i/>
          <w:iCs/>
          <w:kern w:val="2"/>
          <w:sz w:val="28"/>
          <w:szCs w:val="28"/>
          <w:lang w:val="uk-UA" w:eastAsia="en-US"/>
        </w:rPr>
        <w:t>Європейські орієнтири розвитку України в умовах війни та глобальних викликів ХХІ століття: синергія наукових, освітніх та технологічних рішень : у 2 т. : матеріали Міжнар. наук.- практ. конф. (м. Одеса, 19 травня 2023 р.)</w:t>
      </w:r>
      <w:r w:rsidRPr="00935DCC">
        <w:rPr>
          <w:rFonts w:eastAsiaTheme="minorHAnsi"/>
          <w:kern w:val="2"/>
          <w:sz w:val="28"/>
          <w:szCs w:val="28"/>
          <w:lang w:val="uk-UA" w:eastAsia="en-US"/>
        </w:rPr>
        <w:t xml:space="preserve"> / за заг. ред. С. В. Ківалова. Одеса : Видавництво «Юридика», 2023. Т. 1. С. 41-44</w:t>
      </w:r>
    </w:p>
    <w:p w:rsidR="00076275" w:rsidRPr="00935DCC"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3.</w:t>
      </w:r>
      <w:r w:rsidRPr="00935DCC">
        <w:rPr>
          <w:rFonts w:eastAsiaTheme="minorHAnsi"/>
          <w:kern w:val="2"/>
          <w:sz w:val="28"/>
          <w:szCs w:val="28"/>
          <w:lang w:val="uk-UA" w:eastAsia="en-US"/>
        </w:rPr>
        <w:tab/>
        <w:t>Креативність загальнотеоретичної юриспруденції : монографія / Ю. М. Оборотов, В. В. Завальнюк, В. В. Дудченко та ін.; за ред. Ю. М. Оборотова. Одеса : Фенікс, 2015. 488 с.</w:t>
      </w:r>
    </w:p>
    <w:p w:rsidR="00076275" w:rsidRPr="00935DCC"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4.</w:t>
      </w:r>
      <w:r w:rsidRPr="00935DCC">
        <w:rPr>
          <w:rFonts w:eastAsiaTheme="minorHAnsi"/>
          <w:kern w:val="2"/>
          <w:sz w:val="28"/>
          <w:szCs w:val="28"/>
          <w:lang w:val="uk-UA" w:eastAsia="en-US"/>
        </w:rPr>
        <w:tab/>
        <w:t>Словник UA. URL: https://slovnyk.ua  (дата звернення: 05.02.26)</w:t>
      </w:r>
    </w:p>
    <w:p w:rsidR="00076275" w:rsidRPr="00935DCC"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5.</w:t>
      </w:r>
      <w:r w:rsidRPr="00935DCC">
        <w:rPr>
          <w:rFonts w:eastAsiaTheme="minorHAnsi"/>
          <w:kern w:val="2"/>
          <w:sz w:val="28"/>
          <w:szCs w:val="28"/>
          <w:lang w:val="uk-UA" w:eastAsia="en-US"/>
        </w:rPr>
        <w:tab/>
        <w:t xml:space="preserve">Харитонов Є. О. Категорія «концепт» та її методологічне значення при визначенні та характеристиці права / Є. О. Харитонов, О. І. Харитонова // </w:t>
      </w:r>
      <w:r w:rsidRPr="00935DCC">
        <w:rPr>
          <w:rFonts w:eastAsiaTheme="minorHAnsi"/>
          <w:i/>
          <w:iCs/>
          <w:kern w:val="2"/>
          <w:sz w:val="28"/>
          <w:szCs w:val="28"/>
          <w:lang w:val="uk-UA" w:eastAsia="en-US"/>
        </w:rPr>
        <w:t xml:space="preserve">Розвиток методології сучасної юриспруденції : матеріали Четверт. наук. конф. (м. Одеса, 27–28 березня 2015 р.) </w:t>
      </w:r>
      <w:r w:rsidRPr="00935DCC">
        <w:rPr>
          <w:rFonts w:eastAsiaTheme="minorHAnsi"/>
          <w:kern w:val="2"/>
          <w:sz w:val="28"/>
          <w:szCs w:val="28"/>
          <w:lang w:val="uk-UA" w:eastAsia="en-US"/>
        </w:rPr>
        <w:t>; за ред. Ю. М. Оборотова. Одеса : Фенікс, 2015. С. 34–39.</w:t>
      </w:r>
    </w:p>
    <w:p w:rsidR="00076275" w:rsidRDefault="00076275" w:rsidP="00076275">
      <w:pPr>
        <w:spacing w:line="360" w:lineRule="auto"/>
        <w:ind w:firstLine="709"/>
        <w:jc w:val="both"/>
        <w:rPr>
          <w:rFonts w:eastAsiaTheme="minorHAnsi"/>
          <w:kern w:val="2"/>
          <w:sz w:val="28"/>
          <w:szCs w:val="28"/>
          <w:lang w:val="uk-UA" w:eastAsia="en-US"/>
        </w:rPr>
      </w:pPr>
      <w:r w:rsidRPr="00935DCC">
        <w:rPr>
          <w:rFonts w:eastAsiaTheme="minorHAnsi"/>
          <w:kern w:val="2"/>
          <w:sz w:val="28"/>
          <w:szCs w:val="28"/>
          <w:lang w:val="uk-UA" w:eastAsia="en-US"/>
        </w:rPr>
        <w:t>6.</w:t>
      </w:r>
      <w:r w:rsidRPr="00935DCC">
        <w:rPr>
          <w:rFonts w:eastAsiaTheme="minorHAnsi"/>
          <w:kern w:val="2"/>
          <w:sz w:val="28"/>
          <w:szCs w:val="28"/>
          <w:lang w:val="uk-UA" w:eastAsia="en-US"/>
        </w:rPr>
        <w:tab/>
        <w:t xml:space="preserve">Цуркан-Сайфулина Ю. В. Коммуникативные теории права в объяснении связи власти и права. </w:t>
      </w:r>
      <w:r w:rsidRPr="00935DCC">
        <w:rPr>
          <w:rFonts w:eastAsiaTheme="minorHAnsi"/>
          <w:i/>
          <w:iCs/>
          <w:kern w:val="2"/>
          <w:sz w:val="28"/>
          <w:szCs w:val="28"/>
          <w:lang w:val="uk-UA" w:eastAsia="en-US"/>
        </w:rPr>
        <w:t>Прикарпатський юридичний вісник</w:t>
      </w:r>
      <w:r w:rsidRPr="00935DCC">
        <w:rPr>
          <w:rFonts w:eastAsiaTheme="minorHAnsi"/>
          <w:kern w:val="2"/>
          <w:sz w:val="28"/>
          <w:szCs w:val="28"/>
          <w:lang w:val="uk-UA" w:eastAsia="en-US"/>
        </w:rPr>
        <w:t>. Випуск 5(20). 2017.  С. 22-27.</w:t>
      </w:r>
    </w:p>
    <w:p w:rsidR="00076275" w:rsidRDefault="00076275" w:rsidP="00076275">
      <w:pPr>
        <w:spacing w:line="360" w:lineRule="auto"/>
        <w:ind w:firstLine="709"/>
        <w:jc w:val="both"/>
        <w:rPr>
          <w:rFonts w:eastAsiaTheme="minorHAnsi"/>
          <w:kern w:val="2"/>
          <w:sz w:val="28"/>
          <w:szCs w:val="28"/>
          <w:lang w:val="uk-UA" w:eastAsia="en-US"/>
        </w:rPr>
      </w:pPr>
    </w:p>
    <w:p w:rsidR="00076275" w:rsidRPr="00FA3276" w:rsidRDefault="00076275" w:rsidP="00076275">
      <w:pPr>
        <w:spacing w:line="360" w:lineRule="auto"/>
        <w:ind w:firstLine="709"/>
        <w:jc w:val="both"/>
        <w:rPr>
          <w:rFonts w:eastAsiaTheme="minorHAnsi"/>
          <w:kern w:val="2"/>
          <w:sz w:val="28"/>
          <w:szCs w:val="28"/>
          <w:lang w:val="uk-UA" w:eastAsia="en-US"/>
        </w:rPr>
      </w:pPr>
    </w:p>
    <w:p w:rsidR="00076275" w:rsidRPr="00454ACA" w:rsidRDefault="00076275" w:rsidP="00076275">
      <w:pPr>
        <w:spacing w:line="360" w:lineRule="auto"/>
        <w:ind w:firstLine="709"/>
        <w:jc w:val="center"/>
        <w:rPr>
          <w:b/>
          <w:i/>
          <w:kern w:val="2"/>
          <w:sz w:val="28"/>
          <w:szCs w:val="28"/>
          <w:lang w:val="uk-UA" w:eastAsia="en-US"/>
        </w:rPr>
      </w:pPr>
      <w:r w:rsidRPr="00454ACA">
        <w:rPr>
          <w:rFonts w:eastAsiaTheme="minorHAnsi"/>
          <w:b/>
          <w:iCs/>
          <w:kern w:val="2"/>
          <w:sz w:val="28"/>
          <w:szCs w:val="28"/>
          <w:lang w:val="uk-UA" w:eastAsia="en-US"/>
        </w:rPr>
        <w:lastRenderedPageBreak/>
        <w:t>ІНФОРМАЦІЙНА ВІДКРИТІСТЬ ЯК УМОВА ФОРМУВАННЯ ДЕМОКРАТИЧНОГО ПРАВОПОРЯДКУ</w:t>
      </w:r>
    </w:p>
    <w:p w:rsidR="00076275" w:rsidRPr="00454ACA" w:rsidRDefault="00076275" w:rsidP="00076275">
      <w:pPr>
        <w:spacing w:line="360" w:lineRule="auto"/>
        <w:ind w:firstLine="709"/>
        <w:jc w:val="center"/>
        <w:rPr>
          <w:b/>
          <w:i/>
          <w:kern w:val="2"/>
          <w:sz w:val="28"/>
          <w:szCs w:val="28"/>
          <w:lang w:val="uk-UA" w:eastAsia="en-US"/>
        </w:rPr>
      </w:pPr>
      <w:r w:rsidRPr="00454ACA">
        <w:rPr>
          <w:b/>
          <w:i/>
          <w:kern w:val="2"/>
          <w:sz w:val="28"/>
          <w:szCs w:val="28"/>
          <w:lang w:val="uk-UA" w:eastAsia="en-US"/>
        </w:rPr>
        <w:t>Марченко Д. В.</w:t>
      </w:r>
    </w:p>
    <w:p w:rsidR="00076275" w:rsidRPr="00454ACA" w:rsidRDefault="00076275" w:rsidP="00076275">
      <w:pPr>
        <w:spacing w:line="360" w:lineRule="auto"/>
        <w:ind w:firstLine="709"/>
        <w:jc w:val="center"/>
        <w:rPr>
          <w:i/>
          <w:kern w:val="2"/>
          <w:sz w:val="28"/>
          <w:szCs w:val="28"/>
          <w:lang w:val="uk-UA" w:eastAsia="en-US"/>
        </w:rPr>
      </w:pPr>
      <w:r w:rsidRPr="00454ACA">
        <w:rPr>
          <w:i/>
          <w:kern w:val="2"/>
          <w:sz w:val="28"/>
          <w:szCs w:val="28"/>
          <w:lang w:val="uk-UA" w:eastAsia="en-US"/>
        </w:rPr>
        <w:t xml:space="preserve">Студент ІІ курсу магістратури, </w:t>
      </w:r>
    </w:p>
    <w:p w:rsidR="00076275" w:rsidRPr="00454ACA" w:rsidRDefault="00076275" w:rsidP="00076275">
      <w:pPr>
        <w:spacing w:line="360" w:lineRule="auto"/>
        <w:ind w:firstLine="709"/>
        <w:jc w:val="center"/>
        <w:rPr>
          <w:i/>
          <w:kern w:val="2"/>
          <w:sz w:val="28"/>
          <w:szCs w:val="28"/>
          <w:lang w:val="uk-UA" w:eastAsia="en-US"/>
        </w:rPr>
      </w:pPr>
      <w:r w:rsidRPr="00454ACA">
        <w:rPr>
          <w:i/>
          <w:kern w:val="2"/>
          <w:sz w:val="28"/>
          <w:szCs w:val="28"/>
          <w:lang w:val="uk-UA" w:eastAsia="en-US"/>
        </w:rPr>
        <w:t>спеціальність 262 «Правоохоронна діяльність»,,</w:t>
      </w:r>
    </w:p>
    <w:p w:rsidR="00076275" w:rsidRPr="00454ACA" w:rsidRDefault="00076275" w:rsidP="00076275">
      <w:pPr>
        <w:spacing w:line="360" w:lineRule="auto"/>
        <w:ind w:firstLine="709"/>
        <w:jc w:val="center"/>
        <w:rPr>
          <w:i/>
          <w:kern w:val="2"/>
          <w:sz w:val="28"/>
          <w:szCs w:val="28"/>
          <w:lang w:val="uk-UA" w:eastAsia="en-US"/>
        </w:rPr>
      </w:pPr>
      <w:r w:rsidRPr="00454ACA">
        <w:rPr>
          <w:i/>
          <w:kern w:val="2"/>
          <w:sz w:val="28"/>
          <w:szCs w:val="28"/>
          <w:lang w:val="uk-UA" w:eastAsia="en-US"/>
        </w:rPr>
        <w:t>Міжнародний університет,</w:t>
      </w:r>
    </w:p>
    <w:p w:rsidR="00076275" w:rsidRPr="00454ACA" w:rsidRDefault="00076275" w:rsidP="00076275">
      <w:pPr>
        <w:spacing w:line="360" w:lineRule="auto"/>
        <w:ind w:firstLine="709"/>
        <w:jc w:val="center"/>
        <w:rPr>
          <w:i/>
          <w:kern w:val="2"/>
          <w:sz w:val="28"/>
          <w:szCs w:val="28"/>
          <w:lang w:val="uk-UA" w:eastAsia="en-US"/>
        </w:rPr>
      </w:pPr>
      <w:r w:rsidRPr="00454ACA">
        <w:rPr>
          <w:i/>
          <w:kern w:val="2"/>
          <w:sz w:val="28"/>
          <w:szCs w:val="28"/>
          <w:lang w:val="uk-UA" w:eastAsia="en-US"/>
        </w:rPr>
        <w:t>м. Одеса, Україна</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Формування демократичного правопорядку неможливе без утвердження принципу інформаційної відкритості, який виступає однією з базових передумов реалізації верховенства права, легітимності влади та довіри громадян до державних інститутів. Відкритість є системоутворювальною рисою демократичної моделі управління, оскільки забезпечує прозорість публічної влади, доступ до суспільно значущої інформації та можливість громадянського контролю за діяльністю органів держави.</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В умовах становлення демократичного суспільства однією з ключових проблем є забезпечення відкритості органів публічної влади. Саме відкритість у підготовці та прийнятті управлінських рішень органами публічної влади є основою довіри суспільства до влади, творення її позитивного іміджу, створення належних умов для залучення громадськості до процесу прийняття рішень і, як наслідок, формування державної, регіональної, місцевої політики розвитку, спрямованої на сталий розвиток території і задоволення потреб громадян.</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У філософсько-правовому вимірі інформаційна відкритість втілює ідею публічності влади, яку ще І. Кант і Ш. Монтеск’є розглядали як ключову ознаку правової держави. Вона протистоїть закритості, бюрократичності й монополії на інформацію, що є характерними рисами авторитарних режимів. Саме через відкритість держави забезпечується її передбачуваність, підзвітність і відповідальність перед суспільством, а отже – стабільність і стійкість правопорядку.</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Одним із важливих завдань органів публічної влади є формування, розвиток та реалізація принципу відкритості.</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lastRenderedPageBreak/>
        <w:t>Відкритість влади є двостороннім процесом. З одного боку, її запорукою є існування суспільного запиту на отримання об'єктивної та вичерпної інформації про діяльність владних органів, активна позиція громадянського суспільства щодо державної влади. З іншого це рівень відкритості визначається реальною діяльністю конкретних органів публічної влади з метою якомога кращого інформування громадськості про свою роботу, одним з чинників чого є бажання влади легітимізувати себе [4, с. 40].</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 xml:space="preserve">Відкритість варто розглядати насамперед як засіб, а не мету. Необхідно з'ясувати, для чого слугує відкритість органів публічної влади. </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 xml:space="preserve">По-перше, для ефективності управління, вона справді забезпечує той оптимальний зворотній зв'язок, який дозволяє ефективно управляти. </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По-друге, відкритість сприяє зростанню довіри до влади, тому влада має бути зацікавлена в такій відкритості. Однак необхідно усвідомлювати, що має існувати баланс між відкритістю і захистом інформації, який повинен відповідати особливостям нашого соціокультурного розвитку, управлінської культури.</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Інформаційна відкритість це не лише технічна категорія, що стосується обсягу оприлюднених даних, а насамперед правовий і ціннісний принцип, який визначає взаємодію держави та громадянина. Вона означає встановлення такого правового режиму, за якого суспільство має гарантований доступ до інформації про діяльність публічних органів, а органи влади зобов’язані ініціативно розкривати інформацію, не чекаючи запитів громадян.</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Відповідно до Принципів Європейського адміністративного простору (SIGMA-1999) принцип відкритості розуміється як відкритість на противагу секретності</w:t>
      </w:r>
      <w:r w:rsidRPr="00454ACA">
        <w:rPr>
          <w:bCs/>
          <w:sz w:val="28"/>
          <w:szCs w:val="28"/>
        </w:rPr>
        <w:t xml:space="preserve"> [</w:t>
      </w:r>
      <w:r w:rsidRPr="00454ACA">
        <w:rPr>
          <w:bCs/>
          <w:sz w:val="28"/>
          <w:szCs w:val="28"/>
          <w:lang w:val="uk-UA"/>
        </w:rPr>
        <w:t>2, с. 277</w:t>
      </w:r>
      <w:r w:rsidRPr="00454ACA">
        <w:rPr>
          <w:bCs/>
          <w:sz w:val="28"/>
          <w:szCs w:val="28"/>
        </w:rPr>
        <w:t>]</w:t>
      </w:r>
      <w:r w:rsidRPr="00454ACA">
        <w:rPr>
          <w:bCs/>
          <w:sz w:val="28"/>
          <w:szCs w:val="28"/>
          <w:lang w:val="uk-UA"/>
        </w:rPr>
        <w:t>.</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 xml:space="preserve">Значення нормативного складника відкритості дуже важливе, оскільки розв'язати вузол проблем, пов'язаних із відкритістю влади, можна лише створивши відповідні законодавчі підстави. </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Особливо актуально це для суспільства, в якому традиції демократизму досі в стадії формування. Тобто нагальною є потреба в унормуванні стосунків владних інституцій, представників публічної влади і громадськості.</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lastRenderedPageBreak/>
        <w:t xml:space="preserve">На думку Б. Шевчука «принцип відкритості є інструментом забезпечення верховенства права та захисту інтересів суспільства й окремих осіб, передбачає відкритість публічного управління для зовнішніх перевірок з будь-яких питань» [5]. </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Зміст принципу інформаційної відкритості охоплює кілька ключових аспектів:</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Нормативний – закріплення у національному законодавстві обов’язку органів влади забезпечувати відкритість і прозорість своєї діяльності (зокрема, у Законах України «Про доступ до публічної інформації», «Про інформацію», «Про електронне урядування» тощо).</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Інституційний – створення спеціальних органів та механізмів контролю за дотриманням принципу відкритості (омбудсмани, комісії з питань інформації, відкриті портали даних).</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Технологічний – використання цифрових платформ, відкритих реєстрів і систем електронного врядування для публікації та обробки суспільно значущої інформації.</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Соціальний – формування інформаційної культури, у межах якої громадяни усвідомлюють своє право на інформацію і здатні реалізувати його активно та відповідально.Нині органи публічної влади декларують принцип відкритості в нормативно-правових актах, що регулюють їх діяльність. Разом з тим, необхідно зазначити, що жоден нормативно-правовий акт не містить чіткого визначення даного принципу. В більшості випадків він вживаються без тлумачення, або ототожнюється з принципами гласності та публічності.</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«Принцип відкритості як функціональна характеристика органів публічної влади виявляє:</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ступінь безпосередньої участі громадян у діяльності органів публічної влади;</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рівень поінформованості громадян не тільки про діяльність політичних структур, але й про свої права та свободи;</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активність суспільного контролю над діяльність органів публічної влади;</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lastRenderedPageBreak/>
        <w:t>стан забезпечення реального впливу громадян та їх об'єднань на зміст публічно-управлінської діяльності через постановку вимог перед органами публічної влади щодо прийняття певних рішень, вчинення дій або утримання від них;</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забезпечення політичної участі, вільного та конкурентного вибору територіальними громадами певної альтернативи суспільного розвитку»</w:t>
      </w:r>
      <w:r w:rsidRPr="00454ACA">
        <w:rPr>
          <w:bCs/>
          <w:sz w:val="28"/>
          <w:szCs w:val="28"/>
        </w:rPr>
        <w:t xml:space="preserve"> [</w:t>
      </w:r>
      <w:r w:rsidRPr="00454ACA">
        <w:rPr>
          <w:bCs/>
          <w:sz w:val="28"/>
          <w:szCs w:val="28"/>
          <w:lang w:val="uk-UA"/>
        </w:rPr>
        <w:t>3</w:t>
      </w:r>
      <w:r w:rsidRPr="00454ACA">
        <w:rPr>
          <w:bCs/>
          <w:sz w:val="28"/>
          <w:szCs w:val="28"/>
        </w:rPr>
        <w:t>]</w:t>
      </w:r>
      <w:r w:rsidRPr="00454ACA">
        <w:rPr>
          <w:bCs/>
          <w:sz w:val="28"/>
          <w:szCs w:val="28"/>
          <w:lang w:val="uk-UA"/>
        </w:rPr>
        <w:t>.</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З погляду правової теорії, інформаційна відкритість є умовою саморегуляції правопорядку. Відкрита інформація створює механізми зворотного зв’язку між владою та суспільством, уможливлює громадський контроль, публічний моніторинг та антикорупційні практики. Таким чином, відкритість виступає інструментом самокорекції влади, що дозволяє їй діяти у межах закону та на основі суспільних інтересів.</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Відкритість важлива складова публічного управління, яка визначається мірою безпосередньої участі громадян у діяльності органів публічної влади; виявляється у забезпеченні активного і реального впливу громадян та їх колективів на зміст публічно-управлінської діяльності через постановку вимог перед органами публічної влади щодо прийняття певних рішень, здійснення дій або утримання від них.</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З практичної точки зору, інформаційна відкритість сприяє формуванню ефективної системи публічного управління, у якій рішення приймаються з урахуванням інтересів громади та піддаються зовнішній оцінці. Вона також є одним із базових індикаторів демократичності держави, оскільки забезпечує довіру громадян до інституцій влади, знижує ризики корупції, зловживань і свавілля.</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Принцип відкритості відіграє важливу роль у формуванні демократичного суспільства. Тому реалізацію принципу відкритості у діяльності органів публічної влади можна розглядати як інструмент, який налаштовує двосторонній зв'язок між публічною в ла дою та громадянським суспільством [1, с. 128].</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 xml:space="preserve">У добу цифрової трансформації принцип відкритості набуває нового виміру. Завдяки інноваційним технологіям формується електронний простір </w:t>
      </w:r>
      <w:r w:rsidRPr="00454ACA">
        <w:rPr>
          <w:bCs/>
          <w:sz w:val="28"/>
          <w:szCs w:val="28"/>
          <w:lang w:val="uk-UA"/>
        </w:rPr>
        <w:lastRenderedPageBreak/>
        <w:t>публічності, де забезпечується вільний доступ до державних даних, відкритість судових рішень, прозорість державних закупівель і фінансових операцій. Ці процеси сприяють не лише підвищенню ефективності правового регулювання, а й створенню нової форми довіри між громадянином і державою, заснованої на цифровій прозорості.</w:t>
      </w:r>
    </w:p>
    <w:p w:rsidR="00076275" w:rsidRPr="00454ACA"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Однак інформаційна відкритість потребує балансу між правом на доступ і захистом персональних даних, приватності та державної таємниці. Демократичний правопорядок передбачає, що межі відкритості визначаються не свавільно, а виключно законом, з дотриманням принципу пропорційності.</w:t>
      </w:r>
    </w:p>
    <w:p w:rsidR="00076275" w:rsidRDefault="00076275" w:rsidP="00076275">
      <w:pPr>
        <w:shd w:val="clear" w:color="auto" w:fill="FFFFFF"/>
        <w:spacing w:line="360" w:lineRule="auto"/>
        <w:ind w:firstLine="709"/>
        <w:jc w:val="both"/>
        <w:rPr>
          <w:bCs/>
          <w:sz w:val="28"/>
          <w:szCs w:val="28"/>
          <w:lang w:val="uk-UA"/>
        </w:rPr>
      </w:pPr>
      <w:r w:rsidRPr="00454ACA">
        <w:rPr>
          <w:bCs/>
          <w:sz w:val="28"/>
          <w:szCs w:val="28"/>
          <w:lang w:val="uk-UA"/>
        </w:rPr>
        <w:t>Отже, інформаційна відкритість виступає не лише умовою, але й критерієм демократичного правопорядку. Вона визначає рівень зрілості держави, міру її підзвітності перед суспільством і здатність функціонувати у правовий спосіб. Саме завдяки відкритості формуються нові стандарти правового мислення, у яких прозорість і підзвітність стають невід’ємними рисами сучасної правової культури.</w:t>
      </w:r>
    </w:p>
    <w:p w:rsidR="00076275" w:rsidRPr="00454ACA" w:rsidRDefault="00076275" w:rsidP="00076275">
      <w:pPr>
        <w:shd w:val="clear" w:color="auto" w:fill="FFFFFF"/>
        <w:spacing w:line="360" w:lineRule="auto"/>
        <w:ind w:firstLine="709"/>
        <w:jc w:val="both"/>
        <w:rPr>
          <w:bCs/>
          <w:sz w:val="28"/>
          <w:szCs w:val="28"/>
          <w:lang w:val="uk-UA"/>
        </w:rPr>
      </w:pPr>
    </w:p>
    <w:p w:rsidR="00076275" w:rsidRPr="00454ACA" w:rsidRDefault="00076275" w:rsidP="00076275">
      <w:pPr>
        <w:suppressAutoHyphens/>
        <w:spacing w:line="360" w:lineRule="auto"/>
        <w:ind w:firstLine="709"/>
        <w:jc w:val="center"/>
        <w:rPr>
          <w:b/>
          <w:bCs/>
          <w:sz w:val="28"/>
          <w:szCs w:val="28"/>
          <w:lang w:eastAsia="ar-SA"/>
        </w:rPr>
      </w:pPr>
      <w:r w:rsidRPr="00454ACA">
        <w:rPr>
          <w:b/>
          <w:bCs/>
          <w:sz w:val="28"/>
          <w:szCs w:val="28"/>
          <w:lang w:val="uk-UA" w:eastAsia="ar-SA"/>
        </w:rPr>
        <w:t>СПИСОК ВИКОРИСТАНИХ ДЖЕРЕЛ</w:t>
      </w:r>
    </w:p>
    <w:p w:rsidR="00076275" w:rsidRPr="00454ACA" w:rsidRDefault="00076275" w:rsidP="00076275">
      <w:pPr>
        <w:numPr>
          <w:ilvl w:val="0"/>
          <w:numId w:val="19"/>
        </w:numPr>
        <w:suppressAutoHyphens/>
        <w:spacing w:line="360" w:lineRule="auto"/>
        <w:ind w:left="0" w:firstLine="709"/>
        <w:jc w:val="both"/>
        <w:rPr>
          <w:sz w:val="28"/>
          <w:szCs w:val="28"/>
          <w:lang w:eastAsia="ar-SA"/>
        </w:rPr>
      </w:pPr>
      <w:r w:rsidRPr="00454ACA">
        <w:rPr>
          <w:sz w:val="28"/>
          <w:szCs w:val="28"/>
          <w:lang w:val="uk-UA" w:eastAsia="ar-SA"/>
        </w:rPr>
        <w:t xml:space="preserve">Горбата Л. П. Інформаційна відкритість як принцип діяльності органів публічної влади. </w:t>
      </w:r>
      <w:r w:rsidRPr="00454ACA">
        <w:rPr>
          <w:sz w:val="28"/>
          <w:szCs w:val="28"/>
          <w:lang w:eastAsia="ar-SA"/>
        </w:rPr>
        <w:t>Інвестиції: практика та досвід № 3. 2018. С. 125-130. С. 128.</w:t>
      </w:r>
    </w:p>
    <w:p w:rsidR="00076275" w:rsidRPr="00454ACA" w:rsidRDefault="00076275" w:rsidP="00076275">
      <w:pPr>
        <w:numPr>
          <w:ilvl w:val="0"/>
          <w:numId w:val="19"/>
        </w:numPr>
        <w:suppressAutoHyphens/>
        <w:spacing w:line="360" w:lineRule="auto"/>
        <w:ind w:left="0" w:firstLine="709"/>
        <w:jc w:val="both"/>
        <w:rPr>
          <w:sz w:val="28"/>
          <w:szCs w:val="28"/>
          <w:lang w:eastAsia="ar-SA"/>
        </w:rPr>
      </w:pPr>
      <w:r w:rsidRPr="00454ACA">
        <w:rPr>
          <w:sz w:val="28"/>
          <w:szCs w:val="28"/>
          <w:lang w:eastAsia="ar-SA"/>
        </w:rPr>
        <w:t>Державне управління: європейські стандарти, досвід та адміністративне право. [В.Б. Авер'янов, В.А. Дерець, М.І. Ославський та і</w:t>
      </w:r>
      <w:proofErr w:type="gramStart"/>
      <w:r w:rsidRPr="00454ACA">
        <w:rPr>
          <w:sz w:val="28"/>
          <w:szCs w:val="28"/>
          <w:lang w:eastAsia="ar-SA"/>
        </w:rPr>
        <w:t>н</w:t>
      </w:r>
      <w:proofErr w:type="gramEnd"/>
      <w:r w:rsidRPr="00454ACA">
        <w:rPr>
          <w:sz w:val="28"/>
          <w:szCs w:val="28"/>
          <w:lang w:eastAsia="ar-SA"/>
        </w:rPr>
        <w:t>.]; За ред. В.Б. Авер'янова. К.: Юстиніан, 2007. 287 с. С. 277.</w:t>
      </w:r>
    </w:p>
    <w:p w:rsidR="00076275" w:rsidRPr="00454ACA" w:rsidRDefault="00076275" w:rsidP="00076275">
      <w:pPr>
        <w:numPr>
          <w:ilvl w:val="0"/>
          <w:numId w:val="19"/>
        </w:numPr>
        <w:suppressAutoHyphens/>
        <w:spacing w:line="360" w:lineRule="auto"/>
        <w:ind w:left="0" w:firstLine="709"/>
        <w:jc w:val="both"/>
        <w:rPr>
          <w:sz w:val="28"/>
          <w:szCs w:val="28"/>
          <w:lang w:eastAsia="ar-SA"/>
        </w:rPr>
      </w:pPr>
      <w:r w:rsidRPr="00454ACA">
        <w:rPr>
          <w:sz w:val="28"/>
          <w:szCs w:val="28"/>
          <w:lang w:eastAsia="ar-SA"/>
        </w:rPr>
        <w:t xml:space="preserve">Тимошенко Н.В. Співвідношення принципів відкритості та прозорості в діяльності органів місцевого самоврядування: "сіамські близнюки" чи узгоджена пара? Ефективність державного управління. 2015. Вип. 44 (1). С. 125-131. </w:t>
      </w:r>
      <w:r w:rsidRPr="00454ACA">
        <w:rPr>
          <w:sz w:val="28"/>
          <w:szCs w:val="28"/>
          <w:lang w:val="en-US" w:eastAsia="ar-SA"/>
        </w:rPr>
        <w:t>URL</w:t>
      </w:r>
      <w:r w:rsidRPr="00454ACA">
        <w:rPr>
          <w:sz w:val="28"/>
          <w:szCs w:val="28"/>
          <w:lang w:eastAsia="ar-SA"/>
        </w:rPr>
        <w:t>: http://nbuv.gov.ua/UJRN/efdu_2015_44%281%29__17</w:t>
      </w:r>
    </w:p>
    <w:p w:rsidR="00076275" w:rsidRPr="00454ACA" w:rsidRDefault="00076275" w:rsidP="00076275">
      <w:pPr>
        <w:numPr>
          <w:ilvl w:val="0"/>
          <w:numId w:val="19"/>
        </w:numPr>
        <w:suppressAutoHyphens/>
        <w:spacing w:line="360" w:lineRule="auto"/>
        <w:ind w:left="0" w:firstLine="709"/>
        <w:jc w:val="both"/>
        <w:rPr>
          <w:sz w:val="28"/>
          <w:szCs w:val="28"/>
          <w:lang w:eastAsia="ar-SA"/>
        </w:rPr>
      </w:pPr>
      <w:r w:rsidRPr="00454ACA">
        <w:rPr>
          <w:sz w:val="28"/>
          <w:szCs w:val="28"/>
          <w:lang w:eastAsia="ar-SA"/>
        </w:rPr>
        <w:t>Тихомирова Є.Б. Транспарентність і відкритість діяльності влади та шляхи їх забезпечення: наукові записки. Політологія. К.: Видавничий дім "КМ Academia", 2002. С. 39-43.</w:t>
      </w:r>
    </w:p>
    <w:p w:rsidR="00076275" w:rsidRPr="00454ACA" w:rsidRDefault="00076275" w:rsidP="00076275">
      <w:pPr>
        <w:numPr>
          <w:ilvl w:val="0"/>
          <w:numId w:val="19"/>
        </w:numPr>
        <w:suppressAutoHyphens/>
        <w:spacing w:line="360" w:lineRule="auto"/>
        <w:ind w:left="0" w:firstLine="709"/>
        <w:jc w:val="both"/>
        <w:rPr>
          <w:sz w:val="28"/>
          <w:szCs w:val="28"/>
          <w:lang w:eastAsia="ar-SA"/>
        </w:rPr>
      </w:pPr>
      <w:r w:rsidRPr="00454ACA">
        <w:rPr>
          <w:sz w:val="28"/>
          <w:szCs w:val="28"/>
          <w:lang w:eastAsia="ar-SA"/>
        </w:rPr>
        <w:lastRenderedPageBreak/>
        <w:t>Шевчук Б.М. Європейські принципи належного врядування та реформа системи органів виконавчої вл</w:t>
      </w:r>
      <w:r w:rsidRPr="00454ACA">
        <w:rPr>
          <w:sz w:val="28"/>
          <w:szCs w:val="28"/>
          <w:lang w:val="en-US" w:eastAsia="ar-SA"/>
        </w:rPr>
        <w:t>a</w:t>
      </w:r>
      <w:r w:rsidRPr="00454ACA">
        <w:rPr>
          <w:sz w:val="28"/>
          <w:szCs w:val="28"/>
          <w:lang w:eastAsia="ar-SA"/>
        </w:rPr>
        <w:t xml:space="preserve">ди в Україні. Демократичне врядування. 2012. Вип. 9. </w:t>
      </w:r>
      <w:r w:rsidRPr="00454ACA">
        <w:rPr>
          <w:sz w:val="28"/>
          <w:szCs w:val="28"/>
          <w:lang w:val="en-US" w:eastAsia="ar-SA"/>
        </w:rPr>
        <w:t>URL</w:t>
      </w:r>
      <w:r w:rsidRPr="00454ACA">
        <w:rPr>
          <w:sz w:val="28"/>
          <w:szCs w:val="28"/>
          <w:lang w:eastAsia="ar-SA"/>
        </w:rPr>
        <w:t>:http://nbuv.gov.ua/UJRN/DeVr_2012_9_8</w:t>
      </w:r>
    </w:p>
    <w:p w:rsidR="00076275" w:rsidRPr="00454ACA" w:rsidRDefault="00076275" w:rsidP="00076275">
      <w:pPr>
        <w:spacing w:line="360" w:lineRule="auto"/>
        <w:ind w:firstLine="709"/>
        <w:rPr>
          <w:rFonts w:eastAsiaTheme="minorHAnsi"/>
          <w:kern w:val="2"/>
          <w:sz w:val="28"/>
          <w:szCs w:val="28"/>
          <w:lang w:eastAsia="en-US"/>
        </w:rPr>
      </w:pPr>
    </w:p>
    <w:p w:rsidR="00076275" w:rsidRPr="00BA6A46" w:rsidRDefault="00076275" w:rsidP="00076275">
      <w:pPr>
        <w:spacing w:line="360" w:lineRule="auto"/>
        <w:ind w:firstLine="709"/>
        <w:jc w:val="both"/>
        <w:rPr>
          <w:rFonts w:eastAsiaTheme="minorHAnsi"/>
          <w:sz w:val="28"/>
          <w:szCs w:val="28"/>
          <w:lang w:eastAsia="en-US"/>
        </w:rPr>
      </w:pPr>
    </w:p>
    <w:p w:rsidR="00076275" w:rsidRPr="00A95413" w:rsidRDefault="00076275" w:rsidP="00076275">
      <w:pPr>
        <w:widowControl w:val="0"/>
        <w:autoSpaceDE w:val="0"/>
        <w:autoSpaceDN w:val="0"/>
        <w:adjustRightInd w:val="0"/>
        <w:spacing w:line="360" w:lineRule="auto"/>
        <w:ind w:firstLine="709"/>
        <w:jc w:val="center"/>
        <w:rPr>
          <w:b/>
          <w:sz w:val="28"/>
          <w:szCs w:val="28"/>
          <w:lang w:val="uk-UA"/>
        </w:rPr>
      </w:pPr>
      <w:r w:rsidRPr="00A95413">
        <w:rPr>
          <w:b/>
          <w:sz w:val="28"/>
          <w:szCs w:val="28"/>
          <w:lang w:val="uk-UA"/>
        </w:rPr>
        <w:t>АКТУАЛЬНІ ПИТАННЯ ВИЗНАННЯ МЕДИЧНИХ КВАЛІФІКАЦІЙ У ПРАВІ ЄВРОСОЮЗУ</w:t>
      </w:r>
    </w:p>
    <w:p w:rsidR="00076275" w:rsidRPr="00A95413" w:rsidRDefault="00076275" w:rsidP="00076275">
      <w:pPr>
        <w:widowControl w:val="0"/>
        <w:autoSpaceDE w:val="0"/>
        <w:autoSpaceDN w:val="0"/>
        <w:adjustRightInd w:val="0"/>
        <w:spacing w:line="360" w:lineRule="auto"/>
        <w:ind w:firstLine="709"/>
        <w:jc w:val="center"/>
        <w:rPr>
          <w:b/>
          <w:bCs/>
          <w:i/>
          <w:iCs/>
          <w:sz w:val="28"/>
          <w:szCs w:val="28"/>
          <w:lang w:val="uk-UA"/>
        </w:rPr>
      </w:pPr>
      <w:r w:rsidRPr="00A95413">
        <w:rPr>
          <w:b/>
          <w:bCs/>
          <w:i/>
          <w:iCs/>
          <w:sz w:val="28"/>
          <w:szCs w:val="28"/>
          <w:lang w:val="uk-UA"/>
        </w:rPr>
        <w:t>Матеуш Годован</w:t>
      </w:r>
    </w:p>
    <w:p w:rsidR="00076275" w:rsidRPr="00A95413" w:rsidRDefault="00076275" w:rsidP="00076275">
      <w:pPr>
        <w:widowControl w:val="0"/>
        <w:tabs>
          <w:tab w:val="left" w:pos="-567"/>
        </w:tabs>
        <w:autoSpaceDE w:val="0"/>
        <w:autoSpaceDN w:val="0"/>
        <w:adjustRightInd w:val="0"/>
        <w:spacing w:line="360" w:lineRule="auto"/>
        <w:ind w:firstLine="709"/>
        <w:jc w:val="center"/>
        <w:rPr>
          <w:i/>
          <w:iCs/>
          <w:sz w:val="28"/>
          <w:szCs w:val="28"/>
          <w:lang w:val="uk-UA"/>
        </w:rPr>
      </w:pPr>
      <w:r w:rsidRPr="00A95413">
        <w:rPr>
          <w:i/>
          <w:iCs/>
          <w:sz w:val="28"/>
          <w:szCs w:val="28"/>
          <w:lang w:val="uk-UA"/>
        </w:rPr>
        <w:t>Здобувач 1 курсу третього (освітньо-наукового) рівня вищої</w:t>
      </w:r>
    </w:p>
    <w:p w:rsidR="00076275" w:rsidRPr="00A95413" w:rsidRDefault="00076275" w:rsidP="00076275">
      <w:pPr>
        <w:widowControl w:val="0"/>
        <w:tabs>
          <w:tab w:val="left" w:pos="-567"/>
        </w:tabs>
        <w:autoSpaceDE w:val="0"/>
        <w:autoSpaceDN w:val="0"/>
        <w:adjustRightInd w:val="0"/>
        <w:spacing w:line="360" w:lineRule="auto"/>
        <w:ind w:firstLine="709"/>
        <w:jc w:val="center"/>
        <w:rPr>
          <w:i/>
          <w:iCs/>
          <w:sz w:val="28"/>
          <w:szCs w:val="28"/>
          <w:lang w:val="uk-UA"/>
        </w:rPr>
      </w:pPr>
      <w:r w:rsidRPr="00A95413">
        <w:rPr>
          <w:i/>
          <w:iCs/>
          <w:sz w:val="28"/>
          <w:szCs w:val="28"/>
          <w:lang w:val="uk-UA"/>
        </w:rPr>
        <w:t>освіти доктора філософії,</w:t>
      </w:r>
    </w:p>
    <w:p w:rsidR="00076275" w:rsidRPr="00A95413" w:rsidRDefault="00076275" w:rsidP="00076275">
      <w:pPr>
        <w:widowControl w:val="0"/>
        <w:tabs>
          <w:tab w:val="left" w:pos="-426"/>
        </w:tabs>
        <w:autoSpaceDE w:val="0"/>
        <w:autoSpaceDN w:val="0"/>
        <w:adjustRightInd w:val="0"/>
        <w:spacing w:line="360" w:lineRule="auto"/>
        <w:ind w:firstLine="709"/>
        <w:jc w:val="center"/>
        <w:rPr>
          <w:i/>
          <w:iCs/>
          <w:sz w:val="28"/>
          <w:szCs w:val="28"/>
          <w:lang w:val="uk-UA"/>
        </w:rPr>
      </w:pPr>
      <w:r w:rsidRPr="00A95413">
        <w:rPr>
          <w:i/>
          <w:iCs/>
          <w:sz w:val="28"/>
          <w:szCs w:val="28"/>
          <w:lang w:val="uk-UA"/>
        </w:rPr>
        <w:t xml:space="preserve">спеціальності </w:t>
      </w:r>
      <w:r w:rsidRPr="00A95413">
        <w:rPr>
          <w:i/>
          <w:iCs/>
          <w:sz w:val="28"/>
          <w:szCs w:val="28"/>
          <w:lang w:val="en-US"/>
        </w:rPr>
        <w:t>D</w:t>
      </w:r>
      <w:r w:rsidRPr="00A95413">
        <w:rPr>
          <w:i/>
          <w:iCs/>
          <w:sz w:val="28"/>
          <w:szCs w:val="28"/>
        </w:rPr>
        <w:t>9</w:t>
      </w:r>
      <w:r w:rsidRPr="00A95413">
        <w:rPr>
          <w:i/>
          <w:iCs/>
          <w:sz w:val="28"/>
          <w:szCs w:val="28"/>
          <w:lang w:val="uk-UA"/>
        </w:rPr>
        <w:t xml:space="preserve"> «Міжнародне право»,</w:t>
      </w:r>
    </w:p>
    <w:p w:rsidR="00076275" w:rsidRPr="00A95413" w:rsidRDefault="00076275" w:rsidP="00076275">
      <w:pPr>
        <w:widowControl w:val="0"/>
        <w:tabs>
          <w:tab w:val="left" w:pos="-426"/>
        </w:tabs>
        <w:autoSpaceDE w:val="0"/>
        <w:autoSpaceDN w:val="0"/>
        <w:adjustRightInd w:val="0"/>
        <w:spacing w:line="360" w:lineRule="auto"/>
        <w:ind w:firstLine="709"/>
        <w:jc w:val="center"/>
        <w:rPr>
          <w:i/>
          <w:iCs/>
          <w:sz w:val="28"/>
          <w:szCs w:val="28"/>
          <w:lang w:val="uk-UA"/>
        </w:rPr>
      </w:pPr>
      <w:r w:rsidRPr="00A95413">
        <w:rPr>
          <w:i/>
          <w:iCs/>
          <w:sz w:val="28"/>
          <w:szCs w:val="28"/>
          <w:lang w:val="uk-UA"/>
        </w:rPr>
        <w:t>кафедри морського та міжнародного права</w:t>
      </w:r>
    </w:p>
    <w:p w:rsidR="00076275" w:rsidRPr="00A95413" w:rsidRDefault="00076275" w:rsidP="00076275">
      <w:pPr>
        <w:widowControl w:val="0"/>
        <w:tabs>
          <w:tab w:val="left" w:pos="-426"/>
        </w:tabs>
        <w:autoSpaceDE w:val="0"/>
        <w:autoSpaceDN w:val="0"/>
        <w:adjustRightInd w:val="0"/>
        <w:spacing w:line="360" w:lineRule="auto"/>
        <w:ind w:firstLine="709"/>
        <w:jc w:val="center"/>
        <w:rPr>
          <w:i/>
          <w:iCs/>
          <w:sz w:val="28"/>
          <w:szCs w:val="28"/>
          <w:lang w:val="uk-UA"/>
        </w:rPr>
      </w:pPr>
      <w:r w:rsidRPr="00A95413">
        <w:rPr>
          <w:i/>
          <w:iCs/>
          <w:sz w:val="28"/>
          <w:szCs w:val="28"/>
          <w:lang w:val="uk-UA"/>
        </w:rPr>
        <w:t>Міжнародного університету</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Законодавство Євросоюзу про медичну освіту та кваліфікації, забезпечує гармонізовані високоякісні стандарти в усіх державах-членах для сприяння визнанню кваліфікацій. Воно передбачає мінімальні вимоги до навчання, зокрема академічної та практичної підготовки.</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Раніше ключовим актом у цій сфері була директива Ради ЄС 93/16/ЄЕС від 5 квітня 1993 року щодо сприяння вільному пересуванню лікарів та взаємного визнання їхніх дипломів, сертифікатів та інших підтверджень формальної кваліфікації, скасована та замінена директивою 2005/36/ЄС у 2007 році.</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Директива 93/16/ЄЕС, у свою чергу, стала консолідованою версією всіх директив, спрямованих на сприяння вільному пересуванню лікарів, які були прийняті з 1975 року. Цей акт передбачав автоматичне визнання в кожній державі-члені дипломів, сертифікатів та інших підтверджень формальної кваліфікації, які були видані громадянам держав-членів іншими державами-членами та засвідчують завершення базової підготовки або спеціалізованої підготовки, спільної для всіх держав ЄС або для деяких держав-членів [1].</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 xml:space="preserve">В останньому випадку автоматичне визнання обмежувалося тими державами-членами, які забезпечують відповідну підготовку. Крім того, якщо </w:t>
      </w:r>
      <w:r w:rsidRPr="00A95413">
        <w:rPr>
          <w:sz w:val="28"/>
          <w:szCs w:val="28"/>
          <w:lang w:val="uk-UA"/>
        </w:rPr>
        <w:lastRenderedPageBreak/>
        <w:t>спеціалізована підготовка не була згадана в директивах або, хоча згадана в них, була відсутня в державі-члені, з якої прибуває іноземний громадянин, приймаюча держава-член могла зобов'язати його виконати умови навчання, що вимагаються її власними правилами; однак вона була повинна враховувати періоди навчання, завершені в державі-члені, з якої він приїжджає.</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Директива 93/16/ЄЕС додавала, що якщо приймаюча держава-член вимагає від своїх громадян підтвердження доброї репутації або доброї поведінки, коли вони вперше розпочинають будь-яку діяльність лікаря, достатнім її доказом мав бути сертифікат, виданий компетентним органом держави-члена, з якої приїжджає іноземний громадянин.</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Наразі питання визнання медичної кваліфікації регламентується у праві Євросоюзу у першу чергу директивою Європарламенту і Ради ЄС 2005/36/ЄС від 7 вересня 2005 року про визнання професійних кваліфікацій [2].</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Цей документ у ст. 21 встановлює принцип автоматичного визнання, який передбачає, що кожна держава Євросоюзу має визнавати видане в іншій країні ЄС підтвердження офіційної кваліфікації лікаря, яке надає доступ до здійснення професійної діяльності лікаря з базовою підготовкою та лікаря-спеціаліста.</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Також мають визнаватися відповідні підтвердження офіційної кваліфікації медсестри або медбрата загальної практики, лікаря-стоматолога, як загального так й спеціалізованого, а також хірурга й фармацевта, які відповідають мінімальним умовам підготовки, зазначеним у цій директиві.</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При цьому держави ЄС мають, для забезпечення доступу та здійснення такої професійної діяльності, надавати відповідним підтвердженням з іншої країни Євросоюзу на своїй територію юридичну силу, рівнозначну юридичній силі підтверджень офіційної кваліфікації, які вона сама видає.</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Такі підтвердження офіційної кваліфікації мають видаватися компетентними органами держав ЄС та супроводжуватися у відповідних випадках сертифікатами. Аналогічні вимоги поширені на видачу підтвердження офіційної кваліфікації акушера, які видані громадянам держав-членів іншими державами-членами.</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 xml:space="preserve">Також ця директива вимагає, щоб кожна держава ЄС зробила умовою </w:t>
      </w:r>
      <w:r w:rsidRPr="00A95413">
        <w:rPr>
          <w:sz w:val="28"/>
          <w:szCs w:val="28"/>
          <w:lang w:val="uk-UA"/>
        </w:rPr>
        <w:lastRenderedPageBreak/>
        <w:t>доступу до професії та здійснення професійної діяльності лікаря, медсестри чи медбрата загальної практики, лікаря-стоматолога, акушера та фармацевта, які засвідчують набуття конкретним фахівцем у відповідних випадках упродовж його підготовки знань, навичок та компетентностей [2].</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При цьому у директиві окремо зазначене, що такі оновлення не передбачають внесення змін до наявних основних законодавчих принципів держав-членів стосовно структури професій з точки зору підготовки та умов доступу фізичних осіб, та що такі оновлення повинні враховувати відповідальність держав-членів щодо організації освітніх систем, як визначено в статті 165 (1) Договору про функціонування ЄС.</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Варт додати, що відповідно до цієї норми Договору Євросоюз має спрямовує власну діяльність на розвиток європейського виміру в освіті, на підтримку співпраці навчальних закладів; на заохочення мобільності викладачів й студентів, включаючи заохочення академічного визнання строків навчання й дипломів; на розвиток обміну досвідом та інформацією стосовно питань, які є спільними для освітніх систем держав ЄС; та на сприяння розвитку дистанційного навчання [3].</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Крім того, у статті 24 директиви 2005/36/ЄС 2005 року відзначене, що умовою допуску до базової медичної підготовки в країнах Євросоюзу має бути наявність диплома, свідоцтва чи сертифіката, що надає доступ до відповідного університетського навчання. При цьому тривалість навчання особи для отримання відповідної базової медичної підготовки має складати не менше п’яти років, вона може також бути еквівалентно виражена в кредитах ЄКТС але при цьому відповідна тривалість повинна охоплювати не менше 5500 годин практичної та теоретичної підготовки в межах закладу вищої освіти або під його наглядом.</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При цьому спеціально підкреслене що базова медична підготовка має забезпечувати здобуття відповідною особою конкретної системи навичок та знань</w:t>
      </w:r>
      <w:r w:rsidRPr="00A95413">
        <w:rPr>
          <w:sz w:val="28"/>
          <w:szCs w:val="28"/>
        </w:rPr>
        <w:t xml:space="preserve">. </w:t>
      </w:r>
      <w:r w:rsidRPr="00A95413">
        <w:rPr>
          <w:sz w:val="28"/>
          <w:szCs w:val="28"/>
          <w:lang w:val="uk-UA"/>
        </w:rPr>
        <w:t xml:space="preserve">До цієї системи має бути включеним необхідний рівень знань з наук, які лежать в самій основі медицини, та водночас ця система повинна включати належне розуміння особою наукових методів, серед іншого принципів </w:t>
      </w:r>
      <w:r w:rsidRPr="00A95413">
        <w:rPr>
          <w:sz w:val="28"/>
          <w:szCs w:val="28"/>
          <w:lang w:val="uk-UA"/>
        </w:rPr>
        <w:lastRenderedPageBreak/>
        <w:t>оцінювання науково встановлених фактів</w:t>
      </w:r>
      <w:r w:rsidRPr="00A95413">
        <w:rPr>
          <w:sz w:val="28"/>
          <w:szCs w:val="28"/>
        </w:rPr>
        <w:t>,</w:t>
      </w:r>
      <w:r w:rsidRPr="00A95413">
        <w:rPr>
          <w:sz w:val="28"/>
          <w:szCs w:val="28"/>
          <w:lang w:val="uk-UA"/>
        </w:rPr>
        <w:t xml:space="preserve"> визначення показників біологічних функцій, та аналізу відповідних даних [2].</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Крім того</w:t>
      </w:r>
      <w:r w:rsidRPr="00A95413">
        <w:rPr>
          <w:sz w:val="28"/>
          <w:szCs w:val="28"/>
        </w:rPr>
        <w:t xml:space="preserve">, </w:t>
      </w:r>
      <w:r w:rsidRPr="00A95413">
        <w:rPr>
          <w:sz w:val="28"/>
          <w:szCs w:val="28"/>
          <w:lang w:val="uk-UA"/>
        </w:rPr>
        <w:t>відповідна базова медична підготовка</w:t>
      </w:r>
      <w:r w:rsidRPr="00A95413">
        <w:rPr>
          <w:sz w:val="28"/>
          <w:szCs w:val="28"/>
        </w:rPr>
        <w:t xml:space="preserve">, </w:t>
      </w:r>
      <w:r w:rsidRPr="00A95413">
        <w:rPr>
          <w:sz w:val="28"/>
          <w:szCs w:val="28"/>
          <w:lang w:val="uk-UA"/>
        </w:rPr>
        <w:t>згідно цієї директиви</w:t>
      </w:r>
      <w:r w:rsidRPr="00A95413">
        <w:rPr>
          <w:sz w:val="28"/>
          <w:szCs w:val="28"/>
        </w:rPr>
        <w:t>,</w:t>
      </w:r>
      <w:r w:rsidRPr="00A95413">
        <w:rPr>
          <w:sz w:val="28"/>
          <w:szCs w:val="28"/>
          <w:lang w:val="uk-UA"/>
        </w:rPr>
        <w:t xml:space="preserve"> повинна включати у себе достатнє розуміння особою структури організму, поведінки й функцій хворих чи здорових людей, та водночас зв’язок між соціальним і фізичним оточенням людини та станом його здоров’я</w:t>
      </w:r>
      <w:r w:rsidRPr="00A95413">
        <w:rPr>
          <w:sz w:val="28"/>
          <w:szCs w:val="28"/>
        </w:rPr>
        <w:t xml:space="preserve">. </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Щобільше</w:t>
      </w:r>
      <w:r w:rsidRPr="00A95413">
        <w:rPr>
          <w:sz w:val="28"/>
          <w:szCs w:val="28"/>
        </w:rPr>
        <w:t xml:space="preserve">, </w:t>
      </w:r>
      <w:r w:rsidRPr="00A95413">
        <w:rPr>
          <w:sz w:val="28"/>
          <w:szCs w:val="28"/>
          <w:lang w:val="uk-UA"/>
        </w:rPr>
        <w:t>така медична підготовка має охоплювати досвід належного клінічного досвіду в лікарнях під відповідним медичним наглядом та вона повинна містити необхідний рівень знань з клінічних практик та дисциплін, що надають особі цілісне уявлення про медицину у вимірі профілактики, про фізичні та психічні захворювання, так саме як терапію й діагностику у вимірі репродуктивної діяльності людини</w:t>
      </w:r>
      <w:r w:rsidRPr="00A95413">
        <w:rPr>
          <w:sz w:val="28"/>
          <w:szCs w:val="28"/>
        </w:rPr>
        <w:t>.</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Додатково у статті 25 директиви 2005/36/ЄС міститься вимога до спеціальної медичної підготовки особи</w:t>
      </w:r>
      <w:r w:rsidRPr="00A95413">
        <w:rPr>
          <w:sz w:val="28"/>
          <w:szCs w:val="28"/>
        </w:rPr>
        <w:t xml:space="preserve">, </w:t>
      </w:r>
      <w:r w:rsidRPr="00A95413">
        <w:rPr>
          <w:sz w:val="28"/>
          <w:szCs w:val="28"/>
          <w:lang w:val="uk-UA"/>
        </w:rPr>
        <w:t>яка має складатися з практичної та теоретичної підготовки в університетській лікарні</w:t>
      </w:r>
      <w:r w:rsidRPr="00A95413">
        <w:rPr>
          <w:sz w:val="28"/>
          <w:szCs w:val="28"/>
        </w:rPr>
        <w:t xml:space="preserve">, </w:t>
      </w:r>
      <w:r w:rsidRPr="00A95413">
        <w:rPr>
          <w:sz w:val="28"/>
          <w:szCs w:val="28"/>
          <w:lang w:val="uk-UA"/>
        </w:rPr>
        <w:t>або в університеті або у затвердженому національними органами медичному закладі. Така медична підготовка особи має надаватися на умовах повного навантаження у спеціальних закладах, які мають правовий та організаційний режим визнання компетентними національними органами [2].</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Така підготовка має передбачати участь особи у всіх видах медичної діяльності медичної структури, у якому відбувається підготовка, серед іншого й участь особи у чергуваннях за викликом, щоб стажист мав можливість присвячувати власну оплачувану професійну діяльність, відповідно до медичної спеціалізації, теоретичній та практичній підготовці у режимі повного робочого тижня упродовж року згідно з процедурами, встановлених уповноваженими національними органами.</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Окремо у статті 28 директиви 2005/36/ЄС окреслюється специфіка спеціальної підготовки з загальної медичної практики</w:t>
      </w:r>
      <w:r w:rsidRPr="00A95413">
        <w:rPr>
          <w:sz w:val="28"/>
          <w:szCs w:val="28"/>
        </w:rPr>
        <w:t xml:space="preserve">. </w:t>
      </w:r>
      <w:r w:rsidRPr="00A95413">
        <w:rPr>
          <w:sz w:val="28"/>
          <w:szCs w:val="28"/>
          <w:lang w:val="uk-UA"/>
        </w:rPr>
        <w:t xml:space="preserve">Відповідно до документу таку підготовку особи слід здійснювати щонайменш протягом півроку у затвердженій лікарні, яка надає відповідні послуги та має релевантне обладнання та після цього, протягом не менше півроку у затвердженому </w:t>
      </w:r>
      <w:r w:rsidRPr="00A95413">
        <w:rPr>
          <w:sz w:val="28"/>
          <w:szCs w:val="28"/>
          <w:lang w:val="uk-UA"/>
        </w:rPr>
        <w:lastRenderedPageBreak/>
        <w:t>національними органами центрі первинної медико-санітарної допомоги або у форматі схваленими ними загальної медичної практики</w:t>
      </w:r>
      <w:r w:rsidRPr="00A95413">
        <w:rPr>
          <w:sz w:val="28"/>
          <w:szCs w:val="28"/>
        </w:rPr>
        <w:t>.</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Ця стаття директиви 2005/36/ЄС дозволяє</w:t>
      </w:r>
      <w:r w:rsidRPr="00A95413">
        <w:rPr>
          <w:sz w:val="28"/>
          <w:szCs w:val="28"/>
        </w:rPr>
        <w:t xml:space="preserve">, </w:t>
      </w:r>
      <w:r w:rsidRPr="00A95413">
        <w:rPr>
          <w:sz w:val="28"/>
          <w:szCs w:val="28"/>
          <w:lang w:val="uk-UA"/>
        </w:rPr>
        <w:t>щоб практична підготовка відбувалася й із залученням структур загальної медицини та закладів охорони здоров’я, але там відповідна практична підготовка може здійснюватися тільки додатково до описаної вище та протягом не більше півроку. При цьому робиться особливий наголос на тому, що така підготовка вимагає особистої участі стажиста у виконанні встановлених у відповідній установі обов’язків та у здійсненні відповідної професійної діяльності [2].</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 xml:space="preserve">Таким чином правове регулювання аспектів визнання медичних кваліфікацій у Євросоюзу перебуває у процесі динамічного розвитку. </w:t>
      </w:r>
    </w:p>
    <w:p w:rsidR="00076275" w:rsidRPr="00A95413" w:rsidRDefault="00076275" w:rsidP="00076275">
      <w:pPr>
        <w:widowControl w:val="0"/>
        <w:autoSpaceDE w:val="0"/>
        <w:autoSpaceDN w:val="0"/>
        <w:adjustRightInd w:val="0"/>
        <w:spacing w:line="360" w:lineRule="auto"/>
        <w:ind w:firstLine="709"/>
        <w:jc w:val="center"/>
        <w:rPr>
          <w:b/>
          <w:sz w:val="28"/>
          <w:szCs w:val="28"/>
          <w:lang w:val="uk-UA"/>
        </w:rPr>
      </w:pPr>
    </w:p>
    <w:p w:rsidR="00076275" w:rsidRPr="00A95413" w:rsidRDefault="00076275" w:rsidP="00076275">
      <w:pPr>
        <w:widowControl w:val="0"/>
        <w:autoSpaceDE w:val="0"/>
        <w:autoSpaceDN w:val="0"/>
        <w:adjustRightInd w:val="0"/>
        <w:spacing w:line="360" w:lineRule="auto"/>
        <w:ind w:firstLine="709"/>
        <w:jc w:val="center"/>
        <w:rPr>
          <w:b/>
          <w:sz w:val="28"/>
          <w:szCs w:val="28"/>
          <w:lang w:val="uk-UA"/>
        </w:rPr>
      </w:pPr>
      <w:r w:rsidRPr="00A95413">
        <w:rPr>
          <w:b/>
          <w:sz w:val="28"/>
          <w:szCs w:val="28"/>
          <w:lang w:val="uk-UA"/>
        </w:rPr>
        <w:t>СПИСОК ВИКОРИСТАНИХ ДЖЕРЕЛ</w:t>
      </w:r>
    </w:p>
    <w:p w:rsidR="00076275" w:rsidRPr="00A95413" w:rsidRDefault="00076275" w:rsidP="00076275">
      <w:pPr>
        <w:widowControl w:val="0"/>
        <w:autoSpaceDE w:val="0"/>
        <w:autoSpaceDN w:val="0"/>
        <w:adjustRightInd w:val="0"/>
        <w:spacing w:line="360" w:lineRule="auto"/>
        <w:ind w:firstLine="709"/>
        <w:jc w:val="both"/>
        <w:rPr>
          <w:sz w:val="28"/>
          <w:szCs w:val="28"/>
        </w:rPr>
      </w:pPr>
      <w:r w:rsidRPr="00A95413">
        <w:rPr>
          <w:sz w:val="28"/>
          <w:szCs w:val="28"/>
          <w:lang w:val="uk-UA"/>
        </w:rPr>
        <w:t xml:space="preserve">1. Medicine: mutual recognition of qualifications. Council Directive 93/16/EEC of 5 April 1993 to facilitate the free movement of doctors and the mutual recognition of their diplomas, certificates and other evidence of formal qualifications. </w:t>
      </w:r>
      <w:r w:rsidRPr="00A95413">
        <w:rPr>
          <w:sz w:val="28"/>
          <w:szCs w:val="28"/>
          <w:lang w:val="en-US"/>
        </w:rPr>
        <w:t>EU</w:t>
      </w:r>
      <w:r w:rsidRPr="00A95413">
        <w:rPr>
          <w:sz w:val="28"/>
          <w:szCs w:val="28"/>
        </w:rPr>
        <w:t xml:space="preserve">. </w:t>
      </w:r>
      <w:r w:rsidRPr="00A95413">
        <w:rPr>
          <w:sz w:val="28"/>
          <w:szCs w:val="28"/>
          <w:lang w:val="en-US"/>
        </w:rPr>
        <w:t>URL</w:t>
      </w:r>
      <w:r w:rsidRPr="00A95413">
        <w:rPr>
          <w:sz w:val="28"/>
          <w:szCs w:val="28"/>
          <w:lang w:val="uk-UA"/>
        </w:rPr>
        <w:t>:</w:t>
      </w:r>
      <w:r w:rsidRPr="00A95413">
        <w:rPr>
          <w:sz w:val="28"/>
          <w:szCs w:val="28"/>
        </w:rPr>
        <w:t xml:space="preserve"> </w:t>
      </w:r>
      <w:hyperlink r:id="rId56" w:history="1">
        <w:r w:rsidRPr="00A95413">
          <w:rPr>
            <w:sz w:val="28"/>
            <w:szCs w:val="28"/>
            <w:lang w:val="uk-UA"/>
          </w:rPr>
          <w:t>https://eur-lex.europa.eu/legal-content/EN/TXT/HTML/?uri=LEGISSUM:l23021</w:t>
        </w:r>
      </w:hyperlink>
      <w:r w:rsidRPr="00A95413">
        <w:rPr>
          <w:sz w:val="28"/>
          <w:szCs w:val="28"/>
        </w:rPr>
        <w:t xml:space="preserve"> </w:t>
      </w:r>
      <w:r w:rsidRPr="00A95413">
        <w:rPr>
          <w:sz w:val="28"/>
          <w:szCs w:val="28"/>
          <w:lang w:val="uk-UA"/>
        </w:rPr>
        <w:t xml:space="preserve">(дата звернення </w:t>
      </w:r>
      <w:r w:rsidRPr="00A95413">
        <w:rPr>
          <w:sz w:val="28"/>
          <w:szCs w:val="28"/>
        </w:rPr>
        <w:t>17</w:t>
      </w:r>
      <w:r w:rsidRPr="00A95413">
        <w:rPr>
          <w:sz w:val="28"/>
          <w:szCs w:val="28"/>
          <w:lang w:val="uk-UA"/>
        </w:rPr>
        <w:t>.0</w:t>
      </w:r>
      <w:r w:rsidRPr="00A95413">
        <w:rPr>
          <w:sz w:val="28"/>
          <w:szCs w:val="28"/>
        </w:rPr>
        <w:t>2</w:t>
      </w:r>
      <w:r w:rsidRPr="00A95413">
        <w:rPr>
          <w:sz w:val="28"/>
          <w:szCs w:val="28"/>
          <w:lang w:val="uk-UA"/>
        </w:rPr>
        <w:t>.202</w:t>
      </w:r>
      <w:r w:rsidRPr="00A95413">
        <w:rPr>
          <w:sz w:val="28"/>
          <w:szCs w:val="28"/>
        </w:rPr>
        <w:t>6</w:t>
      </w:r>
      <w:r w:rsidRPr="00A95413">
        <w:rPr>
          <w:sz w:val="28"/>
          <w:szCs w:val="28"/>
          <w:lang w:val="uk-UA"/>
        </w:rPr>
        <w:t>).</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uk-UA"/>
        </w:rPr>
        <w:t xml:space="preserve">2. System for the recognition of professional qualifications. Directive 2005/36/EC on the recognition of professional qualifications. </w:t>
      </w:r>
      <w:r w:rsidRPr="00A95413">
        <w:rPr>
          <w:sz w:val="28"/>
          <w:szCs w:val="28"/>
          <w:lang w:val="en-US"/>
        </w:rPr>
        <w:t>EU</w:t>
      </w:r>
      <w:r w:rsidRPr="00A95413">
        <w:rPr>
          <w:sz w:val="28"/>
          <w:szCs w:val="28"/>
        </w:rPr>
        <w:t xml:space="preserve">. </w:t>
      </w:r>
      <w:r w:rsidRPr="00A95413">
        <w:rPr>
          <w:sz w:val="28"/>
          <w:szCs w:val="28"/>
          <w:lang w:val="en-US"/>
        </w:rPr>
        <w:t>URL</w:t>
      </w:r>
      <w:r w:rsidRPr="00A95413">
        <w:rPr>
          <w:sz w:val="28"/>
          <w:szCs w:val="28"/>
          <w:lang w:val="uk-UA"/>
        </w:rPr>
        <w:t>:</w:t>
      </w:r>
      <w:r w:rsidRPr="00A95413">
        <w:rPr>
          <w:sz w:val="28"/>
          <w:szCs w:val="28"/>
        </w:rPr>
        <w:t xml:space="preserve"> </w:t>
      </w:r>
      <w:hyperlink r:id="rId57" w:history="1">
        <w:r w:rsidRPr="00A95413">
          <w:rPr>
            <w:sz w:val="28"/>
            <w:szCs w:val="28"/>
            <w:lang w:val="uk-UA"/>
          </w:rPr>
          <w:t>https://eur-lex.europa.eu/legal-content/EN/TXT/?uri=LEGISSUM:c11065&amp;frontOfficeSuffix=%2F</w:t>
        </w:r>
      </w:hyperlink>
      <w:r w:rsidRPr="00A95413">
        <w:rPr>
          <w:sz w:val="28"/>
          <w:szCs w:val="28"/>
        </w:rPr>
        <w:t xml:space="preserve"> </w:t>
      </w:r>
      <w:r w:rsidRPr="00A95413">
        <w:rPr>
          <w:sz w:val="28"/>
          <w:szCs w:val="28"/>
          <w:lang w:val="uk-UA"/>
        </w:rPr>
        <w:t xml:space="preserve">(дата звернення </w:t>
      </w:r>
      <w:r w:rsidRPr="00A95413">
        <w:rPr>
          <w:sz w:val="28"/>
          <w:szCs w:val="28"/>
        </w:rPr>
        <w:t>17</w:t>
      </w:r>
      <w:r w:rsidRPr="00A95413">
        <w:rPr>
          <w:sz w:val="28"/>
          <w:szCs w:val="28"/>
          <w:lang w:val="uk-UA"/>
        </w:rPr>
        <w:t>.0</w:t>
      </w:r>
      <w:r w:rsidRPr="00A95413">
        <w:rPr>
          <w:sz w:val="28"/>
          <w:szCs w:val="28"/>
        </w:rPr>
        <w:t>2</w:t>
      </w:r>
      <w:r w:rsidRPr="00A95413">
        <w:rPr>
          <w:sz w:val="28"/>
          <w:szCs w:val="28"/>
          <w:lang w:val="uk-UA"/>
        </w:rPr>
        <w:t>.202</w:t>
      </w:r>
      <w:r w:rsidRPr="00A95413">
        <w:rPr>
          <w:sz w:val="28"/>
          <w:szCs w:val="28"/>
        </w:rPr>
        <w:t>6</w:t>
      </w:r>
      <w:r w:rsidRPr="00A95413">
        <w:rPr>
          <w:sz w:val="28"/>
          <w:szCs w:val="28"/>
          <w:lang w:val="uk-UA"/>
        </w:rPr>
        <w:t>).</w:t>
      </w:r>
    </w:p>
    <w:p w:rsidR="00076275" w:rsidRDefault="00076275" w:rsidP="00076275">
      <w:pPr>
        <w:widowControl w:val="0"/>
        <w:autoSpaceDE w:val="0"/>
        <w:autoSpaceDN w:val="0"/>
        <w:adjustRightInd w:val="0"/>
        <w:spacing w:line="360" w:lineRule="auto"/>
        <w:ind w:firstLine="709"/>
        <w:jc w:val="both"/>
        <w:rPr>
          <w:sz w:val="28"/>
          <w:szCs w:val="28"/>
          <w:lang w:val="uk-UA"/>
        </w:rPr>
      </w:pPr>
      <w:r w:rsidRPr="00A95413">
        <w:rPr>
          <w:sz w:val="28"/>
          <w:szCs w:val="28"/>
          <w:lang w:val="en-US"/>
        </w:rPr>
        <w:t>3</w:t>
      </w:r>
      <w:r w:rsidRPr="00A95413">
        <w:rPr>
          <w:sz w:val="28"/>
          <w:szCs w:val="28"/>
          <w:lang w:val="uk-UA"/>
        </w:rPr>
        <w:t xml:space="preserve">. Treaty on the Functioning of the European Union and Treaty on the Functioning of the European Union. Consolidated versions. </w:t>
      </w:r>
      <w:r w:rsidRPr="00A95413">
        <w:rPr>
          <w:sz w:val="28"/>
          <w:szCs w:val="28"/>
          <w:lang w:val="en-US"/>
        </w:rPr>
        <w:t>EU. URL</w:t>
      </w:r>
      <w:r w:rsidRPr="00A95413">
        <w:rPr>
          <w:sz w:val="28"/>
          <w:szCs w:val="28"/>
          <w:lang w:val="uk-UA"/>
        </w:rPr>
        <w:t>:</w:t>
      </w:r>
      <w:r w:rsidRPr="00A95413">
        <w:rPr>
          <w:sz w:val="28"/>
          <w:szCs w:val="28"/>
          <w:lang w:val="en-US"/>
        </w:rPr>
        <w:t xml:space="preserve"> </w:t>
      </w:r>
      <w:r w:rsidRPr="00A95413">
        <w:rPr>
          <w:sz w:val="28"/>
          <w:szCs w:val="28"/>
          <w:lang w:val="uk-UA"/>
        </w:rPr>
        <w:t>https://eur-lex.europa.eu/eli/treaty/tfeu_2012/oj/eng</w:t>
      </w:r>
      <w:r w:rsidRPr="00A95413">
        <w:rPr>
          <w:sz w:val="28"/>
          <w:szCs w:val="28"/>
          <w:lang w:val="en-US"/>
        </w:rPr>
        <w:t xml:space="preserve"> </w:t>
      </w:r>
      <w:r w:rsidRPr="00A95413">
        <w:rPr>
          <w:sz w:val="28"/>
          <w:szCs w:val="28"/>
          <w:lang w:val="uk-UA"/>
        </w:rPr>
        <w:t xml:space="preserve">(дата звернення </w:t>
      </w:r>
      <w:r w:rsidRPr="00A95413">
        <w:rPr>
          <w:sz w:val="28"/>
          <w:szCs w:val="28"/>
          <w:lang w:val="en-US"/>
        </w:rPr>
        <w:t>17</w:t>
      </w:r>
      <w:r w:rsidRPr="00A95413">
        <w:rPr>
          <w:sz w:val="28"/>
          <w:szCs w:val="28"/>
          <w:lang w:val="uk-UA"/>
        </w:rPr>
        <w:t>.0</w:t>
      </w:r>
      <w:r w:rsidRPr="00A95413">
        <w:rPr>
          <w:sz w:val="28"/>
          <w:szCs w:val="28"/>
          <w:lang w:val="en-US"/>
        </w:rPr>
        <w:t>2</w:t>
      </w:r>
      <w:r w:rsidRPr="00A95413">
        <w:rPr>
          <w:sz w:val="28"/>
          <w:szCs w:val="28"/>
          <w:lang w:val="uk-UA"/>
        </w:rPr>
        <w:t>.202</w:t>
      </w:r>
      <w:r w:rsidRPr="00A95413">
        <w:rPr>
          <w:sz w:val="28"/>
          <w:szCs w:val="28"/>
          <w:lang w:val="en-US"/>
        </w:rPr>
        <w:t>6</w:t>
      </w:r>
      <w:r w:rsidRPr="00A95413">
        <w:rPr>
          <w:sz w:val="28"/>
          <w:szCs w:val="28"/>
          <w:lang w:val="uk-UA"/>
        </w:rPr>
        <w:t>).</w:t>
      </w:r>
    </w:p>
    <w:p w:rsidR="00076275" w:rsidRDefault="00076275" w:rsidP="00076275">
      <w:pPr>
        <w:spacing w:line="276" w:lineRule="auto"/>
        <w:rPr>
          <w:sz w:val="28"/>
          <w:szCs w:val="28"/>
          <w:lang w:val="uk-UA"/>
        </w:rPr>
      </w:pPr>
    </w:p>
    <w:p w:rsidR="00076275" w:rsidRPr="00F02BA2" w:rsidRDefault="00076275" w:rsidP="00076275">
      <w:pPr>
        <w:spacing w:line="276" w:lineRule="auto"/>
        <w:rPr>
          <w:b/>
          <w:bCs/>
          <w:sz w:val="28"/>
          <w:szCs w:val="28"/>
          <w:lang w:val="en-US" w:eastAsia="uk-UA"/>
        </w:rPr>
      </w:pPr>
    </w:p>
    <w:p w:rsidR="00076275" w:rsidRDefault="00076275" w:rsidP="00076275">
      <w:pPr>
        <w:spacing w:line="276" w:lineRule="auto"/>
        <w:jc w:val="center"/>
        <w:rPr>
          <w:b/>
          <w:bCs/>
          <w:sz w:val="28"/>
          <w:szCs w:val="28"/>
          <w:lang w:eastAsia="uk-UA"/>
        </w:rPr>
      </w:pPr>
      <w:r w:rsidRPr="002C7958">
        <w:rPr>
          <w:b/>
          <w:bCs/>
          <w:sz w:val="28"/>
          <w:szCs w:val="28"/>
          <w:lang w:eastAsia="uk-UA"/>
        </w:rPr>
        <w:t xml:space="preserve">УНІФІКОВАНА СУДОВА ПРАКТИКА І ЇЇ ЗНАЧЕННЯ ДЛЯ РЕАЛІЗАЦІЇ ПРИНЦИПІВ ПРАВОВОЇ ВИЗНАЧЕНОСТІ </w:t>
      </w:r>
    </w:p>
    <w:p w:rsidR="00076275" w:rsidRPr="002C7958" w:rsidRDefault="00076275" w:rsidP="00076275">
      <w:pPr>
        <w:spacing w:line="276" w:lineRule="auto"/>
        <w:jc w:val="center"/>
        <w:rPr>
          <w:b/>
          <w:bCs/>
          <w:sz w:val="28"/>
          <w:szCs w:val="28"/>
          <w:lang w:eastAsia="uk-UA"/>
        </w:rPr>
      </w:pPr>
      <w:r w:rsidRPr="002C7958">
        <w:rPr>
          <w:b/>
          <w:bCs/>
          <w:sz w:val="28"/>
          <w:szCs w:val="28"/>
          <w:lang w:eastAsia="uk-UA"/>
        </w:rPr>
        <w:t>Мелконян О.А.</w:t>
      </w:r>
    </w:p>
    <w:p w:rsidR="00076275" w:rsidRPr="002C7958" w:rsidRDefault="00076275" w:rsidP="00076275">
      <w:pPr>
        <w:spacing w:line="276" w:lineRule="auto"/>
        <w:jc w:val="center"/>
        <w:rPr>
          <w:sz w:val="28"/>
          <w:szCs w:val="28"/>
          <w:lang w:eastAsia="uk-UA"/>
        </w:rPr>
      </w:pPr>
      <w:r w:rsidRPr="002C7958">
        <w:rPr>
          <w:sz w:val="28"/>
          <w:szCs w:val="28"/>
          <w:lang w:eastAsia="uk-UA"/>
        </w:rPr>
        <w:t xml:space="preserve">студентка 3 курсу </w:t>
      </w:r>
    </w:p>
    <w:p w:rsidR="00076275" w:rsidRPr="002C7958" w:rsidRDefault="00076275" w:rsidP="00076275">
      <w:pPr>
        <w:spacing w:line="276" w:lineRule="auto"/>
        <w:jc w:val="center"/>
        <w:rPr>
          <w:sz w:val="28"/>
          <w:szCs w:val="28"/>
          <w:lang w:eastAsia="uk-UA"/>
        </w:rPr>
      </w:pPr>
      <w:r w:rsidRPr="002C7958">
        <w:rPr>
          <w:sz w:val="28"/>
          <w:szCs w:val="28"/>
          <w:lang w:eastAsia="uk-UA"/>
        </w:rPr>
        <w:t xml:space="preserve">Фахового коледжу </w:t>
      </w:r>
      <w:r>
        <w:rPr>
          <w:sz w:val="28"/>
          <w:szCs w:val="28"/>
          <w:lang w:eastAsia="uk-UA"/>
        </w:rPr>
        <w:t>м</w:t>
      </w:r>
      <w:r w:rsidRPr="002C7958">
        <w:rPr>
          <w:sz w:val="28"/>
          <w:szCs w:val="28"/>
          <w:lang w:eastAsia="uk-UA"/>
        </w:rPr>
        <w:t xml:space="preserve">іжнародного університету </w:t>
      </w:r>
    </w:p>
    <w:p w:rsidR="00076275" w:rsidRDefault="00076275" w:rsidP="00076275">
      <w:pPr>
        <w:spacing w:line="276" w:lineRule="auto"/>
        <w:jc w:val="center"/>
        <w:rPr>
          <w:sz w:val="28"/>
          <w:szCs w:val="28"/>
          <w:lang w:eastAsia="uk-UA"/>
        </w:rPr>
      </w:pPr>
      <w:r w:rsidRPr="002C7958">
        <w:rPr>
          <w:sz w:val="28"/>
          <w:szCs w:val="28"/>
          <w:lang w:eastAsia="uk-UA"/>
        </w:rPr>
        <w:lastRenderedPageBreak/>
        <w:t xml:space="preserve">Науковий керівник: </w:t>
      </w:r>
    </w:p>
    <w:p w:rsidR="00076275" w:rsidRDefault="00076275" w:rsidP="00076275">
      <w:pPr>
        <w:spacing w:line="276" w:lineRule="auto"/>
        <w:jc w:val="center"/>
        <w:rPr>
          <w:b/>
          <w:bCs/>
          <w:sz w:val="28"/>
          <w:szCs w:val="28"/>
          <w:lang w:eastAsia="uk-UA"/>
        </w:rPr>
      </w:pPr>
      <w:r>
        <w:rPr>
          <w:sz w:val="28"/>
          <w:szCs w:val="28"/>
          <w:lang w:eastAsia="uk-UA"/>
        </w:rPr>
        <w:t>к.ю.н.</w:t>
      </w:r>
      <w:r w:rsidRPr="002C7958">
        <w:rPr>
          <w:sz w:val="28"/>
          <w:szCs w:val="28"/>
          <w:lang w:eastAsia="uk-UA"/>
        </w:rPr>
        <w:t>, доцент</w:t>
      </w:r>
      <w:r w:rsidRPr="002C7958">
        <w:rPr>
          <w:b/>
          <w:bCs/>
          <w:sz w:val="28"/>
          <w:szCs w:val="28"/>
          <w:lang w:eastAsia="uk-UA"/>
        </w:rPr>
        <w:t xml:space="preserve"> Боксгорн А.В.</w:t>
      </w:r>
    </w:p>
    <w:p w:rsidR="00076275" w:rsidRPr="002C7958" w:rsidRDefault="00076275" w:rsidP="00076275">
      <w:pPr>
        <w:spacing w:line="276" w:lineRule="auto"/>
        <w:jc w:val="center"/>
        <w:rPr>
          <w:sz w:val="28"/>
          <w:szCs w:val="28"/>
          <w:lang w:eastAsia="uk-UA"/>
        </w:rPr>
      </w:pPr>
      <w:r w:rsidRPr="00FF3D20">
        <w:rPr>
          <w:sz w:val="28"/>
          <w:szCs w:val="28"/>
          <w:lang w:eastAsia="uk-UA"/>
        </w:rPr>
        <w:t>Одеса, Україна</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w:t>
      </w:r>
      <w:r>
        <w:rPr>
          <w:sz w:val="28"/>
          <w:szCs w:val="28"/>
          <w:lang w:eastAsia="uk-UA"/>
        </w:rPr>
        <w:t xml:space="preserve">   </w:t>
      </w:r>
      <w:r w:rsidRPr="002C7958">
        <w:rPr>
          <w:sz w:val="28"/>
          <w:szCs w:val="28"/>
          <w:lang w:eastAsia="uk-UA"/>
        </w:rPr>
        <w:t>Принцип верховенства права (ст. 8 Конституції України) є фундаментальною основою правової держави. Одним із його найважливіших елементів є принцип правової визначеності (legal certainty), який вимагає чіткості, передбачуваності та стабільності норм права [1]. Уніфікована судова практика виступає практичним інструментом реалізації цього принципу, оскільки усуває розбіжності в тлумаченні норм і забезпечує однакове застосування закону всіма судами [2].</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Актуальність теми зумовлена реформою судової системи 2016 року, євроінтеграційними процесами України та необхідністю відповідати стандартам Європейського суду з прав людини [3].</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Уніфікована судова практика - це сталість і єдність застосування норм матеріального та процесуального права судами різних інстанцій і спеціалізацій, досягнута через правові позиції вищих судів. Вона є не прецедентом у класичному англо-саксонському розумінні, а «jurisprudence constante» (усталена судова практика) континентальної правової сім’ї [4].</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Відповідно до Закону України «Про судоустрій і статус суддів» від 02.06.2016 № 1402-VIII (зі змінами станом на 2026 р.):</w:t>
      </w:r>
    </w:p>
    <w:p w:rsidR="00076275" w:rsidRPr="002C7958" w:rsidRDefault="00076275" w:rsidP="00076275">
      <w:pPr>
        <w:numPr>
          <w:ilvl w:val="0"/>
          <w:numId w:val="35"/>
        </w:numPr>
        <w:spacing w:line="360" w:lineRule="auto"/>
        <w:ind w:firstLine="709"/>
        <w:jc w:val="both"/>
        <w:rPr>
          <w:sz w:val="28"/>
          <w:szCs w:val="28"/>
          <w:lang w:eastAsia="uk-UA"/>
        </w:rPr>
      </w:pPr>
      <w:r w:rsidRPr="002C7958">
        <w:rPr>
          <w:sz w:val="28"/>
          <w:szCs w:val="28"/>
          <w:lang w:eastAsia="uk-UA"/>
        </w:rPr>
        <w:t xml:space="preserve">  Верховний Суд є найвищим судом, який забезпечує сталість та єдність судової практики (ст. 36 ч. 1) [5];</w:t>
      </w:r>
    </w:p>
    <w:p w:rsidR="00076275" w:rsidRPr="002C7958" w:rsidRDefault="00076275" w:rsidP="00076275">
      <w:pPr>
        <w:numPr>
          <w:ilvl w:val="0"/>
          <w:numId w:val="36"/>
        </w:numPr>
        <w:spacing w:line="360" w:lineRule="auto"/>
        <w:ind w:firstLine="709"/>
        <w:jc w:val="both"/>
        <w:rPr>
          <w:sz w:val="28"/>
          <w:szCs w:val="28"/>
          <w:lang w:eastAsia="uk-UA"/>
        </w:rPr>
      </w:pPr>
      <w:r w:rsidRPr="002C7958">
        <w:rPr>
          <w:sz w:val="28"/>
          <w:szCs w:val="28"/>
          <w:lang w:eastAsia="uk-UA"/>
        </w:rPr>
        <w:t xml:space="preserve">  Велика Палата Верховного Суду здійснює перегляд справ з метою забезпечення однакового застосування норм права (ст. 45 ч. 2 п. 1).</w:t>
      </w:r>
    </w:p>
    <w:p w:rsidR="00076275" w:rsidRPr="002C7958" w:rsidRDefault="00076275" w:rsidP="00076275">
      <w:pPr>
        <w:numPr>
          <w:ilvl w:val="0"/>
          <w:numId w:val="37"/>
        </w:numPr>
        <w:spacing w:line="360" w:lineRule="auto"/>
        <w:ind w:firstLine="709"/>
        <w:jc w:val="both"/>
        <w:rPr>
          <w:sz w:val="28"/>
          <w:szCs w:val="28"/>
          <w:lang w:eastAsia="uk-UA"/>
        </w:rPr>
      </w:pPr>
      <w:r w:rsidRPr="002C7958">
        <w:rPr>
          <w:sz w:val="28"/>
          <w:szCs w:val="28"/>
          <w:lang w:eastAsia="uk-UA"/>
        </w:rPr>
        <w:t>Пленум Верховного Суду узагальнює практику, систематизує правові позиції та надає рекомендаційні роз’яснення (ст. 46 ч. 2 пп. 10-1, 10-2) [5].</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Механізми уніфікації:</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1.  Правові позиції Верховного Суду у касаційних постановах (ч. 4 ст. 263 ЦПК України, аналогічно в КАС, ГПК, КПК) - суди нижчих інстанцій зобов’язані їх враховувати [6];</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lastRenderedPageBreak/>
        <w:t>2.  Постанови Пленуму -  рекомендаційного характеру, але мають високий авторитет.</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3.  Перегляд Великою Палатою -  при виявленні розбіжностей </w:t>
      </w:r>
      <w:proofErr w:type="gramStart"/>
      <w:r w:rsidRPr="002C7958">
        <w:rPr>
          <w:sz w:val="28"/>
          <w:szCs w:val="28"/>
          <w:lang w:eastAsia="uk-UA"/>
        </w:rPr>
        <w:t>між</w:t>
      </w:r>
      <w:proofErr w:type="gramEnd"/>
      <w:r w:rsidRPr="002C7958">
        <w:rPr>
          <w:sz w:val="28"/>
          <w:szCs w:val="28"/>
          <w:lang w:eastAsia="uk-UA"/>
        </w:rPr>
        <w:t xml:space="preserve"> палатами чи юрисдикціями.</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4.  Узагальнення судової практики апеляційними судами та палатами Верховного Суду [7].</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Уніфікація забезпечує єдність права без порушення незалежності суддів (ст. 126 Конституції) [1].</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Принцип правової визначеності (legal certainty), як невід’ємна складова верховенства права (ст. 8 Конституції), вимагає, щоб правові норми були чіткими, доступними, передбачуваними та стабільними, а їх тлумачення й застосування - однаковими в аналогічних ситуаціях [8]. Він включає:</w:t>
      </w:r>
    </w:p>
    <w:p w:rsidR="00076275" w:rsidRPr="002C7958" w:rsidRDefault="00076275" w:rsidP="00076275">
      <w:pPr>
        <w:numPr>
          <w:ilvl w:val="0"/>
          <w:numId w:val="38"/>
        </w:numPr>
        <w:spacing w:line="360" w:lineRule="auto"/>
        <w:ind w:firstLine="709"/>
        <w:jc w:val="both"/>
        <w:rPr>
          <w:sz w:val="28"/>
          <w:szCs w:val="28"/>
          <w:lang w:eastAsia="uk-UA"/>
        </w:rPr>
      </w:pPr>
      <w:r w:rsidRPr="002C7958">
        <w:rPr>
          <w:sz w:val="28"/>
          <w:szCs w:val="28"/>
          <w:lang w:eastAsia="uk-UA"/>
        </w:rPr>
        <w:t xml:space="preserve"> передбачуваність правових наслідків поведінки суб’єктів права;</w:t>
      </w:r>
    </w:p>
    <w:p w:rsidR="00076275" w:rsidRPr="002C7958" w:rsidRDefault="00076275" w:rsidP="00076275">
      <w:pPr>
        <w:numPr>
          <w:ilvl w:val="0"/>
          <w:numId w:val="38"/>
        </w:numPr>
        <w:spacing w:line="360" w:lineRule="auto"/>
        <w:ind w:firstLine="709"/>
        <w:jc w:val="both"/>
        <w:rPr>
          <w:sz w:val="28"/>
          <w:szCs w:val="28"/>
          <w:lang w:eastAsia="uk-UA"/>
        </w:rPr>
      </w:pPr>
      <w:r w:rsidRPr="002C7958">
        <w:rPr>
          <w:sz w:val="28"/>
          <w:szCs w:val="28"/>
          <w:lang w:eastAsia="uk-UA"/>
        </w:rPr>
        <w:t xml:space="preserve"> захист легітимних очікувань;</w:t>
      </w:r>
    </w:p>
    <w:p w:rsidR="00076275" w:rsidRPr="002C7958" w:rsidRDefault="00076275" w:rsidP="00076275">
      <w:pPr>
        <w:numPr>
          <w:ilvl w:val="0"/>
          <w:numId w:val="38"/>
        </w:numPr>
        <w:spacing w:line="360" w:lineRule="auto"/>
        <w:ind w:firstLine="709"/>
        <w:jc w:val="both"/>
        <w:rPr>
          <w:sz w:val="28"/>
          <w:szCs w:val="28"/>
          <w:lang w:eastAsia="uk-UA"/>
        </w:rPr>
      </w:pPr>
      <w:r w:rsidRPr="002C7958">
        <w:rPr>
          <w:sz w:val="28"/>
          <w:szCs w:val="28"/>
          <w:lang w:eastAsia="uk-UA"/>
        </w:rPr>
        <w:t>остаточність судових рішень (res judicata);</w:t>
      </w:r>
    </w:p>
    <w:p w:rsidR="00076275" w:rsidRPr="002C7958" w:rsidRDefault="00076275" w:rsidP="00076275">
      <w:pPr>
        <w:numPr>
          <w:ilvl w:val="0"/>
          <w:numId w:val="38"/>
        </w:numPr>
        <w:spacing w:line="360" w:lineRule="auto"/>
        <w:ind w:firstLine="709"/>
        <w:jc w:val="both"/>
        <w:rPr>
          <w:sz w:val="28"/>
          <w:szCs w:val="28"/>
          <w:lang w:eastAsia="uk-UA"/>
        </w:rPr>
      </w:pPr>
      <w:r w:rsidRPr="002C7958">
        <w:rPr>
          <w:sz w:val="28"/>
          <w:szCs w:val="28"/>
          <w:lang w:eastAsia="uk-UA"/>
        </w:rPr>
        <w:t xml:space="preserve"> відсутність тривалих і суттєвих розбіжностей у судовій практиці [9].</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Практика Конституційного Суду України, Європейського суду з прав людини та рекомендації Консультативної ради європейських суддів (зокрема, Висновок № 20 (2017)) послідовно підкреслюють: існування глибоких суперечностей у тлумаченні норм права призводить до правової невизначеності, підриває довіру до судової влади, порушує принцип рівності перед законом та гарантії справедливого судового розгляду (ст. 6 Європейської конвенції з прав людини) [10;11].</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Уніфікована судова практика є необхідною передумовою правової визначеності з кількох причин:</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1.  Забезпечення передбачуваності. Правові позиції Верховного Суду створюють орієнтир для </w:t>
      </w:r>
      <w:proofErr w:type="gramStart"/>
      <w:r w:rsidRPr="002C7958">
        <w:rPr>
          <w:sz w:val="28"/>
          <w:szCs w:val="28"/>
          <w:lang w:eastAsia="uk-UA"/>
        </w:rPr>
        <w:t>вс</w:t>
      </w:r>
      <w:proofErr w:type="gramEnd"/>
      <w:r w:rsidRPr="002C7958">
        <w:rPr>
          <w:sz w:val="28"/>
          <w:szCs w:val="28"/>
          <w:lang w:eastAsia="uk-UA"/>
        </w:rPr>
        <w:t>іх судів. Суперечливі рішення (як зазначено у Висновку № 20 КРЄС 2017 р.) створюють юридичну невизначеність і підривають довіру до суду [10].</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lastRenderedPageBreak/>
        <w:t>2.  Гарантія рівності перед законом. Однакове застосування норм виключає свавілля і забезпечує справедливість (ст. 24 Конституції) [1];</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3.  Захист легітимних очікувань. Стабільна практика дозволяє особам планувати поведінку. Зміна практики можлива лише з обґрунтуванням і, як правило, проспективно [9];</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4.  Заповнення прогалин законодавства. Уніфікація розвиває право, не порушуючи його стабільності [12].</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 xml:space="preserve">  Наприклад: постанови Великої Палати Верховного Суду щодо податкових, земельних чи цивільних спорів стали обов’язковим орієнтиром і усунули багаторічні розбіжності.</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Без уніфікації принцип правової визначеності залишається декларативним. Саме тому реформа 2016 року надала Верховному Суду повноваження щодо єдності практики [5].</w:t>
      </w:r>
    </w:p>
    <w:p w:rsidR="00076275" w:rsidRPr="002C7958" w:rsidRDefault="00076275" w:rsidP="00076275">
      <w:pPr>
        <w:spacing w:line="360" w:lineRule="auto"/>
        <w:ind w:firstLine="709"/>
        <w:jc w:val="both"/>
        <w:rPr>
          <w:sz w:val="28"/>
          <w:szCs w:val="28"/>
          <w:lang w:eastAsia="uk-UA"/>
        </w:rPr>
      </w:pPr>
      <w:r>
        <w:rPr>
          <w:sz w:val="28"/>
          <w:szCs w:val="28"/>
          <w:lang w:eastAsia="uk-UA"/>
        </w:rPr>
        <w:t xml:space="preserve">         </w:t>
      </w:r>
      <w:r w:rsidRPr="002C7958">
        <w:rPr>
          <w:sz w:val="28"/>
          <w:szCs w:val="28"/>
          <w:lang w:eastAsia="uk-UA"/>
        </w:rPr>
        <w:t>Вплив воєнного стану та сучасні виклики (2025-2026 рр.)</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t>У період воєнного стану та поствоєнної реконструкції принцип правової визначеності набуває особливої гостроти. Верховний Суд України активно адаптує практику до нових реалій:</w:t>
      </w:r>
    </w:p>
    <w:p w:rsidR="00076275" w:rsidRPr="002C7958" w:rsidRDefault="00076275" w:rsidP="00076275">
      <w:pPr>
        <w:numPr>
          <w:ilvl w:val="0"/>
          <w:numId w:val="34"/>
        </w:numPr>
        <w:spacing w:line="360" w:lineRule="auto"/>
        <w:ind w:firstLine="709"/>
        <w:jc w:val="both"/>
        <w:rPr>
          <w:sz w:val="28"/>
          <w:szCs w:val="28"/>
          <w:lang w:eastAsia="uk-UA"/>
        </w:rPr>
      </w:pPr>
      <w:r w:rsidRPr="002C7958">
        <w:rPr>
          <w:sz w:val="28"/>
          <w:szCs w:val="28"/>
          <w:lang w:eastAsia="uk-UA"/>
        </w:rPr>
        <w:t xml:space="preserve"> постанови Великої Палати щодо земельних спорів, податкових питань, корпоративних конфліктів та процесуальних аспектів (наприклад, електронне звернення до суду, відеоконференцзв’язок </w:t>
      </w:r>
      <w:proofErr w:type="gramStart"/>
      <w:r w:rsidRPr="002C7958">
        <w:rPr>
          <w:sz w:val="28"/>
          <w:szCs w:val="28"/>
          <w:lang w:eastAsia="uk-UA"/>
        </w:rPr>
        <w:t>п</w:t>
      </w:r>
      <w:proofErr w:type="gramEnd"/>
      <w:r w:rsidRPr="002C7958">
        <w:rPr>
          <w:sz w:val="28"/>
          <w:szCs w:val="28"/>
          <w:lang w:eastAsia="uk-UA"/>
        </w:rPr>
        <w:t>ід час тривог) стали ключовими інструментами уніфікації [7;13];</w:t>
      </w:r>
    </w:p>
    <w:p w:rsidR="00076275" w:rsidRPr="002C7958" w:rsidRDefault="00076275" w:rsidP="00076275">
      <w:pPr>
        <w:numPr>
          <w:ilvl w:val="0"/>
          <w:numId w:val="34"/>
        </w:numPr>
        <w:spacing w:line="360" w:lineRule="auto"/>
        <w:ind w:firstLine="709"/>
        <w:jc w:val="both"/>
        <w:rPr>
          <w:sz w:val="28"/>
          <w:szCs w:val="28"/>
          <w:lang w:eastAsia="uk-UA"/>
        </w:rPr>
      </w:pPr>
      <w:r w:rsidRPr="002C7958">
        <w:rPr>
          <w:sz w:val="28"/>
          <w:szCs w:val="28"/>
          <w:lang w:eastAsia="uk-UA"/>
        </w:rPr>
        <w:t xml:space="preserve"> щомісячні та щорічні дайджести судової практики (Касаційний цивільний суд, Касаційний адміністративний суд, Велика Палата) за 2025-2026 рр. демонструють систематичне усунення розбіжностей, зокрема в умовах блекаутів, повітряних тривог та цифровізації судочинства (Єдина судова інформаційно-комунікаційна система - ЄСІКС) [7;14];</w:t>
      </w:r>
    </w:p>
    <w:p w:rsidR="00076275" w:rsidRPr="002C7958" w:rsidRDefault="00076275" w:rsidP="00076275">
      <w:pPr>
        <w:numPr>
          <w:ilvl w:val="0"/>
          <w:numId w:val="34"/>
        </w:numPr>
        <w:spacing w:line="360" w:lineRule="auto"/>
        <w:ind w:firstLine="709"/>
        <w:jc w:val="both"/>
        <w:rPr>
          <w:sz w:val="28"/>
          <w:szCs w:val="28"/>
          <w:lang w:eastAsia="uk-UA"/>
        </w:rPr>
      </w:pPr>
      <w:r w:rsidRPr="002C7958">
        <w:rPr>
          <w:sz w:val="28"/>
          <w:szCs w:val="28"/>
          <w:lang w:eastAsia="uk-UA"/>
        </w:rPr>
        <w:t xml:space="preserve"> </w:t>
      </w:r>
      <w:proofErr w:type="gramStart"/>
      <w:r w:rsidRPr="002C7958">
        <w:rPr>
          <w:sz w:val="28"/>
          <w:szCs w:val="28"/>
          <w:lang w:eastAsia="uk-UA"/>
        </w:rPr>
        <w:t>ЄСПЛ у справах проти України (наприклад, «Ukrkava, TOV v.</w:t>
      </w:r>
      <w:proofErr w:type="gramEnd"/>
      <w:r w:rsidRPr="002C7958">
        <w:rPr>
          <w:sz w:val="28"/>
          <w:szCs w:val="28"/>
          <w:lang w:eastAsia="uk-UA"/>
        </w:rPr>
        <w:t xml:space="preserve"> Ukraine» 2025 р.) критикує випадки, коли зміна усталеної практики без достатнього обґрунтування сприймається як судовий активізм, що порушує правову визначеність і легітимні очікування сторін [15].</w:t>
      </w:r>
    </w:p>
    <w:p w:rsidR="00076275" w:rsidRPr="002C7958" w:rsidRDefault="00076275" w:rsidP="00076275">
      <w:pPr>
        <w:spacing w:line="360" w:lineRule="auto"/>
        <w:ind w:firstLine="709"/>
        <w:jc w:val="both"/>
        <w:rPr>
          <w:sz w:val="28"/>
          <w:szCs w:val="28"/>
          <w:lang w:eastAsia="uk-UA"/>
        </w:rPr>
      </w:pPr>
      <w:r w:rsidRPr="002C7958">
        <w:rPr>
          <w:sz w:val="28"/>
          <w:szCs w:val="28"/>
          <w:lang w:eastAsia="uk-UA"/>
        </w:rPr>
        <w:lastRenderedPageBreak/>
        <w:t>Ці тенденції свідчать про еволюцію уніфікованої практики від реактивного усунення розбіжностей до проактивного формування стабільного правового середовища в умовах кризи.</w:t>
      </w:r>
    </w:p>
    <w:p w:rsidR="00076275" w:rsidRDefault="00076275" w:rsidP="00076275">
      <w:pPr>
        <w:spacing w:line="360" w:lineRule="auto"/>
        <w:ind w:firstLine="709"/>
        <w:jc w:val="both"/>
        <w:rPr>
          <w:sz w:val="28"/>
          <w:szCs w:val="28"/>
          <w:lang w:eastAsia="uk-UA"/>
        </w:rPr>
      </w:pPr>
      <w:r w:rsidRPr="002C7958">
        <w:rPr>
          <w:sz w:val="28"/>
          <w:szCs w:val="28"/>
          <w:lang w:eastAsia="uk-UA"/>
        </w:rPr>
        <w:t>Уніфікована практика виступає стратегічним механізмом правового опору та посткризової реконструкції: вона зберігає правову визначеність як фундаментальну цінність і готує правову систему до економічного відновлення та європейської інтеграції в умовах гібридної війни [16].</w:t>
      </w:r>
    </w:p>
    <w:p w:rsidR="00076275" w:rsidRPr="002C7958" w:rsidRDefault="00076275" w:rsidP="00076275">
      <w:pPr>
        <w:spacing w:line="360" w:lineRule="auto"/>
        <w:ind w:firstLine="709"/>
        <w:jc w:val="both"/>
        <w:rPr>
          <w:sz w:val="28"/>
          <w:szCs w:val="28"/>
          <w:lang w:eastAsia="uk-UA"/>
        </w:rPr>
      </w:pPr>
      <w:r>
        <w:rPr>
          <w:sz w:val="28"/>
          <w:szCs w:val="28"/>
          <w:lang w:eastAsia="uk-UA"/>
        </w:rPr>
        <w:t xml:space="preserve">        </w:t>
      </w:r>
      <w:r w:rsidRPr="002C7958">
        <w:rPr>
          <w:sz w:val="28"/>
          <w:szCs w:val="28"/>
          <w:lang w:eastAsia="uk-UA"/>
        </w:rPr>
        <w:t>Таким чином, уніфікована судова практика в Україні сьогодні - це не просто інструмент єдності права, а активний щит правової</w:t>
      </w:r>
      <w:r w:rsidRPr="002C7958">
        <w:rPr>
          <w:b/>
          <w:bCs/>
          <w:sz w:val="28"/>
          <w:szCs w:val="28"/>
          <w:lang w:eastAsia="uk-UA"/>
        </w:rPr>
        <w:t xml:space="preserve"> </w:t>
      </w:r>
      <w:r w:rsidRPr="002C7958">
        <w:rPr>
          <w:sz w:val="28"/>
          <w:szCs w:val="28"/>
          <w:lang w:eastAsia="uk-UA"/>
        </w:rPr>
        <w:t xml:space="preserve">визначеності в умовах війни. Вона перетворює кризу на можливість: від адаптації судочинства до блекаутів і тривог до формування стабільного правового поля для післявоєнної відбудови. Без неї верховенство права стає крихким фасадом, а з нею - реальним фундаментом національної стійкості та європейського майбутнього. Це не технічна деталь, а стратегічний акт </w:t>
      </w:r>
      <w:r w:rsidRPr="002C7958">
        <w:rPr>
          <w:b/>
          <w:bCs/>
          <w:sz w:val="28"/>
          <w:szCs w:val="28"/>
          <w:lang w:eastAsia="uk-UA"/>
        </w:rPr>
        <w:t xml:space="preserve"> </w:t>
      </w:r>
      <w:r w:rsidRPr="002C7958">
        <w:rPr>
          <w:sz w:val="28"/>
          <w:szCs w:val="28"/>
          <w:lang w:eastAsia="uk-UA"/>
        </w:rPr>
        <w:t xml:space="preserve">правового опору нації, що відстоює своє право на передбачуване та справедливе існування навіть </w:t>
      </w:r>
      <w:proofErr w:type="gramStart"/>
      <w:r w:rsidRPr="002C7958">
        <w:rPr>
          <w:sz w:val="28"/>
          <w:szCs w:val="28"/>
          <w:lang w:eastAsia="uk-UA"/>
        </w:rPr>
        <w:t>п</w:t>
      </w:r>
      <w:proofErr w:type="gramEnd"/>
      <w:r w:rsidRPr="002C7958">
        <w:rPr>
          <w:sz w:val="28"/>
          <w:szCs w:val="28"/>
          <w:lang w:eastAsia="uk-UA"/>
        </w:rPr>
        <w:t>ід обстрілами.</w:t>
      </w:r>
    </w:p>
    <w:p w:rsidR="00076275" w:rsidRDefault="00076275" w:rsidP="00076275">
      <w:pPr>
        <w:spacing w:line="360" w:lineRule="auto"/>
        <w:ind w:firstLine="709"/>
        <w:jc w:val="both"/>
        <w:rPr>
          <w:sz w:val="28"/>
          <w:szCs w:val="28"/>
          <w:lang w:eastAsia="uk-UA"/>
        </w:rPr>
      </w:pPr>
    </w:p>
    <w:p w:rsidR="00076275" w:rsidRPr="00FF3D20" w:rsidRDefault="00076275" w:rsidP="00076275">
      <w:pPr>
        <w:spacing w:line="360" w:lineRule="auto"/>
        <w:ind w:firstLine="709"/>
        <w:jc w:val="center"/>
        <w:rPr>
          <w:b/>
          <w:bCs/>
          <w:sz w:val="28"/>
          <w:szCs w:val="28"/>
          <w:lang w:eastAsia="uk-UA"/>
        </w:rPr>
      </w:pPr>
      <w:r w:rsidRPr="00FF3D20">
        <w:rPr>
          <w:b/>
          <w:bCs/>
          <w:sz w:val="28"/>
          <w:szCs w:val="28"/>
          <w:lang w:eastAsia="uk-UA"/>
        </w:rPr>
        <w:t>СПИСОК ВИКОРИСТАНИХ ДЖЕРЕЛ</w:t>
      </w:r>
    </w:p>
    <w:p w:rsidR="00076275" w:rsidRPr="00A85746"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Конституція України від 28.06.1996 (ст. 8, 126, 24). </w:t>
      </w:r>
      <w:hyperlink r:id="rId58" w:history="1">
        <w:r w:rsidRPr="00A85746">
          <w:rPr>
            <w:rStyle w:val="af0"/>
            <w:sz w:val="28"/>
            <w:szCs w:val="28"/>
            <w:lang w:eastAsia="uk-UA"/>
          </w:rPr>
          <w:t>https://zakon.rada.gov.ua/laws/show/254к/96-вр</w:t>
        </w:r>
      </w:hyperlink>
      <w:r w:rsidRPr="00A85746">
        <w:rPr>
          <w:sz w:val="28"/>
          <w:szCs w:val="28"/>
          <w:lang w:eastAsia="uk-UA"/>
        </w:rPr>
        <w:t xml:space="preserve"> </w:t>
      </w:r>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 Головатий В. Я. Уніфікація судової практики в Україні // Право і громадянське суспільство. - 2017. - № 10. - С. 237-241.</w:t>
      </w:r>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Висновок № 20 Консультативної ради європейських суддів (КРЄС) 2017 р. </w:t>
      </w:r>
      <w:hyperlink r:id="rId59" w:history="1">
        <w:r w:rsidRPr="007C25D5">
          <w:rPr>
            <w:rStyle w:val="af0"/>
            <w:sz w:val="28"/>
            <w:szCs w:val="28"/>
            <w:lang w:eastAsia="uk-UA"/>
          </w:rPr>
          <w:t>https://www.coe.int/en/web/ccje/ccje-opinions</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Деменчук М. О. Роль Верховного Суду у забезпеченні єдності судової практики</w:t>
      </w:r>
      <w:proofErr w:type="gramStart"/>
      <w:r w:rsidRPr="00A85746">
        <w:rPr>
          <w:sz w:val="28"/>
          <w:szCs w:val="28"/>
          <w:lang w:eastAsia="uk-UA"/>
        </w:rPr>
        <w:t xml:space="preserve"> :</w:t>
      </w:r>
      <w:proofErr w:type="gramEnd"/>
      <w:r w:rsidRPr="00A85746">
        <w:rPr>
          <w:sz w:val="28"/>
          <w:szCs w:val="28"/>
          <w:lang w:eastAsia="uk-UA"/>
        </w:rPr>
        <w:t xml:space="preserve"> монографія. - Одеса : Фенікс, 2019. - 176 </w:t>
      </w:r>
      <w:proofErr w:type="gramStart"/>
      <w:r w:rsidRPr="00A85746">
        <w:rPr>
          <w:sz w:val="28"/>
          <w:szCs w:val="28"/>
          <w:lang w:eastAsia="uk-UA"/>
        </w:rPr>
        <w:t>с</w:t>
      </w:r>
      <w:proofErr w:type="gramEnd"/>
      <w:r w:rsidRPr="00A85746">
        <w:rPr>
          <w:sz w:val="28"/>
          <w:szCs w:val="28"/>
          <w:lang w:eastAsia="uk-UA"/>
        </w:rPr>
        <w:t>.</w:t>
      </w:r>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Закон України «Про судоустрій і статус суддів» від 02.06.2016 № 1402-VIII. </w:t>
      </w:r>
      <w:hyperlink r:id="rId60" w:history="1">
        <w:r w:rsidRPr="007C25D5">
          <w:rPr>
            <w:rStyle w:val="af0"/>
            <w:sz w:val="28"/>
            <w:szCs w:val="28"/>
            <w:lang w:eastAsia="uk-UA"/>
          </w:rPr>
          <w:t>https://zakon.rada.gov.ua/laws/show/1402-19</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Цивільний процесуальний кодекс України, ч. 4 ст. 263. </w:t>
      </w:r>
      <w:hyperlink r:id="rId61" w:history="1">
        <w:r w:rsidRPr="007C25D5">
          <w:rPr>
            <w:rStyle w:val="af0"/>
            <w:sz w:val="28"/>
            <w:szCs w:val="28"/>
            <w:lang w:eastAsia="uk-UA"/>
          </w:rPr>
          <w:t>https://zakon.rada.gov.ua/laws/show/1618-15</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lastRenderedPageBreak/>
        <w:t>Дайджест судової практики Великої Палати Верховного Суду</w:t>
      </w:r>
      <w:r>
        <w:rPr>
          <w:sz w:val="28"/>
          <w:szCs w:val="28"/>
          <w:lang w:eastAsia="uk-UA"/>
        </w:rPr>
        <w:t xml:space="preserve"> </w:t>
      </w:r>
      <w:r w:rsidRPr="00A85746">
        <w:rPr>
          <w:sz w:val="28"/>
          <w:szCs w:val="28"/>
          <w:lang w:eastAsia="uk-UA"/>
        </w:rPr>
        <w:t>за</w:t>
      </w:r>
      <w:r>
        <w:rPr>
          <w:sz w:val="28"/>
          <w:szCs w:val="28"/>
          <w:lang w:eastAsia="uk-UA"/>
        </w:rPr>
        <w:t xml:space="preserve"> </w:t>
      </w:r>
      <w:r w:rsidRPr="00A85746">
        <w:rPr>
          <w:sz w:val="28"/>
          <w:szCs w:val="28"/>
          <w:lang w:eastAsia="uk-UA"/>
        </w:rPr>
        <w:t>січень-лютий 2026 р.</w:t>
      </w:r>
      <w:r>
        <w:rPr>
          <w:sz w:val="28"/>
          <w:szCs w:val="28"/>
          <w:lang w:eastAsia="uk-UA"/>
        </w:rPr>
        <w:t xml:space="preserve"> </w:t>
      </w:r>
      <w:hyperlink r:id="rId62" w:history="1">
        <w:r w:rsidRPr="007C25D5">
          <w:rPr>
            <w:rStyle w:val="af0"/>
            <w:sz w:val="28"/>
            <w:szCs w:val="28"/>
            <w:lang w:eastAsia="uk-UA"/>
          </w:rPr>
          <w:t>https://court.gov.ua/storage/portal/supreme/ogliady/Dajidgest_VP_01_02_2026.pdf</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Рішення Конституційного Суду України № 5-рп/2005 від 22.09.2005. </w:t>
      </w:r>
      <w:hyperlink r:id="rId63" w:history="1">
        <w:r w:rsidRPr="007C25D5">
          <w:rPr>
            <w:rStyle w:val="af0"/>
            <w:sz w:val="28"/>
            <w:szCs w:val="28"/>
            <w:lang w:eastAsia="uk-UA"/>
          </w:rPr>
          <w:t>https://ccu.gov.ua/docs/472</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Практика ЄСПЛ: справи «Щокін проти України», «Стіл та інші проти Сполученого Королівства». </w:t>
      </w:r>
      <w:hyperlink r:id="rId64" w:history="1">
        <w:r w:rsidRPr="007C25D5">
          <w:rPr>
            <w:rStyle w:val="af0"/>
            <w:sz w:val="28"/>
            <w:szCs w:val="28"/>
            <w:lang w:eastAsia="uk-UA"/>
          </w:rPr>
          <w:t>https://hudoc.echr.coe.int</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 Висновок № 20 КРЄС 2017 р. </w:t>
      </w:r>
      <w:hyperlink r:id="rId65" w:history="1">
        <w:r w:rsidRPr="007C25D5">
          <w:rPr>
            <w:rStyle w:val="af0"/>
            <w:sz w:val="28"/>
            <w:szCs w:val="28"/>
            <w:lang w:eastAsia="uk-UA"/>
          </w:rPr>
          <w:t>https://www.coe.int/en/web/ccje/ccje-opinions</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Савинський С. М. Правова визначеність як гарантія ефективної реалізації прав і свобод людини // Юридичний науковий електронний журнал. - 2024. - № 9. </w:t>
      </w:r>
      <w:hyperlink r:id="rId66" w:history="1">
        <w:r w:rsidRPr="007C25D5">
          <w:rPr>
            <w:rStyle w:val="af0"/>
            <w:sz w:val="28"/>
            <w:szCs w:val="28"/>
            <w:lang w:eastAsia="uk-UA"/>
          </w:rPr>
          <w:t>http://www.lsej.org.ua/</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Колісник О. В. Судова практика як засіб подолання недоліків нормативно-правових актів (наукові публікації 2021-2025 рр.).</w:t>
      </w:r>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Огляд ключових правових висновків ВП ВС та касаційних судів за 2025 рік. </w:t>
      </w:r>
      <w:hyperlink r:id="rId67" w:history="1">
        <w:r w:rsidRPr="007C25D5">
          <w:rPr>
            <w:rStyle w:val="af0"/>
            <w:sz w:val="28"/>
            <w:szCs w:val="28"/>
            <w:lang w:eastAsia="uk-UA"/>
          </w:rPr>
          <w:t>https://yur-gazeta.com/golovna/verhovniy-sud-oprilyudniv-oglyadi-klyuchovih-pravovih-poziciy-za-2025-rik.html</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Інформація про ЄСІКС та цифризацію судочинства (2025-2026). </w:t>
      </w:r>
      <w:hyperlink r:id="rId68" w:history="1">
        <w:r w:rsidRPr="007C25D5">
          <w:rPr>
            <w:rStyle w:val="af0"/>
            <w:sz w:val="28"/>
            <w:szCs w:val="28"/>
            <w:lang w:eastAsia="uk-UA"/>
          </w:rPr>
          <w:t>https://supreme.court.gov.ua/</w:t>
        </w:r>
      </w:hyperlink>
    </w:p>
    <w:p w:rsidR="00076275"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 xml:space="preserve">Рішення ЄСПЛ у справі «Ukrkava, TOV v. Ukraine» від 06.02.2025, заява № 10233/20. </w:t>
      </w:r>
      <w:hyperlink r:id="rId69" w:history="1">
        <w:r w:rsidRPr="007C25D5">
          <w:rPr>
            <w:rStyle w:val="af0"/>
            <w:sz w:val="28"/>
            <w:szCs w:val="28"/>
            <w:lang w:eastAsia="uk-UA"/>
          </w:rPr>
          <w:t>https://hudoc.echr.coe.int</w:t>
        </w:r>
      </w:hyperlink>
    </w:p>
    <w:p w:rsidR="00076275" w:rsidRPr="00A85746" w:rsidRDefault="00076275" w:rsidP="00076275">
      <w:pPr>
        <w:pStyle w:val="a7"/>
        <w:numPr>
          <w:ilvl w:val="1"/>
          <w:numId w:val="13"/>
        </w:numPr>
        <w:spacing w:line="360" w:lineRule="auto"/>
        <w:ind w:firstLine="709"/>
        <w:jc w:val="both"/>
        <w:rPr>
          <w:sz w:val="28"/>
          <w:szCs w:val="28"/>
          <w:lang w:eastAsia="uk-UA"/>
        </w:rPr>
      </w:pPr>
      <w:r w:rsidRPr="00A85746">
        <w:rPr>
          <w:sz w:val="28"/>
          <w:szCs w:val="28"/>
          <w:lang w:eastAsia="uk-UA"/>
        </w:rPr>
        <w:t>Аналіз тенденцій уніфікації практики ВС у воєнний період (огляди та дайджести ВС 2025-2026 рр.).</w:t>
      </w:r>
    </w:p>
    <w:p w:rsidR="00076275" w:rsidRPr="00A95413" w:rsidRDefault="00076275" w:rsidP="00076275">
      <w:pPr>
        <w:widowControl w:val="0"/>
        <w:autoSpaceDE w:val="0"/>
        <w:autoSpaceDN w:val="0"/>
        <w:adjustRightInd w:val="0"/>
        <w:spacing w:line="360" w:lineRule="auto"/>
        <w:ind w:firstLine="709"/>
        <w:jc w:val="both"/>
        <w:rPr>
          <w:sz w:val="28"/>
          <w:szCs w:val="28"/>
          <w:lang w:val="uk-UA"/>
        </w:rPr>
      </w:pPr>
    </w:p>
    <w:p w:rsidR="00076275" w:rsidRPr="00FD38BE" w:rsidRDefault="00076275" w:rsidP="00076275">
      <w:pPr>
        <w:spacing w:line="360" w:lineRule="auto"/>
        <w:jc w:val="both"/>
        <w:rPr>
          <w:sz w:val="28"/>
          <w:szCs w:val="28"/>
          <w:lang w:val="uk-UA"/>
        </w:rPr>
      </w:pPr>
    </w:p>
    <w:p w:rsidR="00076275" w:rsidRPr="00BC2C30" w:rsidRDefault="00076275" w:rsidP="00076275">
      <w:pPr>
        <w:spacing w:line="360" w:lineRule="auto"/>
        <w:ind w:firstLine="709"/>
        <w:jc w:val="both"/>
        <w:rPr>
          <w:rFonts w:eastAsia="SimSun"/>
          <w:b/>
          <w:sz w:val="28"/>
          <w:szCs w:val="28"/>
          <w:lang w:val="uk-UA"/>
        </w:rPr>
      </w:pPr>
      <w:r w:rsidRPr="00BC2C30">
        <w:rPr>
          <w:rFonts w:eastAsia="SimSun"/>
          <w:b/>
          <w:sz w:val="28"/>
          <w:szCs w:val="28"/>
          <w:lang w:val="uk-UA"/>
        </w:rPr>
        <w:t xml:space="preserve">МОДЕРНІЗАЦІЯ ПОДАТКОВОГО АДМІНІСТРУВАННЯ В УКРАЇНІ В КОНТЕКСТІ ВПРОВАДЖЕННЯ СТАНДАРТІВ ACQUIS ЄС </w:t>
      </w:r>
    </w:p>
    <w:p w:rsidR="00076275" w:rsidRPr="00BC2C30" w:rsidRDefault="00076275" w:rsidP="00076275">
      <w:pPr>
        <w:spacing w:line="360" w:lineRule="auto"/>
        <w:ind w:firstLine="709"/>
        <w:jc w:val="center"/>
        <w:rPr>
          <w:rFonts w:eastAsia="SimSun"/>
          <w:b/>
          <w:bCs/>
          <w:i/>
          <w:sz w:val="28"/>
          <w:szCs w:val="28"/>
          <w:lang w:val="uk-UA"/>
        </w:rPr>
      </w:pPr>
      <w:r w:rsidRPr="00BC2C30">
        <w:rPr>
          <w:rFonts w:eastAsia="SimSun"/>
          <w:b/>
          <w:bCs/>
          <w:i/>
          <w:sz w:val="28"/>
          <w:szCs w:val="28"/>
          <w:lang w:val="uk-UA"/>
        </w:rPr>
        <w:t>Мурашко І.С.</w:t>
      </w:r>
    </w:p>
    <w:p w:rsidR="00076275" w:rsidRPr="00BC2C30" w:rsidRDefault="00076275" w:rsidP="00076275">
      <w:pPr>
        <w:spacing w:line="360" w:lineRule="auto"/>
        <w:ind w:firstLine="709"/>
        <w:jc w:val="center"/>
        <w:rPr>
          <w:rFonts w:eastAsia="SimSun"/>
          <w:i/>
          <w:sz w:val="28"/>
          <w:szCs w:val="28"/>
          <w:lang w:val="uk-UA"/>
        </w:rPr>
      </w:pPr>
      <w:r w:rsidRPr="00BC2C30">
        <w:rPr>
          <w:rFonts w:eastAsia="SimSun"/>
          <w:i/>
          <w:sz w:val="28"/>
          <w:szCs w:val="28"/>
          <w:shd w:val="clear" w:color="auto" w:fill="FFFFFF"/>
          <w:lang w:val="uk-UA"/>
        </w:rPr>
        <w:t xml:space="preserve">аспірант </w:t>
      </w:r>
      <w:r w:rsidRPr="00BC2C30">
        <w:rPr>
          <w:rFonts w:eastAsia="SimSun"/>
          <w:i/>
          <w:sz w:val="28"/>
          <w:szCs w:val="28"/>
          <w:lang w:val="uk-UA"/>
        </w:rPr>
        <w:t>3 курсу кафедри державно-правових дисциплін</w:t>
      </w:r>
    </w:p>
    <w:p w:rsidR="00076275" w:rsidRPr="00BC2C30" w:rsidRDefault="00076275" w:rsidP="00076275">
      <w:pPr>
        <w:spacing w:line="360" w:lineRule="auto"/>
        <w:ind w:firstLine="709"/>
        <w:jc w:val="center"/>
        <w:rPr>
          <w:rFonts w:eastAsia="SimSun"/>
          <w:i/>
          <w:sz w:val="28"/>
          <w:szCs w:val="28"/>
          <w:lang w:val="uk-UA"/>
        </w:rPr>
      </w:pPr>
      <w:r w:rsidRPr="00BC2C30">
        <w:rPr>
          <w:rFonts w:eastAsia="SimSun"/>
          <w:i/>
          <w:sz w:val="28"/>
          <w:szCs w:val="28"/>
          <w:lang w:val="uk-UA"/>
        </w:rPr>
        <w:t>здобувач вищої освіти третього (освітньо-наукового) рівня</w:t>
      </w:r>
    </w:p>
    <w:p w:rsidR="00076275" w:rsidRPr="00BC2C30" w:rsidRDefault="00076275" w:rsidP="00076275">
      <w:pPr>
        <w:spacing w:line="360" w:lineRule="auto"/>
        <w:ind w:firstLine="709"/>
        <w:jc w:val="center"/>
        <w:rPr>
          <w:rFonts w:eastAsia="SimSun"/>
          <w:i/>
          <w:sz w:val="28"/>
          <w:szCs w:val="28"/>
          <w:lang w:val="uk-UA"/>
        </w:rPr>
      </w:pPr>
      <w:r w:rsidRPr="00BC2C30">
        <w:rPr>
          <w:rFonts w:eastAsia="SimSun"/>
          <w:i/>
          <w:sz w:val="28"/>
          <w:szCs w:val="28"/>
          <w:lang w:val="uk-UA"/>
        </w:rPr>
        <w:lastRenderedPageBreak/>
        <w:t>спеціальності 081 Право</w:t>
      </w:r>
    </w:p>
    <w:p w:rsidR="00076275" w:rsidRPr="00BC2C30" w:rsidRDefault="00076275" w:rsidP="00076275">
      <w:pPr>
        <w:spacing w:line="360" w:lineRule="auto"/>
        <w:ind w:firstLine="709"/>
        <w:jc w:val="center"/>
        <w:rPr>
          <w:rFonts w:eastAsia="SimSun"/>
          <w:i/>
          <w:sz w:val="28"/>
          <w:szCs w:val="28"/>
          <w:lang w:val="uk-UA"/>
        </w:rPr>
      </w:pPr>
      <w:r w:rsidRPr="00BC2C30">
        <w:rPr>
          <w:rFonts w:eastAsia="SimSun"/>
          <w:i/>
          <w:sz w:val="28"/>
          <w:szCs w:val="28"/>
          <w:lang w:val="uk-UA"/>
        </w:rPr>
        <w:t>Міжнародний університет</w:t>
      </w:r>
    </w:p>
    <w:p w:rsidR="00076275" w:rsidRPr="00BC2C30" w:rsidRDefault="00076275" w:rsidP="00076275">
      <w:pPr>
        <w:spacing w:line="360" w:lineRule="auto"/>
        <w:ind w:firstLine="709"/>
        <w:jc w:val="center"/>
        <w:rPr>
          <w:rFonts w:eastAsia="SimSun"/>
          <w:i/>
          <w:sz w:val="28"/>
          <w:szCs w:val="28"/>
          <w:lang w:val="uk-UA"/>
        </w:rPr>
      </w:pPr>
      <w:r w:rsidRPr="00BC2C30">
        <w:rPr>
          <w:rFonts w:eastAsia="SimSun"/>
          <w:i/>
          <w:sz w:val="28"/>
          <w:szCs w:val="28"/>
          <w:lang w:val="uk-UA"/>
        </w:rPr>
        <w:t>м. Одеса, Україна</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 xml:space="preserve">Набуття Україною статусу кандидата на членство в Європейському Союзі та виконання зобов'язань, передбачених  Угодою про асоціацію між Україною та ЄС, актуалізує питання не лише гармонізації податкових ставок, а й глибинної трансформації процедурних аспектів оподаткування. Податковий  acquis ЄС </w:t>
      </w:r>
      <w:r w:rsidRPr="00BC2C30">
        <w:rPr>
          <w:rFonts w:eastAsia="SimSun"/>
          <w:sz w:val="28"/>
          <w:szCs w:val="28"/>
          <w:lang w:val="uk-UA"/>
        </w:rPr>
        <w:noBreakHyphen/>
        <w:t xml:space="preserve"> це не просто сукупність директив щодо податків, а розгалужена система стандартів адміністрування, що базується на принципах правової визначеності, прозорості та ефективного партнерства. Так, «Відповідно до статті 351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 Сторони посилюватимуть і зміцнюватимуть співробітництво, спрямоване на удосконалення і розвиток податкової системи та податкових органів України. Пунктом 1.b статті 65 Договору про функціонування ЄС визначено право держав-членів вживати всіх заходів, необхідних для запобігання порушенню національних законів та підзаконних актів, зокрема, у сфері оподаткування» [1, с.1 ].</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Ключовим орієнтиром модернізації вітчизняного податкового адміністрування є перехід від карально-контрольної моделі до сервісно-орієнтованої, що закладено в основу  Національної стратегії доходів до 2030 року [2], [3].  Ця комплексна програма модернізації податкового адміністрування поєднує три  ключові взаємопов’язані напрями:</w:t>
      </w:r>
    </w:p>
    <w:p w:rsidR="00076275" w:rsidRPr="00BC2C30" w:rsidRDefault="00076275" w:rsidP="00076275">
      <w:pPr>
        <w:numPr>
          <w:ilvl w:val="0"/>
          <w:numId w:val="22"/>
        </w:numPr>
        <w:spacing w:line="360" w:lineRule="auto"/>
        <w:ind w:left="0" w:firstLine="709"/>
        <w:contextualSpacing/>
        <w:jc w:val="both"/>
        <w:rPr>
          <w:rFonts w:eastAsia="SimSun"/>
          <w:sz w:val="28"/>
          <w:szCs w:val="28"/>
          <w:lang w:val="uk-UA"/>
        </w:rPr>
      </w:pPr>
      <w:r w:rsidRPr="00BC2C30">
        <w:rPr>
          <w:rFonts w:eastAsia="SimSun"/>
          <w:sz w:val="28"/>
          <w:szCs w:val="28"/>
          <w:lang w:val="uk-UA"/>
        </w:rPr>
        <w:t>«</w:t>
      </w:r>
      <w:r w:rsidRPr="00BC2C30">
        <w:rPr>
          <w:rFonts w:eastAsia="SimSun"/>
          <w:i/>
          <w:sz w:val="28"/>
          <w:szCs w:val="28"/>
          <w:lang w:val="uk-UA"/>
        </w:rPr>
        <w:t>Посилення доброчесності  ДПС</w:t>
      </w:r>
      <w:r w:rsidRPr="00BC2C30">
        <w:rPr>
          <w:rFonts w:eastAsia="SimSun"/>
          <w:sz w:val="28"/>
          <w:szCs w:val="28"/>
          <w:lang w:val="uk-UA"/>
        </w:rPr>
        <w:t xml:space="preserve"> через системне управління корупційними ризиками, регулярне вимірювання якості сервісу (опитування платників), прозоре оприлюднення результатів і публічну підзвітність» [2, с. 3]. Паралельно передбачені  організаційно-кадрові зміни  «(функціональне обстеження, оптимізація структури, гарантії незалежності антикорупційних підрозділів, консолідація територіальних органів, план відновлення після воєнного стану та системне навчання персоналу), що має забезпечити </w:t>
      </w:r>
      <w:r w:rsidRPr="00BC2C30">
        <w:rPr>
          <w:rFonts w:eastAsia="SimSun"/>
          <w:sz w:val="28"/>
          <w:szCs w:val="28"/>
          <w:lang w:val="uk-UA"/>
        </w:rPr>
        <w:lastRenderedPageBreak/>
        <w:t>спроможність ДПС … перейти до більш прозорої, технологічної й ризик-орієнтованої моделі роботи» [ 2, с. 4</w:t>
      </w:r>
      <w:r w:rsidRPr="00BC2C30">
        <w:rPr>
          <w:rFonts w:eastAsia="SimSun"/>
          <w:sz w:val="28"/>
          <w:szCs w:val="28"/>
          <w:lang w:val="uk-UA"/>
        </w:rPr>
        <w:noBreakHyphen/>
        <w:t>5 ].</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 xml:space="preserve"> (2) </w:t>
      </w:r>
      <w:r w:rsidRPr="00BC2C30">
        <w:rPr>
          <w:rFonts w:eastAsia="SimSun"/>
          <w:i/>
          <w:sz w:val="28"/>
          <w:szCs w:val="28"/>
          <w:lang w:val="uk-UA"/>
        </w:rPr>
        <w:t>Підвищення рівня дотримання податкових правил</w:t>
      </w:r>
      <w:r w:rsidRPr="00BC2C30">
        <w:rPr>
          <w:rFonts w:eastAsia="SimSun"/>
          <w:sz w:val="28"/>
          <w:szCs w:val="28"/>
          <w:lang w:val="uk-UA"/>
        </w:rPr>
        <w:t xml:space="preserve">. Для цього ДПС має перейти до комплаєнс-підходу та системи управління податковими ризиками. Це потребує змін у внутрішніх процесах і в організаційній структурі служби. Важливим кроком стане розвиток цифрового аудиту (е-аудиту). Його планують робити на основі єдиного електронного формату звітних даних SAF‑T UA. «SAF-T UA (Standard Audit File for Tax) </w:t>
      </w:r>
      <w:r w:rsidRPr="00BC2C30">
        <w:rPr>
          <w:rFonts w:eastAsia="SimSun"/>
          <w:sz w:val="28"/>
          <w:szCs w:val="28"/>
          <w:lang w:val="uk-UA"/>
        </w:rPr>
        <w:noBreakHyphen/>
        <w:t xml:space="preserve"> це єдиний електронний формат обміну даними бухгалтерського обліку між підприємствами та Державною податковою службою України. … Обов’язковий для великих платників податків (ВПП) з 1 січня 2025 року та для всіх платників ПДВ з 1 січня 2027 року» [4]. </w:t>
      </w:r>
      <w:r w:rsidRPr="00BC2C30">
        <w:rPr>
          <w:rFonts w:eastAsia="SimSun"/>
          <w:sz w:val="28"/>
          <w:szCs w:val="28"/>
          <w:lang w:val="uk-UA"/>
        </w:rPr>
        <w:tab/>
        <w:t>Також ДПС хоче ширше використовувати аналітику та автоматичну обробку великих масивів даних ( Big Data), зокрема для контролю трансфертного ціноутворення. Окремо передбачено посилити прозорість у міжнародному оподаткуванні. Для цього планують розширити автоматичний обмін податковою інформацією за стандартами CRS та CbC. Так, відповідно до положень підпункту 14.1.10</w:t>
      </w:r>
      <w:r w:rsidRPr="00BC2C30">
        <w:rPr>
          <w:rFonts w:eastAsia="SimSun"/>
          <w:sz w:val="28"/>
          <w:szCs w:val="28"/>
          <w:vertAlign w:val="superscript"/>
          <w:lang w:val="uk-UA"/>
        </w:rPr>
        <w:t xml:space="preserve"> 1</w:t>
      </w:r>
      <w:r w:rsidRPr="00BC2C30">
        <w:rPr>
          <w:rFonts w:eastAsia="SimSun"/>
          <w:sz w:val="28"/>
          <w:szCs w:val="28"/>
          <w:lang w:val="uk-UA"/>
        </w:rPr>
        <w:t xml:space="preserve"> Закону України </w:t>
      </w:r>
      <w:bookmarkStart w:id="4" w:name="n3"/>
      <w:bookmarkEnd w:id="4"/>
      <w:r w:rsidRPr="00BC2C30">
        <w:rPr>
          <w:bCs/>
          <w:sz w:val="28"/>
          <w:szCs w:val="28"/>
          <w:lang w:val="uk-UA"/>
        </w:rPr>
        <w:t>«Про внесення змін до Податкового кодексу України та інших законодавчих актів України щодо імплементації міжнародного стандарту автоматичного обміну інформацією про фінансові рахунки» [5], «</w:t>
      </w:r>
      <w:r w:rsidRPr="00BC2C30">
        <w:rPr>
          <w:rFonts w:eastAsia="SimSun"/>
          <w:sz w:val="28"/>
          <w:szCs w:val="28"/>
          <w:lang w:val="uk-UA"/>
        </w:rPr>
        <w:t xml:space="preserve">Багатостороння угода CRS </w:t>
      </w:r>
      <w:r w:rsidRPr="00BC2C30">
        <w:rPr>
          <w:rFonts w:eastAsia="SimSun"/>
          <w:sz w:val="28"/>
          <w:szCs w:val="28"/>
          <w:lang w:val="uk-UA"/>
        </w:rPr>
        <w:noBreakHyphen/>
        <w:t> </w:t>
      </w:r>
      <w:hyperlink r:id="rId70" w:anchor="n3" w:tgtFrame="_blank" w:history="1">
        <w:r w:rsidRPr="00BC2C30">
          <w:rPr>
            <w:rFonts w:eastAsia="SimSun"/>
            <w:sz w:val="28"/>
            <w:szCs w:val="28"/>
            <w:lang w:val="uk-UA"/>
          </w:rPr>
          <w:t>багатостороння угода компетентних органів про автоматичний обмін інформацією про фінансові рахунки</w:t>
        </w:r>
      </w:hyperlink>
      <w:r w:rsidRPr="00BC2C30">
        <w:rPr>
          <w:rFonts w:eastAsia="SimSun"/>
          <w:sz w:val="28"/>
          <w:szCs w:val="28"/>
          <w:lang w:val="uk-UA"/>
        </w:rPr>
        <w:t> (Multilateral Competent Authority Agreement on Automatic Exchange of Financial Account Information (MCAA CRS), укладена відповідно до </w:t>
      </w:r>
      <w:hyperlink r:id="rId71" w:tgtFrame="_blank" w:history="1">
        <w:r w:rsidRPr="00BC2C30">
          <w:rPr>
            <w:rFonts w:eastAsia="SimSun"/>
            <w:sz w:val="28"/>
            <w:szCs w:val="28"/>
            <w:lang w:val="uk-UA"/>
          </w:rPr>
          <w:t>статті 6</w:t>
        </w:r>
      </w:hyperlink>
      <w:r w:rsidRPr="00BC2C30">
        <w:rPr>
          <w:rFonts w:eastAsia="SimSun"/>
          <w:sz w:val="28"/>
          <w:szCs w:val="28"/>
          <w:lang w:val="uk-UA"/>
        </w:rPr>
        <w:t xml:space="preserve"> Конвенції про взаємну адміністративну допомогу в податкових справах» </w:t>
      </w:r>
      <w:r w:rsidRPr="00BC2C30">
        <w:rPr>
          <w:bCs/>
          <w:sz w:val="28"/>
          <w:szCs w:val="28"/>
          <w:lang w:val="uk-UA"/>
        </w:rPr>
        <w:t xml:space="preserve">[5]. </w:t>
      </w:r>
    </w:p>
    <w:p w:rsidR="00076275" w:rsidRPr="00BC2C30" w:rsidRDefault="00076275" w:rsidP="00076275">
      <w:pPr>
        <w:shd w:val="clear" w:color="auto" w:fill="FFFFFF"/>
        <w:spacing w:line="360" w:lineRule="auto"/>
        <w:ind w:firstLine="709"/>
        <w:jc w:val="both"/>
        <w:rPr>
          <w:sz w:val="28"/>
          <w:szCs w:val="28"/>
          <w:lang w:val="uk-UA"/>
        </w:rPr>
      </w:pPr>
      <w:bookmarkStart w:id="5" w:name="n10"/>
      <w:bookmarkEnd w:id="5"/>
      <w:r w:rsidRPr="00BC2C30">
        <w:rPr>
          <w:sz w:val="28"/>
          <w:szCs w:val="28"/>
          <w:lang w:val="uk-UA"/>
        </w:rPr>
        <w:t>В Законі України № 2970-IX в пункті 14.1.10</w:t>
      </w:r>
      <w:r w:rsidRPr="00BC2C30">
        <w:rPr>
          <w:b/>
          <w:bCs/>
          <w:sz w:val="28"/>
          <w:szCs w:val="28"/>
          <w:vertAlign w:val="superscript"/>
          <w:lang w:val="uk-UA"/>
        </w:rPr>
        <w:t>-2</w:t>
      </w:r>
      <w:r w:rsidRPr="00BC2C30">
        <w:rPr>
          <w:sz w:val="28"/>
          <w:szCs w:val="28"/>
          <w:lang w:val="uk-UA"/>
        </w:rPr>
        <w:t xml:space="preserve"> зазначено, що «Багатостороння угода CbC … </w:t>
      </w:r>
      <w:r w:rsidRPr="00BC2C30">
        <w:rPr>
          <w:sz w:val="28"/>
          <w:szCs w:val="28"/>
          <w:lang w:val="uk-UA"/>
        </w:rPr>
        <w:noBreakHyphen/>
        <w:t xml:space="preserve">  </w:t>
      </w:r>
      <w:hyperlink r:id="rId72" w:anchor="n2" w:tgtFrame="_blank" w:history="1">
        <w:r w:rsidRPr="00BC2C30">
          <w:rPr>
            <w:sz w:val="28"/>
            <w:szCs w:val="28"/>
            <w:lang w:val="uk-UA"/>
          </w:rPr>
          <w:t>багатостороння угода компетентних органів про автоматичний обмін звітами у розрізі країн</w:t>
        </w:r>
      </w:hyperlink>
      <w:r w:rsidRPr="00BC2C30">
        <w:rPr>
          <w:sz w:val="28"/>
          <w:szCs w:val="28"/>
          <w:lang w:val="uk-UA"/>
        </w:rPr>
        <w:t> (Multilateral Competent Authority Agreement on the Exchange of Country-by-Country Reports), укладена відповідно до </w:t>
      </w:r>
      <w:hyperlink r:id="rId73" w:tgtFrame="_blank" w:history="1">
        <w:r w:rsidRPr="00BC2C30">
          <w:rPr>
            <w:sz w:val="28"/>
            <w:szCs w:val="28"/>
            <w:lang w:val="uk-UA"/>
          </w:rPr>
          <w:t>статті 6 </w:t>
        </w:r>
      </w:hyperlink>
      <w:r w:rsidRPr="00BC2C30">
        <w:rPr>
          <w:sz w:val="28"/>
          <w:szCs w:val="28"/>
          <w:lang w:val="uk-UA"/>
        </w:rPr>
        <w:t xml:space="preserve">Конвенції про взаємну адміністративну допомогу в податкових справах» </w:t>
      </w:r>
      <w:r w:rsidRPr="00BC2C30">
        <w:rPr>
          <w:bCs/>
          <w:sz w:val="28"/>
          <w:szCs w:val="28"/>
          <w:lang w:val="uk-UA"/>
        </w:rPr>
        <w:t>[5]</w:t>
      </w:r>
      <w:r w:rsidRPr="00BC2C30">
        <w:rPr>
          <w:sz w:val="28"/>
          <w:szCs w:val="28"/>
          <w:lang w:val="uk-UA"/>
        </w:rPr>
        <w:t>.</w:t>
      </w:r>
    </w:p>
    <w:p w:rsidR="00076275" w:rsidRPr="00BC2C30" w:rsidRDefault="00076275" w:rsidP="00076275">
      <w:pPr>
        <w:shd w:val="clear" w:color="auto" w:fill="FFFFFF"/>
        <w:spacing w:line="360" w:lineRule="auto"/>
        <w:ind w:firstLine="709"/>
        <w:jc w:val="both"/>
        <w:textAlignment w:val="baseline"/>
        <w:outlineLvl w:val="0"/>
        <w:rPr>
          <w:rFonts w:eastAsia="SimSun"/>
          <w:sz w:val="28"/>
          <w:szCs w:val="28"/>
          <w:lang w:val="uk-UA"/>
        </w:rPr>
      </w:pPr>
      <w:r w:rsidRPr="00BC2C30">
        <w:rPr>
          <w:rFonts w:eastAsia="SimSun"/>
          <w:sz w:val="28"/>
          <w:szCs w:val="28"/>
          <w:lang w:val="uk-UA"/>
        </w:rPr>
        <w:lastRenderedPageBreak/>
        <w:tab/>
        <w:t>Застосування вищезазначених інструментів допоможе швидше виявляти схеми заниження податків. Крім того, планують посилити цифровий контроль у ризикових сферах. Наприклад, у сфері  обігу підакцизних товарів, завдяки використання даних з РРО ( «</w:t>
      </w:r>
      <w:r w:rsidRPr="00BC2C30">
        <w:rPr>
          <w:rFonts w:eastAsia="SimSun"/>
          <w:sz w:val="28"/>
          <w:szCs w:val="28"/>
          <w:shd w:val="clear" w:color="auto" w:fill="FFFFFF"/>
          <w:lang w:val="uk-UA"/>
        </w:rPr>
        <w:t>це пристрій або програмно-технічний комплекс, в якому реалізовані фіскальні функції і який призначений для реєстрації розрахункових операцій</w:t>
      </w:r>
      <w:r w:rsidRPr="00BC2C30">
        <w:rPr>
          <w:rFonts w:eastAsia="SimSun"/>
          <w:sz w:val="28"/>
          <w:szCs w:val="28"/>
          <w:lang w:val="uk-UA"/>
        </w:rPr>
        <w:t>» [6])  та роботу з податковим боргом. У результаті має зменшитися тіньова діяльність, а адміністрування стане ефективнішим.</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(3) «</w:t>
      </w:r>
      <w:r w:rsidRPr="00BC2C30">
        <w:rPr>
          <w:rFonts w:eastAsia="SimSun"/>
          <w:i/>
          <w:sz w:val="28"/>
          <w:szCs w:val="28"/>
          <w:lang w:val="uk-UA"/>
        </w:rPr>
        <w:t xml:space="preserve">Цифровізацію й управління даними </w:t>
      </w:r>
      <w:r w:rsidRPr="00BC2C30">
        <w:rPr>
          <w:rFonts w:eastAsia="SimSun"/>
          <w:sz w:val="28"/>
          <w:szCs w:val="28"/>
          <w:lang w:val="uk-UA"/>
        </w:rPr>
        <w:t> через ІТ</w:t>
      </w:r>
      <w:r w:rsidRPr="00BC2C30">
        <w:rPr>
          <w:rFonts w:eastAsia="SimSun"/>
          <w:sz w:val="28"/>
          <w:szCs w:val="28"/>
          <w:lang w:val="uk-UA"/>
        </w:rPr>
        <w:noBreakHyphen/>
        <w:t>консолідацію ресурсів у контурі Мінфіну, підсилення кібербезпеки (ISO/IEC 27001), використання (де)персоніфікованих даних і майбутню інтеграцію з європейськими системами ПДВ/акцизів» [ 2, с. 4</w:t>
      </w:r>
      <w:r w:rsidRPr="00BC2C30">
        <w:rPr>
          <w:rFonts w:eastAsia="SimSun"/>
          <w:sz w:val="28"/>
          <w:szCs w:val="28"/>
          <w:lang w:val="uk-UA"/>
        </w:rPr>
        <w:noBreakHyphen/>
        <w:t>5 ].</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Європейський підхід передбачає, що податкова служба має функціонувати як провайдер якісних цифрових послуг, що відповідає положенням  Регламенту (ЄС) № 910/2014 (eIDAS) [7] щодо електронної ідентифікації та довірчих послуг.</w:t>
      </w:r>
    </w:p>
    <w:p w:rsidR="00076275" w:rsidRPr="00BC2C30"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Аналіз законодавства дозволяє визначити, що впровадження стандартів acquis ЄС в національну  практику має відбуватися за декількома стратегічними векторами:</w:t>
      </w:r>
    </w:p>
    <w:p w:rsidR="00076275" w:rsidRPr="00BC2C30" w:rsidRDefault="00076275" w:rsidP="00076275">
      <w:pPr>
        <w:numPr>
          <w:ilvl w:val="0"/>
          <w:numId w:val="20"/>
        </w:numPr>
        <w:spacing w:line="360" w:lineRule="auto"/>
        <w:ind w:left="0" w:firstLine="709"/>
        <w:contextualSpacing/>
        <w:jc w:val="both"/>
        <w:rPr>
          <w:rFonts w:eastAsia="SimSun"/>
          <w:sz w:val="28"/>
          <w:szCs w:val="28"/>
          <w:lang w:val="uk-UA"/>
        </w:rPr>
      </w:pPr>
      <w:r w:rsidRPr="00BC2C30">
        <w:rPr>
          <w:rFonts w:eastAsia="SimSun"/>
          <w:b/>
          <w:sz w:val="28"/>
          <w:szCs w:val="28"/>
          <w:lang w:val="uk-UA"/>
        </w:rPr>
        <w:t>Удосконалення ризик-орієнтованого контролю</w:t>
      </w:r>
      <w:r w:rsidRPr="00BC2C30">
        <w:rPr>
          <w:rFonts w:eastAsia="SimSun"/>
          <w:sz w:val="28"/>
          <w:szCs w:val="28"/>
          <w:lang w:val="uk-UA"/>
        </w:rPr>
        <w:t xml:space="preserve">. Європейська практика базується на принципі пропорційності. Відповідно до положень Податкового кодексу України (наприклад,   п.п. </w:t>
      </w:r>
      <w:r w:rsidRPr="00BC2C30">
        <w:rPr>
          <w:rFonts w:eastAsia="SimSun"/>
          <w:sz w:val="28"/>
          <w:szCs w:val="28"/>
          <w:shd w:val="clear" w:color="auto" w:fill="FFFFFF"/>
          <w:lang w:val="uk-UA"/>
        </w:rPr>
        <w:t>4.1.4.</w:t>
      </w:r>
      <w:r w:rsidRPr="00BC2C30">
        <w:rPr>
          <w:rFonts w:eastAsia="SimSun"/>
          <w:sz w:val="28"/>
          <w:szCs w:val="28"/>
          <w:lang w:val="uk-UA"/>
        </w:rPr>
        <w:t xml:space="preserve"> ст. 4 «щодо принципу презумпції правомірності рішень платника» [8]), інтенсивність перевірок має відповідати реальному рівню ризику. Автоматизація системи аналізу  Big Data  дозволяє реалізувати заходи, передбачені Директивою Ради (ЄС) 2016/1164 (ATAD) [9], спрямованою на протидію практикам уникнення оподаткування.  «Зокрема, стаття 5 цієї Директиви регулює концепцію  Exit taxation  … ( «податок на виведення активів», «податок на нереалізований приріст капіталу», «податок на виїзд»), яка передбачає оподаткування приросту капіталу під час виведення активів або зміни податкового резиденства, щоб запобігти розмиванню податкової бази через такі операції. Для країн-членів ЄС </w:t>
      </w:r>
      <w:r w:rsidRPr="00BC2C30">
        <w:rPr>
          <w:rFonts w:eastAsia="SimSun"/>
          <w:sz w:val="28"/>
          <w:szCs w:val="28"/>
          <w:lang w:val="uk-UA"/>
        </w:rPr>
        <w:lastRenderedPageBreak/>
        <w:t>впровадження цієї директиви є обов’язковим, що робить її важливим орієнтиром для України на шляху до євроінтеграції» [10, с. 252 ].</w:t>
      </w:r>
    </w:p>
    <w:p w:rsidR="00076275" w:rsidRPr="00BC2C30" w:rsidRDefault="00076275" w:rsidP="00076275">
      <w:pPr>
        <w:numPr>
          <w:ilvl w:val="0"/>
          <w:numId w:val="20"/>
        </w:numPr>
        <w:shd w:val="clear" w:color="auto" w:fill="FFFFFF"/>
        <w:spacing w:line="360" w:lineRule="auto"/>
        <w:ind w:left="0" w:firstLine="709"/>
        <w:contextualSpacing/>
        <w:jc w:val="both"/>
        <w:textAlignment w:val="baseline"/>
        <w:rPr>
          <w:rFonts w:eastAsia="SimSun"/>
          <w:sz w:val="28"/>
          <w:szCs w:val="28"/>
          <w:lang w:val="uk-UA"/>
        </w:rPr>
      </w:pPr>
      <w:r w:rsidRPr="00BC2C30">
        <w:rPr>
          <w:rFonts w:eastAsia="SimSun"/>
          <w:b/>
          <w:sz w:val="28"/>
          <w:szCs w:val="28"/>
          <w:lang w:val="uk-UA"/>
        </w:rPr>
        <w:t>Цифровізація та автоматичний обмін інформацією</w:t>
      </w:r>
      <w:r w:rsidRPr="00BC2C30">
        <w:rPr>
          <w:rFonts w:eastAsia="SimSun"/>
          <w:sz w:val="28"/>
          <w:szCs w:val="28"/>
          <w:lang w:val="uk-UA"/>
        </w:rPr>
        <w:t xml:space="preserve">. Невід’ємною частиною податкового acquis є механізми адміністративної співпраці. Ключовим інструментом тут виступає Директива Ради 2011/16/ЄС (DAC) [11]. </w:t>
      </w:r>
    </w:p>
    <w:p w:rsidR="00076275" w:rsidRPr="00BC2C30" w:rsidRDefault="00076275" w:rsidP="00076275">
      <w:pPr>
        <w:shd w:val="clear" w:color="auto" w:fill="FFFFFF"/>
        <w:spacing w:line="360" w:lineRule="auto"/>
        <w:ind w:firstLine="709"/>
        <w:contextualSpacing/>
        <w:jc w:val="both"/>
        <w:textAlignment w:val="baseline"/>
        <w:rPr>
          <w:rFonts w:eastAsia="SimSun"/>
          <w:sz w:val="28"/>
          <w:szCs w:val="28"/>
          <w:lang w:val="uk-UA"/>
        </w:rPr>
      </w:pPr>
      <w:r w:rsidRPr="00BC2C30">
        <w:rPr>
          <w:rFonts w:eastAsia="SimSun"/>
          <w:sz w:val="28"/>
          <w:szCs w:val="28"/>
          <w:lang w:val="uk-UA"/>
        </w:rPr>
        <w:t xml:space="preserve">В Україні цей напрям реалізується через Закон України № 2970-IX [5], який запровадив міжнародний стандарт автоматичного обміну інформацією про фінансові рахунки (CRS) та став фундаментом для приєднання до мережі DAC7. </w:t>
      </w:r>
      <w:r w:rsidRPr="00BC2C30">
        <w:rPr>
          <w:rFonts w:eastAsia="SimSun"/>
          <w:b/>
          <w:sz w:val="28"/>
          <w:szCs w:val="28"/>
          <w:lang w:val="uk-UA"/>
        </w:rPr>
        <w:t>«</w:t>
      </w:r>
      <w:r w:rsidRPr="00BC2C30">
        <w:rPr>
          <w:rFonts w:eastAsia="SimSun"/>
          <w:sz w:val="28"/>
          <w:szCs w:val="28"/>
          <w:lang w:val="uk-UA"/>
        </w:rPr>
        <w:t>Багатосторонній автоматичний обмін інформацією про доходи, отримані через цифрові платформи, здійснюватиметься відповідно до Багатосторонньої угоди компетентних органів про автоматичний обмін інформацією про доходи, отримані через цифрові платформи (Багатостороння угода DPI). Учасниками такої угоди наразі є 26 країн, переважна більшість з яких є державами – членами Європейського Союзу. Обов’язковою передумовою для приєднання України до Багатосторонньої угоди DPI є імплементація в національне податкове законодавство Модельних правил ОЕСР щодо звітності операторів цифрових платформ та Директиви Ради (ЄС) 2021/514 від 22 березня 2021 року про внесення змін до Директиви 2011/16/ЄС про адміністративну співпрацю у сфері оподаткування … » [12].</w:t>
      </w:r>
    </w:p>
    <w:p w:rsidR="00076275" w:rsidRPr="00BC2C30" w:rsidRDefault="00076275" w:rsidP="00076275">
      <w:pPr>
        <w:numPr>
          <w:ilvl w:val="0"/>
          <w:numId w:val="20"/>
        </w:numPr>
        <w:spacing w:line="360" w:lineRule="auto"/>
        <w:ind w:left="0" w:firstLine="709"/>
        <w:contextualSpacing/>
        <w:jc w:val="both"/>
        <w:rPr>
          <w:rFonts w:eastAsia="SimSun"/>
          <w:sz w:val="28"/>
          <w:szCs w:val="28"/>
          <w:lang w:val="uk-UA"/>
        </w:rPr>
      </w:pPr>
      <w:r w:rsidRPr="00BC2C30">
        <w:rPr>
          <w:rFonts w:eastAsia="SimSun"/>
          <w:b/>
          <w:sz w:val="28"/>
          <w:szCs w:val="28"/>
          <w:lang w:val="uk-UA"/>
        </w:rPr>
        <w:t>Забезпечення процедурної справедливості</w:t>
      </w:r>
      <w:r w:rsidRPr="00BC2C30">
        <w:rPr>
          <w:rFonts w:eastAsia="SimSun"/>
          <w:sz w:val="28"/>
          <w:szCs w:val="28"/>
          <w:lang w:val="uk-UA"/>
        </w:rPr>
        <w:t>. Стандарти ЄС, зокрема Стаття 41 Хартії основних прав ЄС [13], гарантують право на належне врядування. Це корелюється із нормами Закону України «Про адміністративну процедуру» [14], який запроваджує нові стандарти взаємодії влади з громадянами. Модернізація адміністрування повинна гарантувати право платника на належне мотивування рішень та доступ до ефективних інструментів медіації, що передбачено стратегічними планами цифровізації ДПС [2].</w:t>
      </w:r>
    </w:p>
    <w:p w:rsidR="00076275" w:rsidRDefault="00076275" w:rsidP="00076275">
      <w:pPr>
        <w:spacing w:line="360" w:lineRule="auto"/>
        <w:ind w:firstLine="709"/>
        <w:jc w:val="both"/>
        <w:rPr>
          <w:rFonts w:eastAsia="SimSun"/>
          <w:sz w:val="28"/>
          <w:szCs w:val="28"/>
          <w:lang w:val="uk-UA"/>
        </w:rPr>
      </w:pPr>
      <w:r w:rsidRPr="00BC2C30">
        <w:rPr>
          <w:rFonts w:eastAsia="SimSun"/>
          <w:sz w:val="28"/>
          <w:szCs w:val="28"/>
          <w:lang w:val="uk-UA"/>
        </w:rPr>
        <w:tab/>
        <w:t xml:space="preserve">Тобто, модернізація податкового адміністрування в Україні через призму acquis ЄС  </w:t>
      </w:r>
      <w:r w:rsidRPr="00BC2C30">
        <w:rPr>
          <w:rFonts w:eastAsia="SimSun"/>
          <w:sz w:val="28"/>
          <w:szCs w:val="28"/>
          <w:lang w:val="uk-UA"/>
        </w:rPr>
        <w:noBreakHyphen/>
        <w:t xml:space="preserve"> це шлях до побудови «інфраструктури довіри». Реалізація цих стандартів дозволить створити передбачуване середовище, що є важливою </w:t>
      </w:r>
      <w:r w:rsidRPr="00BC2C30">
        <w:rPr>
          <w:rFonts w:eastAsia="SimSun"/>
          <w:sz w:val="28"/>
          <w:szCs w:val="28"/>
          <w:lang w:val="uk-UA"/>
        </w:rPr>
        <w:lastRenderedPageBreak/>
        <w:t>умовою  для залучення європейських інвестицій та повноцінної інтеграції України до єдиного ринку ЄС.</w:t>
      </w:r>
    </w:p>
    <w:p w:rsidR="00076275" w:rsidRDefault="00076275" w:rsidP="00076275">
      <w:pPr>
        <w:spacing w:line="360" w:lineRule="auto"/>
        <w:ind w:firstLine="709"/>
        <w:jc w:val="both"/>
        <w:rPr>
          <w:rFonts w:eastAsia="SimSun"/>
          <w:sz w:val="28"/>
          <w:szCs w:val="28"/>
          <w:lang w:val="uk-UA"/>
        </w:rPr>
      </w:pPr>
    </w:p>
    <w:p w:rsidR="00076275" w:rsidRPr="00FA3276" w:rsidRDefault="00076275" w:rsidP="00076275">
      <w:pPr>
        <w:spacing w:line="360" w:lineRule="auto"/>
        <w:ind w:firstLine="709"/>
        <w:jc w:val="center"/>
        <w:rPr>
          <w:rFonts w:eastAsia="SimSun"/>
          <w:b/>
          <w:bCs/>
          <w:sz w:val="28"/>
          <w:szCs w:val="28"/>
          <w:lang w:val="uk-UA"/>
        </w:rPr>
      </w:pPr>
      <w:r w:rsidRPr="00FA3276">
        <w:rPr>
          <w:rFonts w:eastAsia="SimSun"/>
          <w:b/>
          <w:bCs/>
          <w:sz w:val="28"/>
          <w:szCs w:val="28"/>
          <w:lang w:val="uk-UA"/>
        </w:rPr>
        <w:t>СПИСОК ВИКОРИСТАНИХ ДЖЕРЕЛ</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t>Довідка щодо відповідності зобов'язанням України у сфері європейської інтеграції та праву Європейського Союзу (acquis EC) проєкту наказу Міністерства фінансів України «Про затвердження Порядку видачі довідки про сплачений нерезидентом в Україні податок на прибуток (доходи) та форми цієї довідки». 5 с. URL: https://tax.gov.ua/data/normativ/000/004/77343/07_ Dov_dka_pro_v_dpov_dn_st_zakonodavstvu_S.pdf</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t xml:space="preserve">Національна стратегія доходів до 2030 року. URL: </w:t>
      </w:r>
      <w:hyperlink r:id="rId74" w:history="1">
        <w:r w:rsidRPr="00BC2C30">
          <w:rPr>
            <w:rFonts w:eastAsia="SimSun"/>
            <w:sz w:val="28"/>
            <w:szCs w:val="28"/>
            <w:lang w:val="uk-UA"/>
          </w:rPr>
          <w:t>https://mof.gov.ua/storage/files/National%20Revenue%20Strategy_2030_.pdf</w:t>
        </w:r>
      </w:hyperlink>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bCs/>
          <w:sz w:val="28"/>
          <w:szCs w:val="28"/>
          <w:shd w:val="clear" w:color="auto" w:fill="FFFFFF"/>
          <w:lang w:val="uk-UA"/>
        </w:rPr>
        <w:t>Про схвалення Національної стратегії доходів до 2030 року</w:t>
      </w:r>
      <w:r w:rsidRPr="00BC2C30">
        <w:rPr>
          <w:rFonts w:eastAsia="SimSun"/>
          <w:sz w:val="28"/>
          <w:szCs w:val="28"/>
          <w:lang w:val="uk-UA"/>
        </w:rPr>
        <w:t xml:space="preserve">: Розпорядження Кабінету Міністрів України від 27.12.2023 р. № 1218-р. URL: </w:t>
      </w:r>
      <w:hyperlink r:id="rId75" w:anchor="Text" w:history="1">
        <w:r w:rsidRPr="00BC2C30">
          <w:rPr>
            <w:rFonts w:eastAsia="SimSun"/>
            <w:sz w:val="28"/>
            <w:szCs w:val="28"/>
            <w:lang w:val="uk-UA"/>
          </w:rPr>
          <w:t>https://zakon.rada.gov.ua/laws/show/1218-2023-%D1%80#Text</w:t>
        </w:r>
      </w:hyperlink>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t>Що таке SAF-T UA? URL: https://emea-saft.com/ua/solution/mysaf-t?gad_source=1&amp;gad_campaignid=22553281850&amp;gbraid=0AAAAA_</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bCs/>
          <w:sz w:val="28"/>
          <w:szCs w:val="28"/>
          <w:shd w:val="clear" w:color="auto" w:fill="FFFFFF"/>
          <w:lang w:val="uk-UA"/>
        </w:rPr>
        <w:t>Про внесення змін до Податкового кодексу України та інших законодавчих актів України щодо імплементації міжнародного стандарту автоматичного обміну інформацією про фінансові рахунки</w:t>
      </w:r>
      <w:r w:rsidRPr="00BC2C30">
        <w:rPr>
          <w:rFonts w:eastAsia="SimSun"/>
          <w:sz w:val="28"/>
          <w:szCs w:val="28"/>
          <w:lang w:val="uk-UA"/>
        </w:rPr>
        <w:t>:  Закон України від 20.03.2023 р. № 2970-IX. URL : https://zakon.rada.gov.ua/laws/show/2970-20#Text</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kern w:val="36"/>
          <w:sz w:val="28"/>
          <w:szCs w:val="28"/>
          <w:lang w:val="uk-UA"/>
        </w:rPr>
        <w:t>РРО/ПРРО</w:t>
      </w:r>
      <w:r w:rsidRPr="00BC2C30">
        <w:rPr>
          <w:rFonts w:eastAsia="SimSun"/>
          <w:sz w:val="28"/>
          <w:szCs w:val="28"/>
          <w:lang w:val="uk-UA"/>
        </w:rPr>
        <w:t xml:space="preserve">.   URL :  </w:t>
      </w:r>
      <w:r w:rsidRPr="00BC2C30">
        <w:rPr>
          <w:kern w:val="36"/>
          <w:sz w:val="28"/>
          <w:szCs w:val="28"/>
          <w:lang w:val="uk-UA"/>
        </w:rPr>
        <w:t>https://mof.gov.ua/uk/ppo</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bCs/>
          <w:sz w:val="28"/>
          <w:szCs w:val="28"/>
          <w:shd w:val="clear" w:color="auto" w:fill="FFFFFF"/>
          <w:lang w:val="uk-UA"/>
        </w:rPr>
        <w:t>Про електронну ідентифікацію та довірчі послуги для електронних транзакцій на внутрішньому ринку та про скасування Директиви 1999/93/ЄС : Регламент Європейського Парламенту І Ради (ЄС) № 910/2014</w:t>
      </w:r>
      <w:r w:rsidRPr="00BC2C30">
        <w:rPr>
          <w:rFonts w:eastAsia="SimSun"/>
          <w:sz w:val="28"/>
          <w:szCs w:val="28"/>
          <w:lang w:val="uk-UA"/>
        </w:rPr>
        <w:t xml:space="preserve"> </w:t>
      </w:r>
      <w:r w:rsidRPr="00BC2C30">
        <w:rPr>
          <w:rFonts w:eastAsia="SimSun"/>
          <w:bCs/>
          <w:sz w:val="28"/>
          <w:szCs w:val="28"/>
          <w:shd w:val="clear" w:color="auto" w:fill="FFFFFF"/>
          <w:lang w:val="uk-UA"/>
        </w:rPr>
        <w:t>від 23 липня 2014 р..</w:t>
      </w:r>
      <w:r w:rsidRPr="00BC2C30">
        <w:rPr>
          <w:rFonts w:eastAsia="SimSun"/>
          <w:sz w:val="28"/>
          <w:szCs w:val="28"/>
          <w:lang w:val="uk-UA"/>
        </w:rPr>
        <w:t xml:space="preserve"> URL :</w:t>
      </w:r>
      <w:r w:rsidRPr="00BC2C30">
        <w:rPr>
          <w:rFonts w:eastAsia="SimSun"/>
          <w:bCs/>
          <w:sz w:val="28"/>
          <w:szCs w:val="28"/>
          <w:shd w:val="clear" w:color="auto" w:fill="FFFFFF"/>
          <w:lang w:val="uk-UA"/>
        </w:rPr>
        <w:t xml:space="preserve"> </w:t>
      </w:r>
      <w:hyperlink r:id="rId76" w:anchor="Text" w:history="1">
        <w:r w:rsidRPr="00BC2C30">
          <w:rPr>
            <w:rFonts w:eastAsia="SimSun"/>
            <w:bCs/>
            <w:sz w:val="28"/>
            <w:szCs w:val="28"/>
            <w:shd w:val="clear" w:color="auto" w:fill="FFFFFF"/>
            <w:lang w:val="uk-UA"/>
          </w:rPr>
          <w:t>https://zakon.rada.gov.ua/laws/show/984_016-14#Text</w:t>
        </w:r>
      </w:hyperlink>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t xml:space="preserve">Податковий кодекс України від   02.12.2010 р. №  2755-VI. </w:t>
      </w:r>
    </w:p>
    <w:p w:rsidR="00076275" w:rsidRPr="00BC2C30" w:rsidRDefault="00076275" w:rsidP="00076275">
      <w:pPr>
        <w:spacing w:line="360" w:lineRule="auto"/>
        <w:ind w:firstLine="709"/>
        <w:contextualSpacing/>
        <w:jc w:val="both"/>
        <w:rPr>
          <w:rFonts w:eastAsia="SimSun"/>
          <w:sz w:val="28"/>
          <w:szCs w:val="28"/>
          <w:lang w:val="uk-UA"/>
        </w:rPr>
      </w:pPr>
      <w:r w:rsidRPr="00BC2C30">
        <w:rPr>
          <w:rFonts w:eastAsia="SimSun"/>
          <w:sz w:val="28"/>
          <w:szCs w:val="28"/>
          <w:lang w:val="uk-UA"/>
        </w:rPr>
        <w:t xml:space="preserve"> URL : https://zakon.rada.gov.ua/laws/show/2755-17#Text</w:t>
      </w:r>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t xml:space="preserve">Council Directive (EU) № 2016/1164 of 12 July 2016 laying down rules against tax avoidance practices that directly affect the functioning of the internal market. URL: </w:t>
      </w:r>
      <w:hyperlink r:id="rId77" w:history="1">
        <w:r w:rsidRPr="00BC2C30">
          <w:rPr>
            <w:rFonts w:eastAsia="SimSun"/>
            <w:sz w:val="28"/>
            <w:szCs w:val="28"/>
            <w:lang w:val="uk-UA"/>
          </w:rPr>
          <w:t>https://eur-lex.europa.eu/legal-content/en/TXT/?uri=celex:32016L1164</w:t>
        </w:r>
      </w:hyperlink>
    </w:p>
    <w:p w:rsidR="00076275" w:rsidRPr="00BC2C30" w:rsidRDefault="00076275" w:rsidP="00076275">
      <w:pPr>
        <w:numPr>
          <w:ilvl w:val="0"/>
          <w:numId w:val="21"/>
        </w:numPr>
        <w:spacing w:line="360" w:lineRule="auto"/>
        <w:ind w:left="0" w:firstLine="709"/>
        <w:contextualSpacing/>
        <w:jc w:val="both"/>
        <w:rPr>
          <w:rFonts w:eastAsia="SimSun"/>
          <w:sz w:val="28"/>
          <w:szCs w:val="28"/>
          <w:lang w:val="uk-UA"/>
        </w:rPr>
      </w:pPr>
      <w:r w:rsidRPr="00BC2C30">
        <w:rPr>
          <w:rFonts w:eastAsia="SimSun"/>
          <w:sz w:val="28"/>
          <w:szCs w:val="28"/>
          <w:lang w:val="uk-UA"/>
        </w:rPr>
        <w:lastRenderedPageBreak/>
        <w:t xml:space="preserve">Гладченко Т.В. Exit tax у розумінні статті 5 Директиви Ради (ЄС) 2016/1164, перспективи та шляхи запровадження в Україні. </w:t>
      </w:r>
      <w:r w:rsidRPr="00BC2C30">
        <w:rPr>
          <w:rFonts w:eastAsia="SimSun"/>
          <w:i/>
          <w:sz w:val="28"/>
          <w:szCs w:val="28"/>
          <w:lang w:val="uk-UA"/>
        </w:rPr>
        <w:t xml:space="preserve">Юридичний науковий електронний журнал, </w:t>
      </w:r>
      <w:r w:rsidRPr="00BC2C30">
        <w:rPr>
          <w:rFonts w:eastAsia="SimSun"/>
          <w:sz w:val="28"/>
          <w:szCs w:val="28"/>
          <w:lang w:val="uk-UA"/>
        </w:rPr>
        <w:t xml:space="preserve">2025. № 4/2025. С. 252 </w:t>
      </w:r>
      <w:r w:rsidRPr="00BC2C30">
        <w:rPr>
          <w:rFonts w:eastAsia="SimSun"/>
          <w:sz w:val="28"/>
          <w:szCs w:val="28"/>
          <w:lang w:val="uk-UA"/>
        </w:rPr>
        <w:noBreakHyphen/>
        <w:t xml:space="preserve"> 256. DOI https://doi.org/10.32782/2524-0374/2025-4/57</w:t>
      </w:r>
    </w:p>
    <w:p w:rsidR="00076275" w:rsidRPr="00BC2C30" w:rsidRDefault="00076275" w:rsidP="00076275">
      <w:pPr>
        <w:numPr>
          <w:ilvl w:val="0"/>
          <w:numId w:val="21"/>
        </w:numPr>
        <w:shd w:val="clear" w:color="auto" w:fill="FFFFFF"/>
        <w:spacing w:line="360" w:lineRule="auto"/>
        <w:ind w:left="0" w:firstLine="709"/>
        <w:contextualSpacing/>
        <w:jc w:val="both"/>
        <w:textAlignment w:val="baseline"/>
        <w:rPr>
          <w:rFonts w:eastAsia="SimSun"/>
          <w:sz w:val="28"/>
          <w:szCs w:val="28"/>
          <w:lang w:val="uk-UA"/>
        </w:rPr>
      </w:pPr>
      <w:r w:rsidRPr="00BC2C30">
        <w:rPr>
          <w:rFonts w:eastAsia="SimSun"/>
          <w:bCs/>
          <w:sz w:val="28"/>
          <w:szCs w:val="28"/>
          <w:shd w:val="clear" w:color="auto" w:fill="FFFFFF"/>
          <w:lang w:val="uk-UA"/>
        </w:rPr>
        <w:t xml:space="preserve">Про адміністративну співпрацю у сфері оподаткування та про скасування Директиви 77/799/ЄEC : Директива Ради 2011/16/ЄС від 15 лютого 2011 року. </w:t>
      </w:r>
      <w:r w:rsidRPr="00BC2C30">
        <w:rPr>
          <w:rFonts w:eastAsia="SimSun"/>
          <w:sz w:val="28"/>
          <w:szCs w:val="28"/>
          <w:lang w:val="uk-UA"/>
        </w:rPr>
        <w:t xml:space="preserve">URL: </w:t>
      </w:r>
      <w:hyperlink r:id="rId78" w:anchor="Text" w:history="1">
        <w:r w:rsidRPr="00BC2C30">
          <w:rPr>
            <w:rFonts w:eastAsia="SimSun"/>
            <w:bCs/>
            <w:sz w:val="28"/>
            <w:szCs w:val="28"/>
            <w:shd w:val="clear" w:color="auto" w:fill="FFFFFF"/>
            <w:lang w:val="uk-UA"/>
          </w:rPr>
          <w:t>https://zakon.rada.gov.ua/laws/show/984_024-11#Text</w:t>
        </w:r>
      </w:hyperlink>
    </w:p>
    <w:p w:rsidR="00076275" w:rsidRPr="00BC2C30" w:rsidRDefault="00076275" w:rsidP="00076275">
      <w:pPr>
        <w:numPr>
          <w:ilvl w:val="0"/>
          <w:numId w:val="21"/>
        </w:numPr>
        <w:shd w:val="clear" w:color="auto" w:fill="FFFFFF"/>
        <w:spacing w:line="360" w:lineRule="auto"/>
        <w:ind w:left="0" w:firstLine="709"/>
        <w:contextualSpacing/>
        <w:jc w:val="both"/>
        <w:textAlignment w:val="baseline"/>
        <w:rPr>
          <w:rFonts w:eastAsia="SimSun"/>
          <w:sz w:val="28"/>
          <w:szCs w:val="28"/>
          <w:lang w:val="uk-UA"/>
        </w:rPr>
      </w:pPr>
      <w:r w:rsidRPr="00BC2C30">
        <w:rPr>
          <w:kern w:val="36"/>
          <w:sz w:val="28"/>
          <w:szCs w:val="28"/>
          <w:lang w:val="uk-UA"/>
        </w:rPr>
        <w:t xml:space="preserve">Мінфін обговорив з операторами цифрових платформ концепцію запровадження звітності про доходи своїх користувачів. URL: </w:t>
      </w:r>
      <w:r w:rsidRPr="00BC2C30">
        <w:rPr>
          <w:rFonts w:eastAsia="SimSun"/>
          <w:sz w:val="28"/>
          <w:szCs w:val="28"/>
          <w:lang w:val="uk-UA"/>
        </w:rPr>
        <w:t xml:space="preserve"> </w:t>
      </w:r>
      <w:r w:rsidRPr="00BC2C30">
        <w:rPr>
          <w:kern w:val="36"/>
          <w:sz w:val="28"/>
          <w:szCs w:val="28"/>
          <w:lang w:val="uk-UA"/>
        </w:rPr>
        <w:t>https://mof.gov.ua/uk/news/minfin_obgovoriv_z_operatorami_tsifrovikh_platform_kontseptsiiu_zaprovadzhennia_zvitnosti_pro_dokhodi_svoikh_koristuvachiv-4746</w:t>
      </w:r>
    </w:p>
    <w:p w:rsidR="00076275" w:rsidRPr="00BC2C30" w:rsidRDefault="00076275" w:rsidP="00076275">
      <w:pPr>
        <w:numPr>
          <w:ilvl w:val="0"/>
          <w:numId w:val="21"/>
        </w:numPr>
        <w:shd w:val="clear" w:color="auto" w:fill="FFFFFF"/>
        <w:spacing w:line="360" w:lineRule="auto"/>
        <w:ind w:left="0" w:firstLine="709"/>
        <w:contextualSpacing/>
        <w:jc w:val="both"/>
        <w:outlineLvl w:val="0"/>
        <w:rPr>
          <w:kern w:val="36"/>
          <w:sz w:val="28"/>
          <w:szCs w:val="28"/>
          <w:lang w:val="uk-UA"/>
        </w:rPr>
      </w:pPr>
      <w:r w:rsidRPr="00BC2C30">
        <w:rPr>
          <w:kern w:val="36"/>
          <w:sz w:val="28"/>
          <w:szCs w:val="28"/>
          <w:lang w:val="uk-UA"/>
        </w:rPr>
        <w:t>Хартія Європейського Союзу про основоположні права.</w:t>
      </w:r>
      <w:r w:rsidRPr="00BC2C30">
        <w:rPr>
          <w:rFonts w:eastAsia="SimSun"/>
          <w:sz w:val="28"/>
          <w:szCs w:val="28"/>
          <w:lang w:val="uk-UA"/>
        </w:rPr>
        <w:t xml:space="preserve"> URL: </w:t>
      </w:r>
      <w:hyperlink r:id="rId79" w:history="1">
        <w:r w:rsidRPr="00BC2C30">
          <w:rPr>
            <w:kern w:val="36"/>
            <w:sz w:val="28"/>
            <w:szCs w:val="28"/>
            <w:lang w:val="uk-UA"/>
          </w:rPr>
          <w:t>https://ccl.org.ua/posts/2021/11/hartiya-osnovnyh-prav-yevropejskogo-soyuzu/</w:t>
        </w:r>
      </w:hyperlink>
    </w:p>
    <w:p w:rsidR="00076275" w:rsidRPr="00BC2C30" w:rsidRDefault="00076275" w:rsidP="00076275">
      <w:pPr>
        <w:numPr>
          <w:ilvl w:val="0"/>
          <w:numId w:val="21"/>
        </w:numPr>
        <w:shd w:val="clear" w:color="auto" w:fill="FFFFFF"/>
        <w:spacing w:line="360" w:lineRule="auto"/>
        <w:ind w:left="0" w:firstLine="709"/>
        <w:contextualSpacing/>
        <w:jc w:val="both"/>
        <w:outlineLvl w:val="0"/>
        <w:rPr>
          <w:kern w:val="36"/>
          <w:sz w:val="28"/>
          <w:szCs w:val="28"/>
          <w:lang w:val="uk-UA"/>
        </w:rPr>
      </w:pPr>
      <w:r w:rsidRPr="00BC2C30">
        <w:rPr>
          <w:rFonts w:eastAsia="SimSun"/>
          <w:sz w:val="28"/>
          <w:szCs w:val="28"/>
          <w:lang w:val="uk-UA"/>
        </w:rPr>
        <w:t xml:space="preserve">Про адміністративну процедуру: Закон України від </w:t>
      </w:r>
      <w:r w:rsidRPr="00BC2C30">
        <w:rPr>
          <w:rFonts w:eastAsia="SimSun"/>
          <w:sz w:val="28"/>
          <w:szCs w:val="28"/>
          <w:shd w:val="clear" w:color="auto" w:fill="FFFFFF"/>
          <w:lang w:val="uk-UA"/>
        </w:rPr>
        <w:t>17.02.2022</w:t>
      </w:r>
      <w:r w:rsidRPr="00BC2C30">
        <w:rPr>
          <w:rFonts w:eastAsia="SimSun"/>
          <w:sz w:val="28"/>
          <w:szCs w:val="28"/>
          <w:lang w:val="uk-UA"/>
        </w:rPr>
        <w:t xml:space="preserve"> № 2073-IX. URL : https://zakon.rada.gov.ua/laws/show/2073-20#Text</w:t>
      </w:r>
    </w:p>
    <w:p w:rsidR="00076275" w:rsidRPr="00BC2C30" w:rsidRDefault="00076275" w:rsidP="00076275">
      <w:pPr>
        <w:spacing w:line="360" w:lineRule="auto"/>
        <w:ind w:firstLine="709"/>
        <w:jc w:val="both"/>
        <w:rPr>
          <w:rFonts w:eastAsia="SimSun"/>
          <w:b/>
          <w:sz w:val="28"/>
          <w:szCs w:val="28"/>
          <w:lang w:val="uk-UA"/>
        </w:rPr>
      </w:pPr>
    </w:p>
    <w:p w:rsidR="00076275" w:rsidRPr="00FD38BE" w:rsidRDefault="00076275" w:rsidP="00076275">
      <w:pPr>
        <w:spacing w:line="360" w:lineRule="auto"/>
        <w:ind w:firstLine="709"/>
        <w:rPr>
          <w:sz w:val="28"/>
          <w:szCs w:val="28"/>
          <w:lang w:val="uk-UA"/>
        </w:rPr>
      </w:pPr>
    </w:p>
    <w:p w:rsidR="00076275" w:rsidRPr="00652DCE" w:rsidRDefault="00076275" w:rsidP="00076275">
      <w:pPr>
        <w:spacing w:line="360" w:lineRule="auto"/>
        <w:ind w:firstLine="709"/>
        <w:jc w:val="center"/>
        <w:rPr>
          <w:rFonts w:eastAsiaTheme="minorHAnsi"/>
          <w:b/>
          <w:iCs/>
          <w:sz w:val="28"/>
          <w:szCs w:val="28"/>
          <w:lang w:val="uk-UA" w:eastAsia="en-US"/>
        </w:rPr>
      </w:pPr>
      <w:r w:rsidRPr="00652DCE">
        <w:rPr>
          <w:rFonts w:eastAsiaTheme="minorHAnsi"/>
          <w:b/>
          <w:iCs/>
          <w:sz w:val="28"/>
          <w:szCs w:val="28"/>
          <w:lang w:val="uk-UA" w:eastAsia="en-US"/>
        </w:rPr>
        <w:t xml:space="preserve">НАПРЯМИ МОДЕРНІЗАЦІЇ ЕТИЧНИХ СТАНДАРТІВ </w:t>
      </w:r>
    </w:p>
    <w:p w:rsidR="00076275" w:rsidRPr="00652DCE" w:rsidRDefault="00076275" w:rsidP="00076275">
      <w:pPr>
        <w:spacing w:line="360" w:lineRule="auto"/>
        <w:ind w:firstLine="709"/>
        <w:jc w:val="center"/>
        <w:rPr>
          <w:rFonts w:eastAsiaTheme="minorHAnsi"/>
          <w:b/>
          <w:iCs/>
          <w:sz w:val="28"/>
          <w:szCs w:val="28"/>
          <w:lang w:val="uk-UA" w:eastAsia="en-US"/>
        </w:rPr>
      </w:pPr>
      <w:r w:rsidRPr="00652DCE">
        <w:rPr>
          <w:rFonts w:eastAsiaTheme="minorHAnsi"/>
          <w:b/>
          <w:iCs/>
          <w:sz w:val="28"/>
          <w:szCs w:val="28"/>
          <w:lang w:val="uk-UA" w:eastAsia="en-US"/>
        </w:rPr>
        <w:t>АДВОКАТСЬКОЇ ДІЯЛЬНОСТІ</w:t>
      </w:r>
    </w:p>
    <w:p w:rsidR="00076275" w:rsidRPr="00652DCE" w:rsidRDefault="00076275" w:rsidP="00076275">
      <w:pPr>
        <w:spacing w:line="360" w:lineRule="auto"/>
        <w:ind w:firstLine="709"/>
        <w:jc w:val="center"/>
        <w:rPr>
          <w:rFonts w:eastAsiaTheme="minorHAnsi"/>
          <w:b/>
          <w:i/>
          <w:sz w:val="28"/>
          <w:szCs w:val="28"/>
          <w:lang w:val="uk-UA" w:eastAsia="en-US"/>
        </w:rPr>
      </w:pPr>
      <w:r w:rsidRPr="00652DCE">
        <w:rPr>
          <w:rFonts w:eastAsiaTheme="minorHAnsi"/>
          <w:b/>
          <w:i/>
          <w:sz w:val="28"/>
          <w:szCs w:val="28"/>
          <w:lang w:val="uk-UA" w:eastAsia="en-US"/>
        </w:rPr>
        <w:t>Нагорнюк В. Р.</w:t>
      </w:r>
    </w:p>
    <w:p w:rsidR="00076275" w:rsidRPr="00652DCE" w:rsidRDefault="00076275" w:rsidP="00076275">
      <w:pPr>
        <w:spacing w:line="360" w:lineRule="auto"/>
        <w:ind w:firstLine="709"/>
        <w:jc w:val="center"/>
        <w:rPr>
          <w:rFonts w:eastAsiaTheme="minorHAnsi"/>
          <w:i/>
          <w:sz w:val="28"/>
          <w:szCs w:val="28"/>
          <w:lang w:val="uk-UA" w:eastAsia="en-US"/>
        </w:rPr>
      </w:pPr>
      <w:r w:rsidRPr="00652DCE">
        <w:rPr>
          <w:rFonts w:eastAsiaTheme="minorHAnsi"/>
          <w:i/>
          <w:sz w:val="28"/>
          <w:szCs w:val="28"/>
          <w:lang w:val="uk-UA" w:eastAsia="en-US"/>
        </w:rPr>
        <w:t xml:space="preserve">Студент ІІ курсу магістратури, </w:t>
      </w:r>
    </w:p>
    <w:p w:rsidR="00076275" w:rsidRPr="00652DCE" w:rsidRDefault="00076275" w:rsidP="00076275">
      <w:pPr>
        <w:spacing w:line="360" w:lineRule="auto"/>
        <w:ind w:firstLine="709"/>
        <w:jc w:val="center"/>
        <w:rPr>
          <w:rFonts w:eastAsiaTheme="minorHAnsi"/>
          <w:i/>
          <w:sz w:val="28"/>
          <w:szCs w:val="28"/>
          <w:lang w:val="uk-UA" w:eastAsia="en-US"/>
        </w:rPr>
      </w:pPr>
      <w:r w:rsidRPr="00652DCE">
        <w:rPr>
          <w:rFonts w:eastAsiaTheme="minorHAnsi"/>
          <w:i/>
          <w:sz w:val="28"/>
          <w:szCs w:val="28"/>
          <w:lang w:val="uk-UA" w:eastAsia="en-US"/>
        </w:rPr>
        <w:t>спеціальність 262 «Правоохоронна діяльність»,</w:t>
      </w:r>
    </w:p>
    <w:p w:rsidR="00076275" w:rsidRPr="00652DCE" w:rsidRDefault="00076275" w:rsidP="00076275">
      <w:pPr>
        <w:spacing w:line="360" w:lineRule="auto"/>
        <w:ind w:firstLine="709"/>
        <w:jc w:val="center"/>
        <w:rPr>
          <w:rFonts w:eastAsiaTheme="minorHAnsi"/>
          <w:i/>
          <w:sz w:val="28"/>
          <w:szCs w:val="28"/>
          <w:lang w:val="uk-UA" w:eastAsia="en-US"/>
        </w:rPr>
      </w:pPr>
      <w:r w:rsidRPr="00652DCE">
        <w:rPr>
          <w:rFonts w:eastAsiaTheme="minorHAnsi"/>
          <w:i/>
          <w:sz w:val="28"/>
          <w:szCs w:val="28"/>
          <w:lang w:val="uk-UA" w:eastAsia="en-US"/>
        </w:rPr>
        <w:t>Міжнародний університет,</w:t>
      </w:r>
    </w:p>
    <w:p w:rsidR="00076275" w:rsidRPr="00FA3276" w:rsidRDefault="00076275" w:rsidP="00076275">
      <w:pPr>
        <w:spacing w:line="360" w:lineRule="auto"/>
        <w:ind w:firstLine="709"/>
        <w:jc w:val="center"/>
        <w:rPr>
          <w:rFonts w:eastAsiaTheme="minorHAnsi"/>
          <w:i/>
          <w:sz w:val="28"/>
          <w:szCs w:val="28"/>
          <w:lang w:val="uk-UA" w:eastAsia="en-US"/>
        </w:rPr>
      </w:pPr>
      <w:r w:rsidRPr="00652DCE">
        <w:rPr>
          <w:rFonts w:eastAsiaTheme="minorHAnsi"/>
          <w:i/>
          <w:sz w:val="28"/>
          <w:szCs w:val="28"/>
          <w:lang w:val="uk-UA" w:eastAsia="en-US"/>
        </w:rPr>
        <w:t>м. Одеса, Україна</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 xml:space="preserve">Актуальність обраної теми дослідження характеризується тим, що сучасний етап розвитку правничої професії характеризується глибокими трансформаційними процесами, що зумовлені глобалізацією, цифровізацією суспільних відносин та зростанням ролі інформаційних технологій у сфері надання правової допомоги. В цих умовах адвокатура постає не лише як інститут правозахисної діяльності, а й як етична система, покликана </w:t>
      </w:r>
      <w:r w:rsidRPr="00652DCE">
        <w:rPr>
          <w:rFonts w:eastAsiaTheme="minorHAnsi"/>
          <w:sz w:val="28"/>
          <w:szCs w:val="28"/>
          <w:lang w:val="uk-UA" w:eastAsia="en-US"/>
        </w:rPr>
        <w:lastRenderedPageBreak/>
        <w:t>забезпечити баланс між ефективністю юридичних інструментів і моральними засадами правосуддя.</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Етичні норми адвокатської діяльності є фундаментальною передумовою довіри громадян до правової системи та визначають суспільну легітимність адвокатури як незалежного інституту громадянського суспільства. Проте динаміка сучасного соціального простору, технологічні інновації, нові форми комунікації та взаємодії між адвокатом і клієнтом ставлять перед правничою спільнотою низку етичних викликів. Серед них збереження конфіденційності в умовах цифрових комунікацій, недопущення конфлікту інтересів у віртуальному середовищі, дотримання принципів незалежності та доброчесності під час роботи з інтелектуальними системами аналізу даних.</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Як зазначає Т. Вільчик, для адвокатів важливо усвідомлювати свої обов'язки та не виправдовувати неправомірні дії на тій хибній підставі, що їх єдиним обов'язком є обов'язок перед клієнтом. Напруга в діяльності адвоката може виникати у тому, щоб балансувати між обов'язками перед судом, власними інтересами та необхідністю діяти на користь клієнта. Отже, розв'язання питань за умови, коли обов'язки можуть суперечити один одному, є важливим елементом адвокатської етики. Нездатність адвокатів діяти сумлінно чи етично може суттєво підірвати належне вчинення правосуддя, довіру суспільства до судової влади та адвокатури [1, с. 42].</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Проблематика адвокатської етики у XXI столітті набуває особливої ваги, оскільки від неї залежить не лише якість надання правової допомоги, а й загальний рівень правової культури суспільства. Водночас відсутність системного оновлення етичних стандартів, адаптованих до умов цифрової трансформації, призводить до зростання ризиків девіацій у професійній поведінці, втрати морального авторитету адвокатури та зниження суспільної довіри до правосуддя.</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 xml:space="preserve">У Загальному кодексі правил для адвокатів країн Європейського Співтовариства йдеться: «…завдання, що виконуються адвокатом у процесі професійної діяльності, вимагають його абсолютної незалежності й відсутності будь-якого тиску на нього, пов'язаного насамперед з його особистою </w:t>
      </w:r>
      <w:r w:rsidRPr="00652DCE">
        <w:rPr>
          <w:rFonts w:eastAsiaTheme="minorHAnsi"/>
          <w:sz w:val="28"/>
          <w:szCs w:val="28"/>
          <w:lang w:val="uk-UA" w:eastAsia="en-US"/>
        </w:rPr>
        <w:lastRenderedPageBreak/>
        <w:t>зацікавленістю або з впливом ззовні. Незалежний статус адвоката сприяє зміцненню в суспільстві довіри до процедур правосуддя і неупередженості суддів. Таким чином, адвокату необхідно уникати будь-яких ущемлень власної незалежності та не поступатися принципами обов'язку заради інтересів клієнта, суду або інших осіб» [2].</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Отже, дослідження особливостей етичних засад адвокатської діяльності в сучасних умовах має не лише теоретичне, а й прикладне значення, адже воно спрямоване на розроблення нових підходів до регулювання професійної поведінки, удосконалення механізмів саморегулювання адвокатури, а також формування концепції цифрової етики як складової професійної компетентності адвоката.</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Адвокатська етика є системою нормативно закріплених і професійно визнаних морально-правових принципів, які забезпечують належний рівень незалежності, доброчесності, конфіденційності та відповідальності адвоката. Вона виконує регулятивну, гарантійну, превентивну та легітимаційну функції, формуючи підґрунтя довіри суспільства до інституту адвокатури як складової правової держави.</w:t>
      </w:r>
    </w:p>
    <w:p w:rsidR="00076275" w:rsidRPr="00652DCE" w:rsidRDefault="00076275" w:rsidP="00076275">
      <w:pPr>
        <w:spacing w:line="360" w:lineRule="auto"/>
        <w:ind w:firstLine="709"/>
        <w:jc w:val="both"/>
        <w:rPr>
          <w:sz w:val="28"/>
          <w:szCs w:val="28"/>
          <w:lang w:val="uk-UA" w:eastAsia="en-US"/>
        </w:rPr>
      </w:pPr>
      <w:r w:rsidRPr="00652DCE">
        <w:rPr>
          <w:sz w:val="28"/>
          <w:szCs w:val="28"/>
          <w:lang w:val="uk-UA" w:eastAsia="en-US"/>
        </w:rPr>
        <w:t xml:space="preserve">Правила адвокатської етики, затверджені З’їздом адвокатів України у 2017 році (зі змінами 2021 р.), є основним документом, що конкретизує вимоги до морально-професійної поведінки адвокатів </w:t>
      </w:r>
      <w:r w:rsidRPr="00652DCE">
        <w:rPr>
          <w:sz w:val="28"/>
          <w:szCs w:val="28"/>
          <w:lang w:eastAsia="en-US"/>
        </w:rPr>
        <w:t>[3]</w:t>
      </w:r>
      <w:r w:rsidRPr="00652DCE">
        <w:rPr>
          <w:sz w:val="28"/>
          <w:szCs w:val="28"/>
          <w:lang w:val="uk-UA" w:eastAsia="en-US"/>
        </w:rPr>
        <w:t>.</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Нормативно-правова база регулювання етичної поведінки адвокатів вказує на те, що чинні етичні стандарти загалом відповідають фундаментальним європейським принципам професійної діяльності, однак потребують системного оновлення з урахуванням цифровізації правничої практики та трансформації способів надання правової допомоги.</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 xml:space="preserve">Цифровізація адвокатської діяльності суттєво змінює зміст професійної взаємодії, методи збору й аналізу інформації, а також інструменти процесуальної роботи. Використання електронного документообігу, хмарних сервісів, аналітичних платформ і систем штучного інтелекту створює нові можливості для підвищення ефективності правової допомоги, водночас формуючи комплекс етичних ризиків, пов’язаних із захистом конфіденційної </w:t>
      </w:r>
      <w:r w:rsidRPr="00652DCE">
        <w:rPr>
          <w:rFonts w:eastAsiaTheme="minorHAnsi"/>
          <w:sz w:val="28"/>
          <w:szCs w:val="28"/>
          <w:lang w:val="uk-UA" w:eastAsia="en-US"/>
        </w:rPr>
        <w:lastRenderedPageBreak/>
        <w:t>інформації, запобіганням конфлікту інтересів, забезпеченням незалежності професійного судження та дотриманням принципу особистої відповідальності адвоката.</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Відтак стає зрозумілим, що «належне та сучасне оперування наявними інформаційними ресурсами та виконання завдань які формуються у державно-правовій сфері невід’ємно пов’язані із використанням інформаційних технологій» [4, с. 303].</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Поряд із цим, відсутність чітко визначених нормативних меж застосування технологій штучного інтелекту у сфері правничої діяльності зумовлює виникнення етичної та правової невизначеності. Делегування аналітичних функцій алгоритмічним системам не може підміняти професійне судження адвоката, а має розглядатися як допоміжний інструмент, що використовується за умови збереження контролю з боку фахівця та дотримання стандартів доброчесності.</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Об’єктивно необхідною виглядає модернізація етичних стандартів адвокатської діяльності, що передбачає: оновлення правил адвокатської етики з урахуванням цифрового середовища; розроблення рекомендацій щодо використання інтелектуальних систем у правничій практиці; посилення інститутів професійної відповідальності та саморегулювання; інтеграцію принципів цифрової етики до системи підвищення кваліфікації адвокатів.</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Загалом доведено, що етичні засади адвокатської діяльності в умовах цифрової трансформації потребують концептуального переосмислення та нормативного вдосконалення. Формування цифрової етики як складової професійної компетентності адвоката є необхідною умовою збереження суспільної довіри до адвокатури, забезпечення якості правової допомоги та зміцнення принципів верховенства права в сучасному інформаційному суспільстві.</w:t>
      </w:r>
    </w:p>
    <w:p w:rsidR="00076275" w:rsidRPr="00652DCE" w:rsidRDefault="00076275" w:rsidP="00076275">
      <w:pPr>
        <w:spacing w:line="360" w:lineRule="auto"/>
        <w:ind w:firstLine="709"/>
        <w:jc w:val="both"/>
        <w:rPr>
          <w:rFonts w:eastAsiaTheme="minorHAnsi"/>
          <w:b/>
          <w:bCs/>
          <w:sz w:val="28"/>
          <w:szCs w:val="28"/>
          <w:lang w:val="uk-UA" w:eastAsia="en-US"/>
        </w:rPr>
      </w:pPr>
    </w:p>
    <w:p w:rsidR="00076275" w:rsidRPr="00652DCE" w:rsidRDefault="00076275" w:rsidP="00076275">
      <w:pPr>
        <w:spacing w:line="360" w:lineRule="auto"/>
        <w:ind w:firstLine="709"/>
        <w:jc w:val="center"/>
        <w:rPr>
          <w:rFonts w:eastAsiaTheme="minorHAnsi"/>
          <w:b/>
          <w:bCs/>
          <w:sz w:val="28"/>
          <w:szCs w:val="28"/>
          <w:lang w:val="uk-UA" w:eastAsia="en-US"/>
        </w:rPr>
      </w:pPr>
      <w:r w:rsidRPr="00652DCE">
        <w:rPr>
          <w:rFonts w:eastAsiaTheme="minorHAnsi"/>
          <w:b/>
          <w:bCs/>
          <w:sz w:val="28"/>
          <w:szCs w:val="28"/>
          <w:lang w:val="uk-UA" w:eastAsia="en-US"/>
        </w:rPr>
        <w:t>СПИСОК ВИКОРИСТАНИХ ДЖЕРЕЛ</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1.</w:t>
      </w:r>
      <w:r w:rsidRPr="00652DCE">
        <w:rPr>
          <w:rFonts w:eastAsiaTheme="minorHAnsi"/>
          <w:sz w:val="28"/>
          <w:szCs w:val="28"/>
          <w:lang w:val="uk-UA" w:eastAsia="en-US"/>
        </w:rPr>
        <w:tab/>
        <w:t xml:space="preserve">Вільчик Т. Обов’язки адвоката: зарубіжна доктрина. Адвокатура України: сучасний стан та перспективи розвитку : А28 матеріали V Міжнар. </w:t>
      </w:r>
      <w:r w:rsidRPr="00652DCE">
        <w:rPr>
          <w:rFonts w:eastAsiaTheme="minorHAnsi"/>
          <w:sz w:val="28"/>
          <w:szCs w:val="28"/>
          <w:lang w:val="uk-UA" w:eastAsia="en-US"/>
        </w:rPr>
        <w:lastRenderedPageBreak/>
        <w:t>наук.-практ. конф. (14 грудня 2023 р.) / редкол. : Т. В. Вільчик та ін. – Харків : НЮУ імені Ярослава Мудрого, 2024. 276 с.</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2.</w:t>
      </w:r>
      <w:r w:rsidRPr="00652DCE">
        <w:rPr>
          <w:rFonts w:eastAsiaTheme="minorHAnsi"/>
          <w:sz w:val="28"/>
          <w:szCs w:val="28"/>
          <w:lang w:val="uk-UA" w:eastAsia="en-US"/>
        </w:rPr>
        <w:tab/>
        <w:t>Загальний кодекс правил для адвокатів країн Європейського Співтовариства. URL: https://zakon.rada.gov.ua/laws/show/994_343#Text</w:t>
      </w:r>
    </w:p>
    <w:p w:rsidR="00076275" w:rsidRPr="00652DCE"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3.</w:t>
      </w:r>
      <w:r w:rsidRPr="00652DCE">
        <w:rPr>
          <w:rFonts w:eastAsiaTheme="minorHAnsi"/>
          <w:sz w:val="28"/>
          <w:szCs w:val="28"/>
          <w:lang w:val="uk-UA" w:eastAsia="en-US"/>
        </w:rPr>
        <w:tab/>
        <w:t>Правила адвокатської етики від 09.06.2017 р. URL: https://zakon.rada.gov.ua/rada/show/n0001891-17#Text</w:t>
      </w:r>
    </w:p>
    <w:p w:rsidR="00076275" w:rsidRDefault="00076275" w:rsidP="00076275">
      <w:pPr>
        <w:spacing w:line="360" w:lineRule="auto"/>
        <w:ind w:firstLine="709"/>
        <w:jc w:val="both"/>
        <w:rPr>
          <w:rFonts w:eastAsiaTheme="minorHAnsi"/>
          <w:sz w:val="28"/>
          <w:szCs w:val="28"/>
          <w:lang w:val="uk-UA" w:eastAsia="en-US"/>
        </w:rPr>
      </w:pPr>
      <w:r w:rsidRPr="00652DCE">
        <w:rPr>
          <w:rFonts w:eastAsiaTheme="minorHAnsi"/>
          <w:sz w:val="28"/>
          <w:szCs w:val="28"/>
          <w:lang w:val="uk-UA" w:eastAsia="en-US"/>
        </w:rPr>
        <w:t>4.</w:t>
      </w:r>
      <w:r w:rsidRPr="00652DCE">
        <w:rPr>
          <w:rFonts w:eastAsiaTheme="minorHAnsi"/>
          <w:sz w:val="28"/>
          <w:szCs w:val="28"/>
          <w:lang w:val="uk-UA" w:eastAsia="en-US"/>
        </w:rPr>
        <w:tab/>
        <w:t>Чванкін С. А. Інформаційні технології у доказуванні в цивільному процесі: теоретичні та практичні аспекти. Дисертація на здобуття наукового ступеня доктора юридичних наук за спеціальністю 12.00.03 – цивільне право і цивільний процес; сімейне право; міжнародне приватне право. НУ «ОЮА». Одеса. 2021. 498 с.</w:t>
      </w:r>
    </w:p>
    <w:p w:rsidR="00076275" w:rsidRPr="00FA3276" w:rsidRDefault="00076275" w:rsidP="00076275">
      <w:pPr>
        <w:spacing w:line="360" w:lineRule="auto"/>
        <w:ind w:firstLine="709"/>
        <w:jc w:val="both"/>
        <w:rPr>
          <w:rFonts w:eastAsiaTheme="minorHAnsi"/>
          <w:sz w:val="28"/>
          <w:szCs w:val="28"/>
          <w:lang w:val="uk-UA" w:eastAsia="en-US"/>
        </w:rPr>
      </w:pPr>
    </w:p>
    <w:p w:rsidR="00076275" w:rsidRPr="00FD38BE" w:rsidRDefault="00076275" w:rsidP="00076275">
      <w:pPr>
        <w:spacing w:line="360" w:lineRule="auto"/>
        <w:ind w:firstLine="709"/>
        <w:jc w:val="center"/>
        <w:rPr>
          <w:b/>
          <w:sz w:val="28"/>
          <w:szCs w:val="28"/>
          <w:lang w:val="uk-UA"/>
        </w:rPr>
      </w:pPr>
      <w:r w:rsidRPr="00FD38BE">
        <w:rPr>
          <w:b/>
          <w:sz w:val="28"/>
          <w:szCs w:val="28"/>
          <w:lang w:val="uk-UA"/>
        </w:rPr>
        <w:t xml:space="preserve">ПЕРЕКОНАННЯ ЯК СКЛАДОВИЙ КОМПОНЕНТ </w:t>
      </w:r>
    </w:p>
    <w:p w:rsidR="00076275" w:rsidRPr="00FD38BE" w:rsidRDefault="00076275" w:rsidP="00076275">
      <w:pPr>
        <w:spacing w:line="360" w:lineRule="auto"/>
        <w:ind w:firstLine="709"/>
        <w:jc w:val="center"/>
        <w:rPr>
          <w:b/>
          <w:sz w:val="28"/>
          <w:szCs w:val="28"/>
          <w:lang w:val="uk-UA"/>
        </w:rPr>
      </w:pPr>
      <w:r w:rsidRPr="00FD38BE">
        <w:rPr>
          <w:b/>
          <w:sz w:val="28"/>
          <w:szCs w:val="28"/>
          <w:lang w:val="uk-UA"/>
        </w:rPr>
        <w:t>АДВОКАТСЬКОЇ ДІЯЛЬНОСТІ</w:t>
      </w:r>
    </w:p>
    <w:p w:rsidR="00076275" w:rsidRPr="00FD38BE" w:rsidRDefault="00076275" w:rsidP="00076275">
      <w:pPr>
        <w:spacing w:line="360" w:lineRule="auto"/>
        <w:ind w:firstLine="709"/>
        <w:jc w:val="center"/>
        <w:rPr>
          <w:b/>
          <w:i/>
          <w:sz w:val="28"/>
          <w:szCs w:val="28"/>
        </w:rPr>
      </w:pPr>
      <w:r w:rsidRPr="00FD38BE">
        <w:rPr>
          <w:b/>
          <w:i/>
          <w:sz w:val="28"/>
          <w:szCs w:val="28"/>
          <w:lang w:val="uk-UA"/>
        </w:rPr>
        <w:t>Привалова О. М.</w:t>
      </w:r>
    </w:p>
    <w:p w:rsidR="00076275" w:rsidRPr="00FD38BE" w:rsidRDefault="00076275" w:rsidP="00076275">
      <w:pPr>
        <w:spacing w:line="360" w:lineRule="auto"/>
        <w:ind w:firstLine="709"/>
        <w:jc w:val="center"/>
        <w:rPr>
          <w:i/>
          <w:sz w:val="28"/>
          <w:szCs w:val="28"/>
        </w:rPr>
      </w:pPr>
      <w:r w:rsidRPr="00FD38BE">
        <w:rPr>
          <w:i/>
          <w:sz w:val="28"/>
          <w:szCs w:val="28"/>
        </w:rPr>
        <w:t>Студент</w:t>
      </w:r>
      <w:r w:rsidRPr="00FD38BE">
        <w:rPr>
          <w:i/>
          <w:sz w:val="28"/>
          <w:szCs w:val="28"/>
          <w:lang w:val="uk-UA"/>
        </w:rPr>
        <w:t>ка</w:t>
      </w:r>
      <w:r w:rsidRPr="00FD38BE">
        <w:rPr>
          <w:i/>
          <w:sz w:val="28"/>
          <w:szCs w:val="28"/>
        </w:rPr>
        <w:t xml:space="preserve"> ІІ курсу магістратури, </w:t>
      </w:r>
    </w:p>
    <w:p w:rsidR="00076275" w:rsidRPr="00FD38BE" w:rsidRDefault="00076275" w:rsidP="00076275">
      <w:pPr>
        <w:spacing w:line="360" w:lineRule="auto"/>
        <w:ind w:firstLine="709"/>
        <w:jc w:val="center"/>
        <w:rPr>
          <w:i/>
          <w:sz w:val="28"/>
          <w:szCs w:val="28"/>
          <w:lang w:val="uk-UA"/>
        </w:rPr>
      </w:pPr>
      <w:r w:rsidRPr="00FD38BE">
        <w:rPr>
          <w:i/>
          <w:sz w:val="28"/>
          <w:szCs w:val="28"/>
        </w:rPr>
        <w:t xml:space="preserve">спеціальність </w:t>
      </w:r>
      <w:r w:rsidRPr="00FD38BE">
        <w:rPr>
          <w:i/>
          <w:sz w:val="28"/>
          <w:szCs w:val="28"/>
          <w:lang w:val="uk-UA"/>
        </w:rPr>
        <w:t>081</w:t>
      </w:r>
      <w:r w:rsidRPr="00FD38BE">
        <w:rPr>
          <w:i/>
          <w:sz w:val="28"/>
          <w:szCs w:val="28"/>
        </w:rPr>
        <w:t xml:space="preserve"> «</w:t>
      </w:r>
      <w:r w:rsidRPr="00FD38BE">
        <w:rPr>
          <w:i/>
          <w:sz w:val="28"/>
          <w:szCs w:val="28"/>
          <w:lang w:val="uk-UA"/>
        </w:rPr>
        <w:t>Право</w:t>
      </w:r>
      <w:r w:rsidRPr="00FD38BE">
        <w:rPr>
          <w:i/>
          <w:sz w:val="28"/>
          <w:szCs w:val="28"/>
        </w:rPr>
        <w:t>»,</w:t>
      </w:r>
    </w:p>
    <w:p w:rsidR="00076275" w:rsidRPr="00DB3E6A" w:rsidRDefault="00076275" w:rsidP="00076275">
      <w:pPr>
        <w:spacing w:line="360" w:lineRule="auto"/>
        <w:ind w:firstLine="709"/>
        <w:jc w:val="center"/>
        <w:rPr>
          <w:i/>
          <w:sz w:val="28"/>
          <w:szCs w:val="28"/>
          <w:lang w:val="uk-UA"/>
        </w:rPr>
      </w:pPr>
      <w:r w:rsidRPr="00DB3E6A">
        <w:rPr>
          <w:i/>
          <w:sz w:val="28"/>
          <w:szCs w:val="28"/>
          <w:lang w:val="uk-UA"/>
        </w:rPr>
        <w:t>Міжнародний університет,</w:t>
      </w:r>
    </w:p>
    <w:p w:rsidR="00076275" w:rsidRPr="00DB3E6A" w:rsidRDefault="00076275" w:rsidP="00076275">
      <w:pPr>
        <w:spacing w:line="360" w:lineRule="auto"/>
        <w:ind w:firstLine="709"/>
        <w:jc w:val="center"/>
        <w:rPr>
          <w:i/>
          <w:sz w:val="28"/>
          <w:szCs w:val="28"/>
          <w:lang w:val="uk-UA"/>
        </w:rPr>
      </w:pPr>
      <w:r w:rsidRPr="00DB3E6A">
        <w:rPr>
          <w:i/>
          <w:sz w:val="28"/>
          <w:szCs w:val="28"/>
          <w:lang w:val="uk-UA"/>
        </w:rPr>
        <w:t>м. Одеса, Україна</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Переконання в адвокатській діяльності є однією з центральних категорій професійної комунікації, оскільки виступає інструментом впливу на хід правозастосування, формування позиції суду, поведінку учасників процесу та сприйняття правової інформації. </w:t>
      </w:r>
    </w:p>
    <w:p w:rsidR="00076275" w:rsidRPr="00FD38BE" w:rsidRDefault="00076275" w:rsidP="00076275">
      <w:pPr>
        <w:spacing w:line="360" w:lineRule="auto"/>
        <w:ind w:firstLine="709"/>
        <w:jc w:val="both"/>
        <w:rPr>
          <w:sz w:val="28"/>
          <w:szCs w:val="28"/>
          <w:lang w:val="uk-UA"/>
        </w:rPr>
      </w:pPr>
      <w:r w:rsidRPr="00FD38BE">
        <w:rPr>
          <w:sz w:val="28"/>
          <w:szCs w:val="28"/>
          <w:lang w:val="uk-UA"/>
        </w:rPr>
        <w:t>Розмірковуючи про природу переконання В. Є. Хмелько підкреслює, що «… як елемент світогляду передбачає наявність певної ідеї, яка передбачає інформативні, прескриптивні (цілепокладаючі) та оцінні судження [6, с. 35].</w:t>
      </w:r>
    </w:p>
    <w:p w:rsidR="00076275" w:rsidRPr="00FD38BE" w:rsidRDefault="00076275" w:rsidP="00076275">
      <w:pPr>
        <w:spacing w:line="360" w:lineRule="auto"/>
        <w:ind w:firstLine="709"/>
        <w:jc w:val="both"/>
        <w:rPr>
          <w:sz w:val="28"/>
          <w:szCs w:val="28"/>
          <w:lang w:val="uk-UA"/>
        </w:rPr>
      </w:pPr>
      <w:r w:rsidRPr="00FD38BE">
        <w:rPr>
          <w:sz w:val="28"/>
          <w:szCs w:val="28"/>
          <w:lang w:val="uk-UA"/>
        </w:rPr>
        <w:t>Його застосування регулюється не лише нормами процесуального права, але й положеннями професійної етики адвоката, що формують ціннісні засади правничої поведінки та межі допустимого впливу.</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Прояв правової позиції напряму залежить від правового світогляду. В. Коробка вказує, що «правовий світогляд, будучи стійким, позитивним </w:t>
      </w:r>
      <w:r w:rsidRPr="00FD38BE">
        <w:rPr>
          <w:sz w:val="28"/>
          <w:szCs w:val="28"/>
          <w:lang w:val="uk-UA"/>
        </w:rPr>
        <w:lastRenderedPageBreak/>
        <w:t>ставленням людини до права як до ідеї належного, пропущеного крізь призму прав, свобод, обов’язків людини, включає поряд з правовими ідеями, поглядами, уявленнями, принципами, цінностями і переконання» [2, с. 8].</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професійній сфері переконання тісно взаємопов’язане з такими категоріями, як доказ та аргументація, однак не є тотожним жодній із них.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Доказ у юридичному контексті є фактичним підтвердженням певних обставин, що мають значення для справи, і повинен відповідати вимогам допустимості, належності та достовірності.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Цивільне процесуальне законодавство України визначає докази як будь-які відомості, за допомогою яких суд установлює існування або відсутність фактів та обставин, що мають значення для розгляду й вирішення справи, а також підтверджують або спростовують заявлені вимоги чи заперечення сторін.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Такі відомості можуть бути отримані із різних процесуальних джерел, зокрема: письмових, речових та електронних доказів; висновків експертів; показань свідків. </w:t>
      </w:r>
    </w:p>
    <w:p w:rsidR="00076275" w:rsidRPr="00FD38BE" w:rsidRDefault="00076275" w:rsidP="00076275">
      <w:pPr>
        <w:spacing w:line="360" w:lineRule="auto"/>
        <w:ind w:firstLine="709"/>
        <w:jc w:val="both"/>
        <w:rPr>
          <w:sz w:val="28"/>
          <w:szCs w:val="28"/>
          <w:lang w:val="uk-UA"/>
        </w:rPr>
      </w:pPr>
      <w:r w:rsidRPr="00FD38BE">
        <w:rPr>
          <w:sz w:val="28"/>
          <w:szCs w:val="28"/>
          <w:lang w:val="uk-UA"/>
        </w:rPr>
        <w:t>Уляна Бек наголошує, що «доказова діяльність адвоката поділяється на три стадії: визначення обсягу та змісту доказів, їх збирання та подання суду. Порівняно з іншими учасниками цивільного процесу адвокат має більше гарантованих законодавством можливостей щодо збирання доказів шляхом направлення адвокатського запиту та їх подання через Єдину судову інформаційно-телекомунікаційну систему» [1, с. 7].</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Юридична аргументація, у свою чергу, передбачає логічне структурування доказів, норм права та правових висновків з метою обґрунтування позиції сторони в узгодженій формі. </w:t>
      </w:r>
    </w:p>
    <w:p w:rsidR="00076275" w:rsidRPr="00FD38BE" w:rsidRDefault="00076275" w:rsidP="00076275">
      <w:pPr>
        <w:spacing w:line="360" w:lineRule="auto"/>
        <w:ind w:firstLine="709"/>
        <w:jc w:val="both"/>
        <w:rPr>
          <w:sz w:val="28"/>
          <w:szCs w:val="28"/>
          <w:lang w:val="uk-UA"/>
        </w:rPr>
      </w:pPr>
      <w:r w:rsidRPr="00FD38BE">
        <w:rPr>
          <w:sz w:val="28"/>
          <w:szCs w:val="28"/>
          <w:lang w:val="uk-UA"/>
        </w:rPr>
        <w:t>Переконання ж є ширшою категорією, яка охоплює елемент впливу, спрямований на формування внутрішнього прийняття, погодження або довіри до викладеної правової позиції.</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Як слушно зазначає Д. Г. Манько, «правнича аргументація в адвокатській діяльності ґрунтується на логіці, відповідності праву, чіткому плануванні та переконливості. Вона є ключовим інструментом захисту або представництва особи, яка звернулася по правничу допомогу та досягнення позитивного </w:t>
      </w:r>
      <w:r w:rsidRPr="00FD38BE">
        <w:rPr>
          <w:sz w:val="28"/>
          <w:szCs w:val="28"/>
          <w:lang w:val="uk-UA"/>
        </w:rPr>
        <w:lastRenderedPageBreak/>
        <w:t xml:space="preserve">результату у справі. Розуміння та використання характеристик правничої аргументації, що відповідають зазначеним ознакам, робить адвоката ефективним правозахисником, здатним обґрунтовувати свою позицію на найвищому рівні. Володіння механізмами правничої аргументації дозволяє не лише ефективно захищати клієнтів, а й будувати професійну репутацію, впливати на правозастосовну практику та підтримувати високий рівень юридичної етики» </w:t>
      </w:r>
      <w:r w:rsidRPr="00FD38BE">
        <w:rPr>
          <w:sz w:val="28"/>
          <w:szCs w:val="28"/>
        </w:rPr>
        <w:t>[</w:t>
      </w:r>
      <w:r w:rsidRPr="00FD38BE">
        <w:rPr>
          <w:sz w:val="28"/>
          <w:szCs w:val="28"/>
          <w:lang w:val="uk-UA"/>
        </w:rPr>
        <w:t>3, с. 22</w:t>
      </w:r>
      <w:r w:rsidRPr="00FD38BE">
        <w:rPr>
          <w:sz w:val="28"/>
          <w:szCs w:val="28"/>
        </w:rPr>
        <w:t>]</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Таким чином, доказ забезпечує фактичну основу, аргументація  раціонально-логічний спосіб її представлення, а переконання  комунікативно-психологічний результат впливу, що завершує процес професійної правничої взаємодії. У цьому полягає їх функціональна взаємодоповнюваність у системі адвокатської діяльності.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Роль переконання в адвокатській етиці полягає у визначенні допустимих меж його застосування. Адвокат не має права використовувати заборонені, маніпулятивні або неетичні методи впливу, зокрема викривлення доказів, тиск на свідків, експертів чи суд, маніпулювання емоціями або створення перекрученої правової картини. </w:t>
      </w:r>
    </w:p>
    <w:p w:rsidR="00076275" w:rsidRPr="00FD38BE" w:rsidRDefault="00076275" w:rsidP="00076275">
      <w:pPr>
        <w:spacing w:line="360" w:lineRule="auto"/>
        <w:ind w:firstLine="709"/>
        <w:jc w:val="both"/>
        <w:rPr>
          <w:sz w:val="28"/>
          <w:szCs w:val="28"/>
          <w:lang w:val="uk-UA"/>
        </w:rPr>
      </w:pPr>
      <w:r w:rsidRPr="00FD38BE">
        <w:rPr>
          <w:sz w:val="28"/>
          <w:szCs w:val="28"/>
          <w:lang w:val="uk-UA"/>
        </w:rPr>
        <w:t>Етичні стандарти вимагають, щоб переконання ґрунтувалося на добросовісності, професійному об’єктивізмі, достовірності інформації та повазі до закону і сторін процесу. У цьому аспекті переконання виступає формою реалізації етичного принципу сумлінності та забезпечення справедливого правосуддя.</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Постанові від 31 липня 2019 року Верховний Суд у складі колегії суддів Касаційного адміністративного суду, зазначив: «Адвокат не має права в своїй професійній діяльності вдаватися до засобів та методів, які суперечать чинному законодавству» </w:t>
      </w:r>
      <w:r w:rsidRPr="00FD38BE">
        <w:rPr>
          <w:sz w:val="28"/>
          <w:szCs w:val="28"/>
        </w:rPr>
        <w:t>[</w:t>
      </w:r>
      <w:r w:rsidRPr="00FD38BE">
        <w:rPr>
          <w:sz w:val="28"/>
          <w:szCs w:val="28"/>
          <w:lang w:val="uk-UA"/>
        </w:rPr>
        <w:t>4</w:t>
      </w:r>
      <w:r w:rsidRPr="00FD38BE">
        <w:rPr>
          <w:sz w:val="28"/>
          <w:szCs w:val="28"/>
        </w:rPr>
        <w:t>]</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У правозастосовній площині переконання відіграє роль інструмента впливу на оцінку доказів судом. Оскільки жоден доказ не має наперед установленої сили, саме переконливість його юридичного тлумачення, оцінки та представлення визначає можливість його сприйняття як вагомого процесуального фактора. </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Отже, переконання виступає посередником між доказом і рішенням суду, забезпечуючи зв’язок між фактичним матеріалом справи, юридичними нормами та логікою судового розгляду.</w:t>
      </w:r>
    </w:p>
    <w:p w:rsidR="00076275" w:rsidRPr="00FD38BE" w:rsidRDefault="00076275" w:rsidP="00076275">
      <w:pPr>
        <w:spacing w:line="360" w:lineRule="auto"/>
        <w:ind w:firstLine="709"/>
        <w:jc w:val="both"/>
        <w:rPr>
          <w:sz w:val="28"/>
          <w:szCs w:val="28"/>
          <w:lang w:val="uk-UA"/>
        </w:rPr>
      </w:pPr>
      <w:r w:rsidRPr="00FD38BE">
        <w:rPr>
          <w:sz w:val="28"/>
          <w:szCs w:val="28"/>
          <w:lang w:val="uk-UA"/>
        </w:rPr>
        <w:t>У спеціальному дослідженні судового правозастосування Б. Ратушна дійшла таких висновків щодо співвідношення обґрунтованості й вмотивованості судових рішень: «вмотивованість рішення є логічним підґрунтям ухвалення законного обґрунтованого рішення. Якщо перші дві вимоги дають відповідь на питання – що ухвалив суд?, тобто, яку норму права застосував та якими доказами обґрунтував свої висновки, то вмотивованість рішення пояснює, чому суд застосував певну норму права та певні докази взяв до уваги, а інші – відкинув. Відсутність або неналежність мотивації̈ зводить нанівець саму справедливість судового рішення, адже таке рішення, навіть будучи законним та обґрунтованим, не ліквідує правового конфлікту між сторонами, оскільки не пояснює, чому суд дійшов саме такого висновку» [5, c. 191].</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Беззаперечним є те, що ефективне виконання професійних завдань адвоката й досягнення мети його діяльності потребують високого рівня правових знань, аналітичних умінь та навичок аргументованого обґрунтування правової позиції. </w:t>
      </w:r>
    </w:p>
    <w:p w:rsidR="00076275" w:rsidRPr="00FD38BE" w:rsidRDefault="00076275" w:rsidP="00076275">
      <w:pPr>
        <w:spacing w:line="360" w:lineRule="auto"/>
        <w:ind w:firstLine="709"/>
        <w:jc w:val="both"/>
        <w:rPr>
          <w:sz w:val="28"/>
          <w:szCs w:val="28"/>
          <w:lang w:val="uk-UA"/>
        </w:rPr>
      </w:pPr>
      <w:r w:rsidRPr="00FD38BE">
        <w:rPr>
          <w:sz w:val="28"/>
          <w:szCs w:val="28"/>
          <w:lang w:val="uk-UA"/>
        </w:rPr>
        <w:t>Адвокат повинен володіти здатністю переконливо доводити правову позицію клієнта, як власну правову оцінку, так і позицію особи, інтереси якої він представляє або захищає в межах юридичного спору.</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Виконуючи свої функції відповідно до законодавчих вимог, адвокат бере участь у судових процесах, взаємодіє з органами державної влади, веде переговори, виступає в судових дебатах та здійснює інші форми правового представництва. </w:t>
      </w:r>
    </w:p>
    <w:p w:rsidR="00076275" w:rsidRPr="00FD38BE" w:rsidRDefault="00076275" w:rsidP="00076275">
      <w:pPr>
        <w:spacing w:line="360" w:lineRule="auto"/>
        <w:ind w:firstLine="709"/>
        <w:jc w:val="both"/>
        <w:rPr>
          <w:sz w:val="28"/>
          <w:szCs w:val="28"/>
          <w:lang w:val="uk-UA"/>
        </w:rPr>
      </w:pPr>
      <w:r w:rsidRPr="00FD38BE">
        <w:rPr>
          <w:sz w:val="28"/>
          <w:szCs w:val="28"/>
          <w:lang w:val="uk-UA"/>
        </w:rPr>
        <w:t>За таких обставин він зобов’язаний переконливо презентувати позицію клієнта судді, прокурору, іншій стороні спору; своєчасно реагувати на спроби маніпуляцій чи викривлень фактів; формувати логічно вивірену, юридично обґрунтовану та процесуально коректну лінію захисту або представництва.</w:t>
      </w:r>
    </w:p>
    <w:p w:rsidR="00076275" w:rsidRPr="00FD38BE" w:rsidRDefault="00076275" w:rsidP="00076275">
      <w:pPr>
        <w:spacing w:line="360" w:lineRule="auto"/>
        <w:ind w:firstLine="709"/>
        <w:jc w:val="both"/>
        <w:rPr>
          <w:sz w:val="28"/>
          <w:szCs w:val="28"/>
          <w:lang w:val="uk-UA"/>
        </w:rPr>
      </w:pPr>
      <w:r w:rsidRPr="00FD38BE">
        <w:rPr>
          <w:sz w:val="28"/>
          <w:szCs w:val="28"/>
          <w:lang w:val="uk-UA"/>
        </w:rPr>
        <w:lastRenderedPageBreak/>
        <w:t xml:space="preserve">Як слушно зазначають у науковій літературі, «Судові дебати, це словесна змагальність адвоката і прокурора, щодо переконання суду та присяжних засідателів, на основі аналізу досліджених в судових процесах доказів, в правоті своєї правової позиції з метою досягнення певного процесуально-правового результату. </w:t>
      </w:r>
    </w:p>
    <w:p w:rsidR="00076275" w:rsidRPr="00FD38BE" w:rsidRDefault="00076275" w:rsidP="00076275">
      <w:pPr>
        <w:spacing w:line="360" w:lineRule="auto"/>
        <w:ind w:firstLine="709"/>
        <w:jc w:val="both"/>
        <w:rPr>
          <w:sz w:val="28"/>
          <w:szCs w:val="28"/>
          <w:lang w:val="uk-UA"/>
        </w:rPr>
      </w:pPr>
      <w:r w:rsidRPr="00FD38BE">
        <w:rPr>
          <w:sz w:val="28"/>
          <w:szCs w:val="28"/>
          <w:lang w:val="uk-UA"/>
        </w:rPr>
        <w:t xml:space="preserve">Безумовно судові промови сторін являють собою вершину, чітко обумовленої законом аналітичної роботи. Така промова потребує обов’язкової до неї підготовки, як з точки зору застосування матеріального права, так і з точки зору риторики та психології» </w:t>
      </w:r>
      <w:r w:rsidRPr="00FD38BE">
        <w:rPr>
          <w:sz w:val="28"/>
          <w:szCs w:val="28"/>
        </w:rPr>
        <w:t>[</w:t>
      </w:r>
      <w:r w:rsidRPr="00FD38BE">
        <w:rPr>
          <w:sz w:val="28"/>
          <w:szCs w:val="28"/>
          <w:lang w:val="uk-UA"/>
        </w:rPr>
        <w:t>7, с.7</w:t>
      </w:r>
      <w:r w:rsidRPr="00FD38BE">
        <w:rPr>
          <w:sz w:val="28"/>
          <w:szCs w:val="28"/>
        </w:rPr>
        <w:t>]</w:t>
      </w:r>
      <w:r w:rsidRPr="00FD38BE">
        <w:rPr>
          <w:sz w:val="28"/>
          <w:szCs w:val="28"/>
          <w:lang w:val="uk-UA"/>
        </w:rPr>
        <w:t>.</w:t>
      </w:r>
    </w:p>
    <w:p w:rsidR="00076275" w:rsidRPr="00FD38BE" w:rsidRDefault="00076275" w:rsidP="00076275">
      <w:pPr>
        <w:spacing w:line="360" w:lineRule="auto"/>
        <w:ind w:firstLine="709"/>
        <w:jc w:val="both"/>
        <w:rPr>
          <w:sz w:val="28"/>
          <w:szCs w:val="28"/>
          <w:lang w:val="uk-UA"/>
        </w:rPr>
      </w:pPr>
      <w:r w:rsidRPr="00FD38BE">
        <w:rPr>
          <w:sz w:val="28"/>
          <w:szCs w:val="28"/>
          <w:lang w:val="uk-UA"/>
        </w:rPr>
        <w:t>Ефективність адвокатської діяльності нерозривно пов’язана з належним рівнем юридичної аргументації, оскільки саме вона забезпечує побудову, обґрунтування та захист правової позиції. Юридична аргументація передбачає застосування логічних прийомів, нормативно-правових положень, достовірного фактичного матеріалу та риторичних засобів, що дозволяють адвокату сформувати переконливу, професійно виважену правову модель та донести її до адресата у правозастосовному процесі.</w:t>
      </w:r>
    </w:p>
    <w:p w:rsidR="00076275" w:rsidRPr="00FD38BE" w:rsidRDefault="00076275" w:rsidP="00076275">
      <w:pPr>
        <w:spacing w:line="360" w:lineRule="auto"/>
        <w:ind w:firstLine="709"/>
        <w:jc w:val="both"/>
        <w:rPr>
          <w:sz w:val="28"/>
          <w:szCs w:val="28"/>
          <w:lang w:val="uk-UA"/>
        </w:rPr>
      </w:pPr>
      <w:r w:rsidRPr="00FD38BE">
        <w:rPr>
          <w:sz w:val="28"/>
          <w:szCs w:val="28"/>
          <w:lang w:val="uk-UA"/>
        </w:rPr>
        <w:t>З огляду на викладене, переконання в адвокатській діяльності слід трактувати як багатовимірний процес, в основі якого лежить єдність доказової бази, правової аргументації та професійно-етичних стандартів комунікації. Воно не лише забезпечує технічний аспект участі адвоката в судовому процесі, а й виконує важливу правозахисну функцію, спрямовану на забезпечення реалізації прав людини, підвищення якості правосуддя та довіри до інституту адвокатури.</w:t>
      </w:r>
    </w:p>
    <w:p w:rsidR="00076275" w:rsidRPr="00FD38BE" w:rsidRDefault="00076275" w:rsidP="00076275">
      <w:pPr>
        <w:spacing w:line="360" w:lineRule="auto"/>
        <w:ind w:firstLine="709"/>
        <w:jc w:val="center"/>
        <w:rPr>
          <w:b/>
          <w:bCs/>
          <w:sz w:val="28"/>
          <w:szCs w:val="28"/>
          <w:lang w:val="uk-UA"/>
        </w:rPr>
      </w:pPr>
    </w:p>
    <w:p w:rsidR="00076275" w:rsidRPr="00FD38BE" w:rsidRDefault="00076275" w:rsidP="00076275">
      <w:pPr>
        <w:spacing w:line="360" w:lineRule="auto"/>
        <w:ind w:firstLine="709"/>
        <w:jc w:val="center"/>
        <w:rPr>
          <w:b/>
          <w:bCs/>
          <w:sz w:val="28"/>
          <w:szCs w:val="28"/>
          <w:lang w:val="uk-UA"/>
        </w:rPr>
      </w:pPr>
      <w:r w:rsidRPr="00FD38BE">
        <w:rPr>
          <w:b/>
          <w:bCs/>
          <w:sz w:val="28"/>
          <w:szCs w:val="28"/>
          <w:lang w:val="uk-UA"/>
        </w:rPr>
        <w:t>СПИСОК ВИКОРИСТАНИХ ДЖЕРЕЛ</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Бек У., Добош З. Основні стадії доказової діяльності адвоката у цивільному процесі. Підприємництво, господарство і право. № 1. 2018. С. 4-7.</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Коробка В. Н. Правовий світогляд. Ч. 1: Становлення та розвиток. Донецьк</w:t>
      </w:r>
      <w:proofErr w:type="gramStart"/>
      <w:r w:rsidRPr="00FD38BE">
        <w:rPr>
          <w:sz w:val="28"/>
          <w:szCs w:val="28"/>
        </w:rPr>
        <w:t xml:space="preserve"> :</w:t>
      </w:r>
      <w:proofErr w:type="gramEnd"/>
      <w:r w:rsidRPr="00FD38BE">
        <w:rPr>
          <w:sz w:val="28"/>
          <w:szCs w:val="28"/>
        </w:rPr>
        <w:t xml:space="preserve"> Юрид. ін-т Луган. держ. ун-ту внутр. справ ім. Е. А. Дідоренко, 2008. 152 </w:t>
      </w:r>
      <w:proofErr w:type="gramStart"/>
      <w:r w:rsidRPr="00FD38BE">
        <w:rPr>
          <w:sz w:val="28"/>
          <w:szCs w:val="28"/>
        </w:rPr>
        <w:t>с</w:t>
      </w:r>
      <w:proofErr w:type="gramEnd"/>
      <w:r w:rsidRPr="00FD38BE">
        <w:rPr>
          <w:sz w:val="28"/>
          <w:szCs w:val="28"/>
        </w:rPr>
        <w:t>.</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lastRenderedPageBreak/>
        <w:t>Манько Д. Г., Бойко Н. І. Правнича аргументація адвоката в системі категорій сучасної юриспруденції. Держава і регіони. 2024. № 4. С. 17-23.</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Постанова по справі №826/8426/17 від 31 липня 2019 року. Верховний Суд у складі колегії суддів Касаційного адміністративного суду. URL: http://reyestr.court.gov.ua/Review/83379484 (дата звернення: 24.10.2025)</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Ратушна Б. П. Недоліки мотивування судових рішень у судовому правозастосуванні України. Науковий вісник Ужгородського національного університету. Серія ПРАВО. 2013. Випуск 21. Частина 1. Том 3. C. 185-194.</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Хмелько В.Є. Світогляд особи: психологічна структура і функції. Філософська думка. 1972. № 3. С. 30–38.</w:t>
      </w:r>
    </w:p>
    <w:p w:rsidR="00076275" w:rsidRPr="00FD38BE" w:rsidRDefault="00076275" w:rsidP="00076275">
      <w:pPr>
        <w:pStyle w:val="ae"/>
        <w:numPr>
          <w:ilvl w:val="0"/>
          <w:numId w:val="23"/>
        </w:numPr>
        <w:spacing w:line="360" w:lineRule="auto"/>
        <w:ind w:left="0" w:firstLine="709"/>
        <w:jc w:val="both"/>
        <w:rPr>
          <w:sz w:val="28"/>
          <w:szCs w:val="28"/>
          <w:lang w:val="uk-UA"/>
        </w:rPr>
      </w:pPr>
      <w:r w:rsidRPr="00FD38BE">
        <w:rPr>
          <w:sz w:val="28"/>
          <w:szCs w:val="28"/>
        </w:rPr>
        <w:t>Ясинок М. М. Судові дебати: право, психологія, риторика: монографія. К.: Алерта, 2014. 171 с.</w:t>
      </w:r>
      <w:r w:rsidRPr="00FD38BE">
        <w:rPr>
          <w:sz w:val="28"/>
          <w:szCs w:val="28"/>
          <w:lang w:val="uk-UA"/>
        </w:rPr>
        <w:t xml:space="preserve"> </w:t>
      </w:r>
    </w:p>
    <w:p w:rsidR="00076275" w:rsidRPr="00FD38BE" w:rsidRDefault="00076275" w:rsidP="00076275">
      <w:pPr>
        <w:spacing w:line="360" w:lineRule="auto"/>
        <w:ind w:firstLine="709"/>
        <w:rPr>
          <w:sz w:val="28"/>
          <w:szCs w:val="28"/>
          <w:lang w:val="uk-UA"/>
        </w:rPr>
      </w:pPr>
    </w:p>
    <w:p w:rsidR="00076275" w:rsidRPr="00FD38BE" w:rsidRDefault="00076275" w:rsidP="00076275">
      <w:pPr>
        <w:spacing w:line="360" w:lineRule="auto"/>
        <w:ind w:firstLine="709"/>
        <w:rPr>
          <w:sz w:val="28"/>
          <w:szCs w:val="28"/>
          <w:lang w:val="uk-UA"/>
        </w:rPr>
      </w:pPr>
    </w:p>
    <w:p w:rsidR="00076275" w:rsidRPr="00177935" w:rsidRDefault="00076275" w:rsidP="00076275">
      <w:pPr>
        <w:spacing w:line="360" w:lineRule="auto"/>
        <w:ind w:firstLine="709"/>
        <w:jc w:val="center"/>
        <w:rPr>
          <w:rFonts w:eastAsiaTheme="minorHAnsi"/>
          <w:b/>
          <w:iCs/>
          <w:sz w:val="28"/>
          <w:szCs w:val="28"/>
          <w:lang w:val="uk-UA" w:eastAsia="en-US"/>
        </w:rPr>
      </w:pPr>
      <w:r w:rsidRPr="00177935">
        <w:rPr>
          <w:rFonts w:eastAsiaTheme="minorHAnsi"/>
          <w:b/>
          <w:iCs/>
          <w:sz w:val="28"/>
          <w:szCs w:val="28"/>
          <w:lang w:val="uk-UA" w:eastAsia="en-US"/>
        </w:rPr>
        <w:t xml:space="preserve">ШЛЯХИ ПОПЕРЕДЖЕННЯ ВІДМИВАННЯ КОШТІВ </w:t>
      </w:r>
    </w:p>
    <w:p w:rsidR="00076275" w:rsidRPr="00177935" w:rsidRDefault="00076275" w:rsidP="00076275">
      <w:pPr>
        <w:spacing w:line="360" w:lineRule="auto"/>
        <w:ind w:firstLine="709"/>
        <w:jc w:val="center"/>
        <w:rPr>
          <w:rFonts w:eastAsiaTheme="minorHAnsi"/>
          <w:b/>
          <w:iCs/>
          <w:sz w:val="28"/>
          <w:szCs w:val="28"/>
          <w:lang w:val="uk-UA" w:eastAsia="en-US"/>
        </w:rPr>
      </w:pPr>
      <w:r w:rsidRPr="00177935">
        <w:rPr>
          <w:rFonts w:eastAsiaTheme="minorHAnsi"/>
          <w:b/>
          <w:iCs/>
          <w:sz w:val="28"/>
          <w:szCs w:val="28"/>
          <w:lang w:val="uk-UA" w:eastAsia="en-US"/>
        </w:rPr>
        <w:t xml:space="preserve">ІЗ ВИКОРИСТАННЯМ КРИПТОВАЛЮТ </w:t>
      </w:r>
    </w:p>
    <w:p w:rsidR="00076275" w:rsidRPr="00177935" w:rsidRDefault="00076275" w:rsidP="00076275">
      <w:pPr>
        <w:spacing w:line="360" w:lineRule="auto"/>
        <w:ind w:firstLine="709"/>
        <w:jc w:val="center"/>
        <w:rPr>
          <w:rFonts w:eastAsiaTheme="minorHAnsi"/>
          <w:b/>
          <w:i/>
          <w:sz w:val="28"/>
          <w:szCs w:val="28"/>
          <w:lang w:val="uk-UA" w:eastAsia="en-US"/>
        </w:rPr>
      </w:pPr>
      <w:r w:rsidRPr="00177935">
        <w:rPr>
          <w:rFonts w:eastAsiaTheme="minorHAnsi"/>
          <w:b/>
          <w:i/>
          <w:sz w:val="28"/>
          <w:szCs w:val="28"/>
          <w:lang w:val="uk-UA" w:eastAsia="en-US"/>
        </w:rPr>
        <w:t>Сандаков С. В.</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 xml:space="preserve">Студент ІІ курсу магістратури, </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спеціальність 262 «Правоохоронна діяльність»,</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Міжнародний університет,</w:t>
      </w:r>
    </w:p>
    <w:p w:rsidR="00076275" w:rsidRPr="00FA3276"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м. Одеса, Україна</w:t>
      </w:r>
    </w:p>
    <w:p w:rsidR="00076275" w:rsidRPr="00177935" w:rsidRDefault="00076275" w:rsidP="00076275">
      <w:pPr>
        <w:shd w:val="clear" w:color="auto" w:fill="FFFFFF"/>
        <w:spacing w:line="360" w:lineRule="auto"/>
        <w:ind w:firstLine="709"/>
        <w:jc w:val="both"/>
        <w:rPr>
          <w:bCs/>
          <w:sz w:val="28"/>
          <w:szCs w:val="28"/>
          <w:lang w:val="uk-UA"/>
        </w:rPr>
      </w:pPr>
      <w:r w:rsidRPr="00177935">
        <w:rPr>
          <w:sz w:val="28"/>
          <w:szCs w:val="28"/>
          <w:lang w:val="uk-UA"/>
        </w:rPr>
        <w:t xml:space="preserve">Стрімкий розвиток інформаційно-комунікаційних технологій та процеси глобальної цифровізації суттєво трансформують сучасні соціально-економічні відносини. </w:t>
      </w:r>
      <w:r w:rsidRPr="00177935">
        <w:rPr>
          <w:bCs/>
          <w:sz w:val="28"/>
          <w:szCs w:val="28"/>
          <w:lang w:val="uk-UA"/>
        </w:rPr>
        <w:t xml:space="preserve">Формування інформаційного суспільства та розвиток цифрової економіки призвели до появи нових об’єктів правового регулювання – цифрових фінансових активів. До них належать криптовалюти, токени та інші віртуальні цінності, що існують у цифровому середовищі та можуть використовуватися у фінансових операціях. Їх поширення зумовлене стрімким розвитком інформаційно-комунікаційних технологій, блокчейн-технологій та глобалізацією фінансових відносин. </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lastRenderedPageBreak/>
        <w:t>Вони стали важливим елементом цифрової економіки, забезпечуючи нові можливості для здійснення фінансових операцій, інвестування та міжнародних розрахунків. Водночас децентралізований характер криптовалютних систем, відсутність єдиного регулятора, а також певна анонімність транзакцій створюють передумови для їх використання у незаконних фінансових операціях, зокрема у процесах легалізації (відмивання) доходів, одержаних злочинним шляхом.</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t>Актуальність теми дослідження зумовлена необхідністю комплексного правового аналізу новітніх форм фінансових відносин, що виникають у цифровому середовищі. Сучасна фінансова система дедалі активніше інтегрує цифрові інструменти, що сприяє підвищенню ефективності економічної діяльності, але водночас породжує нові ризики для фінансової безпеки держави. Криптовалюти, будучи інноваційним фінансовим інструментом, можуть використовуватися не лише у законних економічних процесах, але й у схемах приховування походження коштів, фінансування незаконної діяльності та обходу систем фінансового контролю. У зв’язку з цим питання правового регулювання обігу криптовалют та розроблення ефективних механізмів протидії їх використанню у злочинних цілях набуває особливої наукової та практичної значущості.</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t>У сучасних умовах держави та міжнародні організації активно формують нормативні та інституційні механізми протидії фінансовим злочинам у цифровому середовищі. Особлива роль у цьому процесі належить розвитку систем фінансового моніторингу, гармонізації національного законодавства з міжнародними стандартами у сфері боротьби з легалізацією злочинних доходів, а також удосконаленню правового статусу віртуальних активів. Зазначені процеси вимагають ґрунтовного наукового осмислення правової природи криптовалют, їх місця у системі цифрових фінансів та можливих шляхів запобігання використанню таких інструментів у протиправній діяльності.</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 xml:space="preserve">Криптовалюти є важливим елементом сучасної цифрової економіки, який забезпечує нові можливості для здійснення фінансових операцій, міжнародних платежів та інвестиційної діяльності. Водночас їх децентралізований характер, </w:t>
      </w:r>
      <w:r w:rsidRPr="00177935">
        <w:rPr>
          <w:bCs/>
          <w:sz w:val="28"/>
          <w:szCs w:val="28"/>
          <w:lang w:val="uk-UA"/>
        </w:rPr>
        <w:lastRenderedPageBreak/>
        <w:t xml:space="preserve">відсутність єдиного центру управління та певний рівень анонімності транзакцій створюють передумови для використання криптовалют у незаконних фінансових операціях, зокрема у процесах легалізації (відмивання) доходів, отриманих злочинним шляхом.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Д. В. Каменський, слушно зауважує, що «… використання віртуальних активів і технології «блокчейн» задля відмивання стосується і не походження майна, і не згаданого у ст. 209 КК України набуття, володіння, використання, розпорядження майном. Ідеться натомість про так само каране за цією кримінально-правовою забороною використання віртуальних активів для зміни форми (перетворення) майна злочинного походження або для вчинення дій, спрямованих на приховування, маскування походження такого майна або володіння ним, права на таке майно, джерела його походження. Правильність наведеної тези підтверджується, зокрема, вітчизняною практикою накладання арешту на криптоактиви, належні особам, підозрюваним у вчиненні корупційних злочинів» [1, с. 507].</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 xml:space="preserve">Використання криптовалют у схемах відмивання коштів обумовлене низкою технологічних і правових факторів. До них належать анонімність або псевдонімність транзакцій, можливість швидкого міжнародного переказу коштів без участі традиційних фінансових установ, недостатня визначеність правового статусу криптовалют у законодавстві багатьох держав, а також відсутність уніфікованих міжнародних підходів до регулювання цифрових фінансових активів. </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 xml:space="preserve">За проаналізованим міжнародним та європейським досвідом протидії відмиванню коштів із використанням криптовалют, встановлено, що більшість держав поступово формують нормативно-правові механізми регулювання обігу віртуальних активів, впроваджують системи фінансового моніторингу, посилюють контроль за діяльністю криптовалютних бірж та інших суб’єктів цифрового фінансового ринку, а також розширюють міжнародне співробітництво у сфері боротьби з фінансовими злочинами.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lastRenderedPageBreak/>
        <w:t xml:space="preserve">Першим міжнародним документом у цій сфері стала Конвенція ООН про боротьбу проти незаконного обігу наркотичних засобів і психотропних речовин від 20 грудня 1988 р.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Розвитком міжнародної регламентації стала  Конвенція РЄ про відмивання, пошук, арешт та конфіскацію доходів, одержаних від злочинної діяльності, від 8 листопада 1990 р. (Конвенція від 8 листопада 1990 р., Страсбурзька конвенція) [2].</w:t>
      </w:r>
    </w:p>
    <w:p w:rsidR="00076275" w:rsidRPr="00177935" w:rsidRDefault="00076275" w:rsidP="00076275">
      <w:pPr>
        <w:shd w:val="clear" w:color="auto" w:fill="FFFFFF"/>
        <w:spacing w:line="360" w:lineRule="auto"/>
        <w:ind w:firstLine="709"/>
        <w:jc w:val="both"/>
        <w:rPr>
          <w:sz w:val="28"/>
          <w:szCs w:val="28"/>
          <w:lang w:val="uk-UA"/>
        </w:rPr>
      </w:pPr>
      <w:r w:rsidRPr="00177935">
        <w:rPr>
          <w:sz w:val="28"/>
          <w:szCs w:val="28"/>
          <w:lang w:val="uk-UA"/>
        </w:rPr>
        <w:t xml:space="preserve">Положення Конвенції від 8 листопада 1990 р. знайшли своє відображення в Директиві Ради Європейського союзу 91/308/EEC від 10 червня 1991 р. про запобігання використання фінансової системи з метою відмивання доходів (Перша директива) [4], а згодом у Конвенції РЄ від 16 травня 2005 р. про відмивання, пошук, арешт та конфіскацію доходів, одержаних злочинним шляхом, та про фінансування тероризму (Конвенція від 16 травня 2005 р., Варшавська конвенція), Директиві Європейського парламенту та Ради 2005/60/EC від 26 жовтня 2005 р. про запобігання використанню фінансової системи з метою відмивання доходів та фінансування тероризму (Третя директива) [3]. </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Відтак ефективна протидія відмиванню коштів із використанням криптовалют потребує комплексного підходу, який має поєднувати правові, організаційні та технологічні механізми. Зокрема, важливим є удосконалення національного законодавства щодо правового статусу віртуальних активів, впровадження сучасних інформаційно-аналітичних систем фінансового моніторингу, а також гармонізація національних норм із міжнародними стандартами у сфері боротьби з легалізацією злочинних доходів.</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 xml:space="preserve">Криптовалюти, будучи важливим інструментом цифрової економіки, водночас створюють нові виклики для фінансової безпеки держави та правового регулювання фінансових відносин.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Розмірковуючи про запобігання та протидію використання віртуальних валют в процесах відмивання коштів, Д. С. Шемет зазначає на необхідності «…  забезпечити  ефективну  взаємодію  між  Міністерством  цифрової  трансформації України, Національним банком України та іншими органами для </w:t>
      </w:r>
      <w:r w:rsidRPr="00177935">
        <w:rPr>
          <w:rFonts w:eastAsiaTheme="minorHAnsi"/>
          <w:sz w:val="28"/>
          <w:szCs w:val="28"/>
          <w:lang w:val="uk-UA" w:eastAsia="en-US"/>
        </w:rPr>
        <w:lastRenderedPageBreak/>
        <w:t>контролю за діяльністю операторів ринку. Також важливо створити спеціалізовані підрозділи для моніторингу та розслідування фінансових злочинів, пов’язаних із цифровими активами. Для підвищення ефективності моніторингу ринку можна використовувати технології блокчейн для забезпечення прозорості транзакцій та створення публічних реєстрів. Такі інструменти дозволять не лише контролювати обіг цифрових активів, але й підвищити довіру до державних органів. Запропоновані заходи дозволять забезпечити правову визначеність, зменшити ризики для учасників ринку та сприяти розвитку конкурентного і безпечного середовища для обігу віртуальних активів» [5, с. 240].</w:t>
      </w:r>
    </w:p>
    <w:p w:rsidR="00076275" w:rsidRPr="00177935"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 xml:space="preserve">У зв’язку з цим подальший розвиток нормативної бази у сфері віртуальних активів, посилення міжнародної співпраці та використання сучасних технологій фінансового контролю є необхідними умовами забезпечення ефективної протидії фінансовим злочинам у цифровому середовищі. </w:t>
      </w:r>
    </w:p>
    <w:p w:rsidR="00076275" w:rsidRPr="002B1223" w:rsidRDefault="00076275" w:rsidP="00076275">
      <w:pPr>
        <w:shd w:val="clear" w:color="auto" w:fill="FFFFFF"/>
        <w:spacing w:line="360" w:lineRule="auto"/>
        <w:ind w:firstLine="709"/>
        <w:jc w:val="both"/>
        <w:rPr>
          <w:bCs/>
          <w:sz w:val="28"/>
          <w:szCs w:val="28"/>
          <w:lang w:val="uk-UA"/>
        </w:rPr>
      </w:pPr>
      <w:r w:rsidRPr="00177935">
        <w:rPr>
          <w:bCs/>
          <w:sz w:val="28"/>
          <w:szCs w:val="28"/>
          <w:lang w:val="uk-UA"/>
        </w:rPr>
        <w:t>Таким чином, проблема відмивання коштів із використанням криптовалют є складним і багатовимірним явищем, яке потребує системного правового регулювання та подальшого наукового осмислення. Реалізація запропонованих підходів сприятиме підвищенню ефективності боротьби з фінансовими злочинами, зміцненню фінансової безпеки держави та формуванню стабільного правового середовища у сфері цифрових фінансів.</w:t>
      </w:r>
    </w:p>
    <w:p w:rsidR="00076275" w:rsidRPr="00177935" w:rsidRDefault="00076275" w:rsidP="00076275">
      <w:pPr>
        <w:spacing w:line="360" w:lineRule="auto"/>
        <w:ind w:firstLine="709"/>
        <w:jc w:val="center"/>
        <w:rPr>
          <w:rFonts w:eastAsiaTheme="minorHAnsi"/>
          <w:b/>
          <w:bCs/>
          <w:sz w:val="28"/>
          <w:szCs w:val="28"/>
          <w:lang w:val="uk-UA" w:eastAsia="en-US"/>
        </w:rPr>
      </w:pPr>
      <w:r w:rsidRPr="00177935">
        <w:rPr>
          <w:rFonts w:eastAsiaTheme="minorHAnsi"/>
          <w:b/>
          <w:bCs/>
          <w:sz w:val="28"/>
          <w:szCs w:val="28"/>
          <w:lang w:val="uk-UA" w:eastAsia="en-US"/>
        </w:rPr>
        <w:t>СПИСОК ВИКОРИСТАНИХ ДЖЕРЕЛ</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1.</w:t>
      </w:r>
      <w:r w:rsidRPr="00177935">
        <w:rPr>
          <w:rFonts w:eastAsiaTheme="minorHAnsi"/>
          <w:sz w:val="28"/>
          <w:szCs w:val="28"/>
          <w:lang w:val="uk-UA" w:eastAsia="en-US"/>
        </w:rPr>
        <w:tab/>
        <w:t>Каменський Д.В., Дудоров О.О. Відмивання злочинних доходів через операції з віртуальними валютами: нова загроза економічній безпеці. Електронне наукове видання «Аналітично-порівняльне правознавство». №1. 2024. С. 500-509. URL: https://app-journal.in.ua/wp-content/uploads/2024/03/90.pdf  (дата звернення – 03.02.2026)</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2.</w:t>
      </w:r>
      <w:r w:rsidRPr="00177935">
        <w:rPr>
          <w:rFonts w:eastAsiaTheme="minorHAnsi"/>
          <w:sz w:val="28"/>
          <w:szCs w:val="28"/>
          <w:lang w:val="uk-UA" w:eastAsia="en-US"/>
        </w:rPr>
        <w:tab/>
        <w:t>Про відмивання, пошук, арешт та конфіскацію доходів, одержаних від злочинної діяльності : Конвенція від 8 листопада 1990 р. Ради Європи. Офіційний сайт Верховної ради України. URL : http://zakon2.rada.gov.ua/laws/show/995_029. (дата звернення – 03.02.2026)</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lastRenderedPageBreak/>
        <w:t>3.</w:t>
      </w:r>
      <w:r w:rsidRPr="00177935">
        <w:rPr>
          <w:rFonts w:eastAsiaTheme="minorHAnsi"/>
          <w:sz w:val="28"/>
          <w:szCs w:val="28"/>
          <w:lang w:val="uk-UA" w:eastAsia="en-US"/>
        </w:rPr>
        <w:tab/>
        <w:t>Про запобігання використанню фінансової системи з метою відмивання доходів та фінансування тероризму : Директива від 26 жовтня 2005 р. Європейський парламент ; Рада Європейського союзу. Офіційний сайт Верховної Ради України. URL: http://zakon3.rada.gov.ua/laws/show/994_774 (дата звернення – 03.02.2026)</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4.</w:t>
      </w:r>
      <w:r w:rsidRPr="00177935">
        <w:rPr>
          <w:rFonts w:eastAsiaTheme="minorHAnsi"/>
          <w:sz w:val="28"/>
          <w:szCs w:val="28"/>
          <w:lang w:val="uk-UA" w:eastAsia="en-US"/>
        </w:rPr>
        <w:tab/>
        <w:t>Про недопущення використання фінансової системи з метою легалізації злочинних грошових коштів : Директива від 10 червня 1991 р. : Рада Європейського союзу. Офіційний сайт Верховної Ради України. URL: http://zakon.rada.gov.ua/cgi-bin/laws/main.cgi?nreg=994_148. (дата звернення – 03.02.2026)</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5.</w:t>
      </w:r>
      <w:r w:rsidRPr="00177935">
        <w:rPr>
          <w:rFonts w:eastAsiaTheme="minorHAnsi"/>
          <w:sz w:val="28"/>
          <w:szCs w:val="28"/>
          <w:lang w:val="uk-UA" w:eastAsia="en-US"/>
        </w:rPr>
        <w:tab/>
        <w:t>Шемет Д.С. Правове регулювання віртуальних активів: виклики легалізації та інституційного впровадження в Україні. Науковий вісник Ужгородського національного університету. Том 3. № 87. Серія: Право. 2025. С. 236-241.</w:t>
      </w:r>
    </w:p>
    <w:p w:rsidR="00076275" w:rsidRDefault="00076275" w:rsidP="00076275">
      <w:pPr>
        <w:spacing w:line="360" w:lineRule="auto"/>
        <w:rPr>
          <w:rFonts w:eastAsiaTheme="minorHAnsi"/>
          <w:sz w:val="28"/>
          <w:szCs w:val="28"/>
          <w:lang w:val="uk-UA" w:eastAsia="en-US"/>
        </w:rPr>
      </w:pPr>
    </w:p>
    <w:p w:rsidR="00076275" w:rsidRPr="00FD38BE" w:rsidRDefault="00076275" w:rsidP="00076275">
      <w:pPr>
        <w:spacing w:line="360" w:lineRule="auto"/>
        <w:rPr>
          <w:sz w:val="28"/>
          <w:szCs w:val="28"/>
          <w:lang w:val="uk-UA"/>
        </w:rPr>
      </w:pPr>
    </w:p>
    <w:p w:rsidR="00076275" w:rsidRPr="00FD38BE" w:rsidRDefault="00076275" w:rsidP="00076275">
      <w:pPr>
        <w:spacing w:line="360" w:lineRule="auto"/>
        <w:ind w:firstLine="709"/>
        <w:jc w:val="center"/>
        <w:rPr>
          <w:b/>
          <w:i/>
          <w:sz w:val="28"/>
          <w:szCs w:val="28"/>
          <w:lang w:val="uk-UA"/>
        </w:rPr>
      </w:pPr>
      <w:r w:rsidRPr="00FD38BE">
        <w:rPr>
          <w:b/>
          <w:iCs/>
          <w:sz w:val="28"/>
          <w:szCs w:val="28"/>
          <w:lang w:val="uk-UA"/>
        </w:rPr>
        <w:t>МАТРИЧНИЙ ПІДХІД ДО КЛАСИФІКАЦІЇ ЦИФРОВИХ ПРАВ ЯК ВІДОБРАЖЕННЯ НЕЛІНІЙНОСТІ ПРАВОВОГО РЕГУЛЮВАННЯ У ЦИФРОВОМУ СЕРЕДОВИЩІ</w:t>
      </w:r>
    </w:p>
    <w:p w:rsidR="00076275" w:rsidRPr="00FD38BE" w:rsidRDefault="00076275" w:rsidP="00076275">
      <w:pPr>
        <w:spacing w:line="360" w:lineRule="auto"/>
        <w:ind w:firstLine="709"/>
        <w:jc w:val="center"/>
        <w:rPr>
          <w:b/>
          <w:i/>
          <w:sz w:val="28"/>
          <w:szCs w:val="28"/>
          <w:lang w:val="uk-UA"/>
        </w:rPr>
      </w:pPr>
      <w:r w:rsidRPr="00FD38BE">
        <w:rPr>
          <w:b/>
          <w:i/>
          <w:sz w:val="28"/>
          <w:szCs w:val="28"/>
          <w:lang w:val="uk-UA"/>
        </w:rPr>
        <w:t>Серединко А. А.</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Доктор філософії, викладач кафедри державно-правових дисциплін,</w:t>
      </w:r>
    </w:p>
    <w:p w:rsidR="00076275" w:rsidRPr="00FD38BE" w:rsidRDefault="00076275" w:rsidP="00076275">
      <w:pPr>
        <w:spacing w:line="360" w:lineRule="auto"/>
        <w:ind w:firstLine="709"/>
        <w:jc w:val="center"/>
        <w:rPr>
          <w:i/>
          <w:sz w:val="28"/>
          <w:szCs w:val="28"/>
          <w:lang w:val="uk-UA"/>
        </w:rPr>
      </w:pPr>
      <w:r w:rsidRPr="00FD38BE">
        <w:rPr>
          <w:i/>
          <w:sz w:val="28"/>
          <w:szCs w:val="28"/>
          <w:lang w:val="uk-UA"/>
        </w:rPr>
        <w:t>Міжнародний університет, м. Одеса, Україна</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Розвиток інформаційного суспільства, цифрових технологій та глобальних комунікаційних мереж суттєво трансформує сучасну правову реальність. У цих умовах формуються нові правові явища, одним із яких є цифрові права, що охоплюють комплекс свобод та можливостей особи у сфері використання цифрових технологій, доступу до інформації, захисту персональних даних, цифрової ідентифікації та безпеки у цифровому середовищі тощо.</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На думку О. Бончука «Каталог людських прав четвертого покоління становлять дві підгрупи: соматичні права та інформаційні права» [1].</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lastRenderedPageBreak/>
        <w:t>Вважаємо, що зазначена класифікація потребує певних уточнень в контексті сучасних тенденцій цифрового середовища. Так, на найбільш загальному рівні, використання терміну «інформаційні права» вбачається таким, що не розкриває в повній мірі природу цифрових прав. Більш того, будь які права – є інформацією про свободи та можливості особи. Відтак, більш влучним можливо було би використовувати саме поняття «цифрові права», як окремий різновид прав людини.</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Водночас у сучасній правовій науці відсутній єдиний підхід до розуміння природи цифрових прав та їх системної класифікації. Більшість досліджень зосереджуються на окремих видах цифрових прав, не пропонуючи цілісної концепції їх структуризації. Це зумовлює необхідність розроблення науково обґрунтованої моделі класифікації цифрових прав, що дозволить систематизувати відповідний масив правових норм та визначити їх місце у системі прав людини.</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Проблематика цифрових прав активно досліджується у сучасній правовій науці. У наукових роботах цифрові права розглядаються як: нова група прав людини, що формується у цифровому середовищі; цифрова трансформація традиційних прав людини; окремий правовий інститут інформаційного суспільства.</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Братасюк О. Б., Ментух Н. Ф. наголошують, що «…цифрові права людини – це окрема група прав людини, які пов’язані з використанням та/або реалізовуються в мережі Інтернет за допомогою спеціальних пристроїв (комп’ютерів, смартфонів тощо)» [2, с. 59].</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Окремі дослідники підкреслюють, що цифрові права є розширенням фундаментальних прав людини у цифровому просторі, зокрема свободи вираження поглядів, права на інформацію та права на приватність.</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Інші автори наголошують, що цифрові права набувають самостійного характеру, оскільки вони безпосередньо пов’язані з новими технологічними явищами: електронною ідентифікацією, цифровими платформами, алгоритмічним прийняттям рішень та штучним інтелектом.</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lastRenderedPageBreak/>
        <w:t xml:space="preserve">І. В. Захарчук вказує, «Цифрові права – це сукупність прав і свобод, що забезпечують можливість вільного доступу до цифрових технологій, використання цифрових ресурсів та захист особи у цифровому середовищі. До таких прав можна віднести: право на доступ до інтернету; право на захист персональних даних; право на цифрову ідентифікацію; право на свободу вираження поглядів онлайн; право на забуття (видалення персональних даних); право на доступ до відкритих даних; право на захист від цифрової дискримінації;  право на безпечне цифрове середовище» </w:t>
      </w:r>
      <w:r w:rsidRPr="00FD38BE">
        <w:rPr>
          <w:sz w:val="28"/>
          <w:szCs w:val="28"/>
        </w:rPr>
        <w:t>[</w:t>
      </w:r>
      <w:r w:rsidRPr="00FD38BE">
        <w:rPr>
          <w:sz w:val="28"/>
          <w:szCs w:val="28"/>
          <w:lang w:val="uk-UA"/>
        </w:rPr>
        <w:t>3, с. 269-270</w:t>
      </w:r>
      <w:r w:rsidRPr="00FD38BE">
        <w:rPr>
          <w:sz w:val="28"/>
          <w:szCs w:val="28"/>
        </w:rPr>
        <w:t>]</w:t>
      </w:r>
      <w:r w:rsidRPr="00FD38BE">
        <w:rPr>
          <w:sz w:val="28"/>
          <w:szCs w:val="28"/>
          <w:lang w:val="uk-UA"/>
        </w:rPr>
        <w:t>.</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Разом із тим у науковій літературі відсутня узгоджена класифікація цифрових прав, що ускладнює формування належного підходу до їх правового регулювання.</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Цифрові права доцільно визначати як сукупність правових можливостей особи щодо доступу, використання, контролю та захисту інформації, цифрових ресурсів і цифрової ідентичності у цифровому середовищі, що реалізуються за допомогою інформаційно-комунікаційних технологій.</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Цифрові права мають подвійну правову природу: по-перше, вони є цифровою формою реалізації традиційних прав людини, а по-друге, вони формують нові правові можливості, що виникають виключно у зв’язку з розвитком цифрових технологій.</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У цьому аспекті слушною є зауваження Т. П. Попович, що «…при визначенні сутності цифрових прав слід враховувати два важливі аспекти: по-перше, природу самої Інтернет-мережі, яка, базується на вільному обігу інформації та провадженні комунікації; по-друге, на наявні й усталені в міжнародному праві та національних законодавствах права людини, що лежать в основі цифрових прав (до прикладу, загальна свобода вираження поглядів продовжується й отримує свою нову реалізацію в мережі Інтернет тощо)» </w:t>
      </w:r>
      <w:r w:rsidRPr="00FD38BE">
        <w:rPr>
          <w:sz w:val="28"/>
          <w:szCs w:val="28"/>
        </w:rPr>
        <w:t>[</w:t>
      </w:r>
      <w:r w:rsidRPr="00FD38BE">
        <w:rPr>
          <w:sz w:val="28"/>
          <w:szCs w:val="28"/>
          <w:lang w:val="uk-UA"/>
        </w:rPr>
        <w:t>4, с. 139</w:t>
      </w:r>
      <w:r w:rsidRPr="00FD38BE">
        <w:rPr>
          <w:sz w:val="28"/>
          <w:szCs w:val="28"/>
        </w:rPr>
        <w:t>]</w:t>
      </w:r>
      <w:r w:rsidRPr="00FD38BE">
        <w:rPr>
          <w:sz w:val="28"/>
          <w:szCs w:val="28"/>
          <w:lang w:val="uk-UA"/>
        </w:rPr>
        <w:t>.</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Саме ця подвійна природа зумовлює необхідність комплексної класифікації цифрових прав.</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lastRenderedPageBreak/>
        <w:t>У цьому дослідженні обґрунтовується матричний підхід до класифікації цифрових прав який базується на трьох критеріях: генезі походження; функціональному призначені; технологічній обумовленості.</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За генезою походження слід виділяти: первинні та похідні цифрові права.</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Первинні цифрові права – це права, які не можуть повноцінно існувати поза цифровим середовищем і є результатом саме технологічної еволюції правового простору.</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До них належать: право на цифрову ідентифікацію; право на цифрове забуття (як право особи вимагати видалення або обмеження доступу до інформації про себе у цифровому середовищі); право на захист від цифрової дискримінації; право на безпечне цифрове середовище; право на цифрове самовизначення; право на цифрову смерть (як право особи визначати юридичну долю своїх цифрових даних, акаунтів та цифрових активів після власної смерті).</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Похідні цифрові права – це права, які виникають як цифрова форма реалізації вже існуючих фундаментальних прав.</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До них належать: право на свободу вираження поглядів онлайн; право на доступ до інформації в цифровому середовищі; право на приватність в електронних комунікаціях; право на мирні зібрання та асоціації через електронні інструменти; право на участь у публічному управлінні через цифрові сервіси. </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Наукова новизна цього рівня класифікації полягає в тому, що вона дозволяє відмежувати права, які лише «переносяться» в онлайн, від прав, які породжені самим цифровим середовищем. Це дає змогу обґрунтувати автономність цифрових прав як нового правового феномена.</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За функціональним призначенням слід виділяти наступні групи цифрових прав:</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1. Права доступу до цифрових цінностей. Їх зміст полягає в забезпеченні входу особи в цифрове середовище. До них відносяться: право на доступ до Інтернету; право на доступ до цифрових пристроїв і телекомунікаційних мереж; право на цифрову інклюзію (право кожної особи на рівний, </w:t>
      </w:r>
      <w:r w:rsidRPr="00FD38BE">
        <w:rPr>
          <w:sz w:val="28"/>
          <w:szCs w:val="28"/>
          <w:lang w:val="uk-UA"/>
        </w:rPr>
        <w:lastRenderedPageBreak/>
        <w:t>недискримінаційний доступ до цифрових технологій); право на цифрову освіту як передумову реалізації інших цифрових прав.</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2. Комунікативно-інформаційні цифрові права. Їх функція – забезпечення вільного цифрового обігу інформації та комунікації.  До них відносяться: свобода вираження поглядів онлайн; право шукати, отримувати та поширювати інформацію в мережі; право на доступ до відкритих даних; право на цифрову участь у суспільній комунікації.</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3. Ідентифікаційно-статусні цифрові права. Полягають у забезпеченні визнання особи в цифровому середовищі та її контролем за особистим цифровим профілем. До них відносяться: право на цифрову ідентифікацію; право на інформаційне самовизначення; право на цифрову репрезентацію особи; право контролю над цифровим профілем.</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4. Цифрові права забезпечення приватності. Їх функція полягає у охороні та захисті автономії особи у цифровому середовищі. До них відносяться: право на приватність онлайн; право на захист персональних даних; право на анонімність; право на безпечне цифрове середовище; право на захист від кіберзагроз; право на захист від цифрової дискримінації; право на захист від мови ворожнечі, цифрових домагань і онлайн-насильства; право на алгоритмічно недискримінаційне рішення.</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5. Представницькі цифрові права. Змістом яких є забезпечення участі особи в соціальному управлінні та колективній взаємодії через цифрові механізми. До них відносяться: право на електронні інструменти демократії; право на електронні петиції; право на цифрову участь у публічному управлінні; право на онлайн-асоціацію та цифрові мирні зібрання. </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За рівнем технологічної обумовленості слід виділяти наступні групи цифрових прав:</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1. Технологічно-нейтральні цифрові права, які зберігають свій зміст незалежно від конкретної технології. Приміром: доступ до Інтернету; свобода вираження онлайн; право на приватність у цифровому середовищі.</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2. Технологічно-зумовлені цифрові права, зміст яких прямо залежить від конкретної технології. Приміром: право на цифрову ідентифікацію; право на </w:t>
      </w:r>
      <w:r w:rsidRPr="00FD38BE">
        <w:rPr>
          <w:sz w:val="28"/>
          <w:szCs w:val="28"/>
          <w:lang w:val="uk-UA"/>
        </w:rPr>
        <w:lastRenderedPageBreak/>
        <w:t xml:space="preserve">захист персональних даних у конкретних інформаційних системах; право на забуття в цифрових реєстрах і пошукових механізмах; право на захист від алгоритмічної дискримінації; право на людський контроль щодо автоматизованих рішень. </w:t>
      </w:r>
    </w:p>
    <w:p w:rsidR="00076275" w:rsidRPr="00FD38BE" w:rsidRDefault="00076275" w:rsidP="00076275">
      <w:pPr>
        <w:spacing w:line="360" w:lineRule="auto"/>
        <w:ind w:firstLine="709"/>
        <w:jc w:val="right"/>
        <w:rPr>
          <w:b/>
          <w:bCs/>
          <w:sz w:val="28"/>
          <w:szCs w:val="28"/>
        </w:rPr>
      </w:pPr>
      <w:r w:rsidRPr="00FD38BE">
        <w:rPr>
          <w:sz w:val="28"/>
          <w:szCs w:val="28"/>
        </w:rPr>
        <w:t>Таблиця 1</w:t>
      </w:r>
      <w:r w:rsidRPr="00FD38BE">
        <w:rPr>
          <w:b/>
          <w:bCs/>
          <w:sz w:val="28"/>
          <w:szCs w:val="28"/>
        </w:rPr>
        <w:t xml:space="preserve"> </w:t>
      </w:r>
    </w:p>
    <w:p w:rsidR="00076275" w:rsidRPr="00FD38BE" w:rsidRDefault="00076275" w:rsidP="00076275">
      <w:pPr>
        <w:spacing w:line="360" w:lineRule="auto"/>
        <w:ind w:firstLine="709"/>
        <w:jc w:val="center"/>
        <w:rPr>
          <w:b/>
          <w:bCs/>
          <w:sz w:val="28"/>
          <w:szCs w:val="28"/>
        </w:rPr>
      </w:pPr>
      <w:r w:rsidRPr="00FD38BE">
        <w:rPr>
          <w:b/>
          <w:bCs/>
          <w:sz w:val="28"/>
          <w:szCs w:val="28"/>
        </w:rPr>
        <w:t xml:space="preserve">Використання матричного підходу </w:t>
      </w:r>
    </w:p>
    <w:p w:rsidR="00076275" w:rsidRPr="00FD38BE" w:rsidRDefault="00076275" w:rsidP="00076275">
      <w:pPr>
        <w:spacing w:line="360" w:lineRule="auto"/>
        <w:ind w:firstLine="709"/>
        <w:jc w:val="center"/>
        <w:rPr>
          <w:b/>
          <w:bCs/>
          <w:sz w:val="28"/>
          <w:szCs w:val="28"/>
        </w:rPr>
      </w:pPr>
      <w:r w:rsidRPr="00FD38BE">
        <w:rPr>
          <w:b/>
          <w:bCs/>
          <w:sz w:val="28"/>
          <w:szCs w:val="28"/>
        </w:rPr>
        <w:t>на прикладі права на цифрове забуття</w:t>
      </w:r>
    </w:p>
    <w:tbl>
      <w:tblPr>
        <w:tblStyle w:val="af4"/>
        <w:tblW w:w="0" w:type="auto"/>
        <w:jc w:val="center"/>
        <w:tblLook w:val="04A0"/>
      </w:tblPr>
      <w:tblGrid>
        <w:gridCol w:w="3114"/>
        <w:gridCol w:w="1700"/>
        <w:gridCol w:w="2407"/>
        <w:gridCol w:w="2408"/>
      </w:tblGrid>
      <w:tr w:rsidR="00076275" w:rsidRPr="00FD38BE" w:rsidTr="006F3DC6">
        <w:trPr>
          <w:jc w:val="center"/>
        </w:trPr>
        <w:tc>
          <w:tcPr>
            <w:tcW w:w="3114" w:type="dxa"/>
            <w:tcBorders>
              <w:tl2br w:val="single" w:sz="4" w:space="0" w:color="auto"/>
            </w:tcBorders>
          </w:tcPr>
          <w:p w:rsidR="00076275" w:rsidRPr="00FD38BE" w:rsidRDefault="00076275" w:rsidP="006F3DC6">
            <w:pPr>
              <w:pStyle w:val="ac"/>
              <w:tabs>
                <w:tab w:val="left" w:pos="3119"/>
              </w:tabs>
              <w:spacing w:before="0" w:beforeAutospacing="0" w:after="0" w:afterAutospacing="0" w:line="360" w:lineRule="auto"/>
              <w:ind w:firstLine="709"/>
              <w:jc w:val="right"/>
              <w:rPr>
                <w:b/>
                <w:bCs/>
                <w:lang w:val="uk-UA"/>
              </w:rPr>
            </w:pPr>
            <w:r w:rsidRPr="00FD38BE">
              <w:rPr>
                <w:b/>
                <w:bCs/>
                <w:lang w:val="uk-UA"/>
              </w:rPr>
              <w:t>Критерії</w:t>
            </w:r>
          </w:p>
          <w:p w:rsidR="00076275" w:rsidRPr="00FD38BE" w:rsidRDefault="00076275" w:rsidP="006F3DC6">
            <w:pPr>
              <w:pStyle w:val="ac"/>
              <w:tabs>
                <w:tab w:val="left" w:pos="3119"/>
              </w:tabs>
              <w:spacing w:before="0" w:beforeAutospacing="0" w:after="0" w:afterAutospacing="0" w:line="360" w:lineRule="auto"/>
              <w:ind w:firstLine="709"/>
              <w:jc w:val="right"/>
              <w:rPr>
                <w:b/>
                <w:bCs/>
                <w:lang w:val="uk-UA"/>
              </w:rPr>
            </w:pPr>
            <w:r w:rsidRPr="00FD38BE">
              <w:rPr>
                <w:b/>
                <w:bCs/>
                <w:lang w:val="uk-UA"/>
              </w:rPr>
              <w:t>класифікації</w:t>
            </w:r>
          </w:p>
          <w:p w:rsidR="00076275" w:rsidRPr="00FD38BE" w:rsidRDefault="00076275" w:rsidP="006F3DC6">
            <w:pPr>
              <w:pStyle w:val="ac"/>
              <w:tabs>
                <w:tab w:val="left" w:pos="3119"/>
              </w:tabs>
              <w:spacing w:before="0" w:beforeAutospacing="0" w:after="0" w:afterAutospacing="0" w:line="360" w:lineRule="auto"/>
              <w:ind w:firstLine="709"/>
              <w:jc w:val="center"/>
              <w:rPr>
                <w:b/>
                <w:bCs/>
                <w:lang w:val="uk-UA"/>
              </w:rPr>
            </w:pPr>
          </w:p>
          <w:p w:rsidR="00076275" w:rsidRPr="00FD38BE" w:rsidRDefault="00076275" w:rsidP="006F3DC6">
            <w:pPr>
              <w:pStyle w:val="ac"/>
              <w:tabs>
                <w:tab w:val="left" w:pos="3119"/>
              </w:tabs>
              <w:spacing w:before="0" w:beforeAutospacing="0" w:after="0" w:afterAutospacing="0" w:line="360" w:lineRule="auto"/>
              <w:ind w:firstLine="709"/>
              <w:rPr>
                <w:b/>
                <w:bCs/>
                <w:lang w:val="uk-UA"/>
              </w:rPr>
            </w:pPr>
          </w:p>
          <w:p w:rsidR="00076275" w:rsidRDefault="00076275" w:rsidP="006F3DC6">
            <w:pPr>
              <w:pStyle w:val="ac"/>
              <w:tabs>
                <w:tab w:val="left" w:pos="3119"/>
              </w:tabs>
              <w:spacing w:before="0" w:beforeAutospacing="0" w:after="0" w:afterAutospacing="0" w:line="360" w:lineRule="auto"/>
              <w:rPr>
                <w:b/>
                <w:bCs/>
                <w:lang w:val="uk-UA"/>
              </w:rPr>
            </w:pPr>
            <w:r w:rsidRPr="00FD38BE">
              <w:rPr>
                <w:b/>
                <w:bCs/>
                <w:lang w:val="uk-UA"/>
              </w:rPr>
              <w:t xml:space="preserve">Цифрові </w:t>
            </w:r>
          </w:p>
          <w:p w:rsidR="00076275" w:rsidRPr="00FD38BE" w:rsidRDefault="00076275" w:rsidP="006F3DC6">
            <w:pPr>
              <w:pStyle w:val="ac"/>
              <w:tabs>
                <w:tab w:val="left" w:pos="3119"/>
              </w:tabs>
              <w:spacing w:before="0" w:beforeAutospacing="0" w:after="0" w:afterAutospacing="0" w:line="360" w:lineRule="auto"/>
              <w:rPr>
                <w:b/>
                <w:bCs/>
                <w:lang w:val="uk-UA"/>
              </w:rPr>
            </w:pPr>
            <w:r w:rsidRPr="00FD38BE">
              <w:rPr>
                <w:b/>
                <w:bCs/>
                <w:lang w:val="uk-UA"/>
              </w:rPr>
              <w:t>права людини</w:t>
            </w:r>
          </w:p>
          <w:p w:rsidR="00076275" w:rsidRPr="00FD38BE" w:rsidRDefault="00076275" w:rsidP="006F3DC6">
            <w:pPr>
              <w:spacing w:line="360" w:lineRule="auto"/>
              <w:ind w:firstLine="709"/>
              <w:jc w:val="center"/>
              <w:rPr>
                <w:sz w:val="28"/>
                <w:szCs w:val="28"/>
              </w:rPr>
            </w:pPr>
          </w:p>
        </w:tc>
        <w:tc>
          <w:tcPr>
            <w:tcW w:w="1700" w:type="dxa"/>
          </w:tcPr>
          <w:p w:rsidR="00076275" w:rsidRPr="00FD38BE" w:rsidRDefault="00076275" w:rsidP="006F3DC6">
            <w:pPr>
              <w:pStyle w:val="ac"/>
              <w:tabs>
                <w:tab w:val="left" w:pos="3119"/>
              </w:tabs>
              <w:spacing w:before="0" w:beforeAutospacing="0" w:after="0" w:afterAutospacing="0" w:line="360" w:lineRule="auto"/>
              <w:ind w:firstLine="709"/>
              <w:jc w:val="center"/>
              <w:rPr>
                <w:sz w:val="28"/>
                <w:szCs w:val="28"/>
                <w:lang w:val="uk-UA"/>
              </w:rPr>
            </w:pPr>
            <w:r w:rsidRPr="00FD38BE">
              <w:rPr>
                <w:sz w:val="28"/>
                <w:szCs w:val="28"/>
                <w:lang w:val="uk-UA"/>
              </w:rPr>
              <w:t>Генеза походження</w:t>
            </w:r>
          </w:p>
          <w:p w:rsidR="00076275" w:rsidRPr="00FD38BE" w:rsidRDefault="00076275" w:rsidP="006F3DC6">
            <w:pPr>
              <w:pStyle w:val="ac"/>
              <w:tabs>
                <w:tab w:val="left" w:pos="3119"/>
              </w:tabs>
              <w:spacing w:before="0" w:beforeAutospacing="0" w:after="0" w:afterAutospacing="0" w:line="360" w:lineRule="auto"/>
              <w:ind w:firstLine="709"/>
              <w:jc w:val="center"/>
              <w:rPr>
                <w:sz w:val="28"/>
                <w:szCs w:val="28"/>
              </w:rPr>
            </w:pPr>
          </w:p>
        </w:tc>
        <w:tc>
          <w:tcPr>
            <w:tcW w:w="2407" w:type="dxa"/>
          </w:tcPr>
          <w:p w:rsidR="00076275" w:rsidRPr="00FD38BE" w:rsidRDefault="00076275" w:rsidP="006F3DC6">
            <w:pPr>
              <w:spacing w:line="360" w:lineRule="auto"/>
              <w:ind w:firstLine="709"/>
              <w:jc w:val="center"/>
              <w:rPr>
                <w:sz w:val="28"/>
                <w:szCs w:val="28"/>
              </w:rPr>
            </w:pPr>
            <w:r w:rsidRPr="00FD38BE">
              <w:rPr>
                <w:sz w:val="28"/>
                <w:szCs w:val="28"/>
              </w:rPr>
              <w:t>Ф</w:t>
            </w:r>
            <w:r w:rsidRPr="00FD38BE">
              <w:rPr>
                <w:sz w:val="28"/>
                <w:szCs w:val="28"/>
                <w:lang w:val="uk-UA"/>
              </w:rPr>
              <w:t>ункціональн</w:t>
            </w:r>
            <w:r w:rsidRPr="00FD38BE">
              <w:rPr>
                <w:sz w:val="28"/>
                <w:szCs w:val="28"/>
              </w:rPr>
              <w:t>е</w:t>
            </w:r>
            <w:r w:rsidRPr="00FD38BE">
              <w:rPr>
                <w:sz w:val="28"/>
                <w:szCs w:val="28"/>
                <w:lang w:val="uk-UA"/>
              </w:rPr>
              <w:t xml:space="preserve"> призначе</w:t>
            </w:r>
            <w:r w:rsidRPr="00FD38BE">
              <w:rPr>
                <w:sz w:val="28"/>
                <w:szCs w:val="28"/>
              </w:rPr>
              <w:t>н</w:t>
            </w:r>
            <w:r w:rsidRPr="00FD38BE">
              <w:rPr>
                <w:sz w:val="28"/>
                <w:szCs w:val="28"/>
                <w:lang w:val="uk-UA"/>
              </w:rPr>
              <w:t>н</w:t>
            </w:r>
            <w:r w:rsidRPr="00FD38BE">
              <w:rPr>
                <w:sz w:val="28"/>
                <w:szCs w:val="28"/>
              </w:rPr>
              <w:t>я</w:t>
            </w:r>
          </w:p>
        </w:tc>
        <w:tc>
          <w:tcPr>
            <w:tcW w:w="2408" w:type="dxa"/>
          </w:tcPr>
          <w:p w:rsidR="00076275" w:rsidRPr="00FD38BE" w:rsidRDefault="00076275" w:rsidP="006F3DC6">
            <w:pPr>
              <w:pStyle w:val="ac"/>
              <w:tabs>
                <w:tab w:val="left" w:pos="3119"/>
              </w:tabs>
              <w:spacing w:before="0" w:beforeAutospacing="0" w:after="0" w:afterAutospacing="0" w:line="360" w:lineRule="auto"/>
              <w:ind w:firstLine="709"/>
              <w:jc w:val="center"/>
              <w:rPr>
                <w:sz w:val="28"/>
                <w:szCs w:val="28"/>
                <w:lang w:val="uk-UA"/>
              </w:rPr>
            </w:pPr>
            <w:r w:rsidRPr="00FD38BE">
              <w:rPr>
                <w:sz w:val="28"/>
                <w:szCs w:val="28"/>
                <w:lang w:val="uk-UA"/>
              </w:rPr>
              <w:t>Технологічна обумовленість</w:t>
            </w:r>
          </w:p>
          <w:p w:rsidR="00076275" w:rsidRPr="00FD38BE" w:rsidRDefault="00076275" w:rsidP="006F3DC6">
            <w:pPr>
              <w:spacing w:line="360" w:lineRule="auto"/>
              <w:ind w:firstLine="709"/>
              <w:jc w:val="center"/>
              <w:rPr>
                <w:sz w:val="28"/>
                <w:szCs w:val="28"/>
              </w:rPr>
            </w:pPr>
          </w:p>
        </w:tc>
      </w:tr>
      <w:tr w:rsidR="00076275" w:rsidRPr="00FD38BE" w:rsidTr="006F3DC6">
        <w:trPr>
          <w:jc w:val="center"/>
        </w:trPr>
        <w:tc>
          <w:tcPr>
            <w:tcW w:w="3114" w:type="dxa"/>
          </w:tcPr>
          <w:p w:rsidR="00076275" w:rsidRPr="00FD38BE" w:rsidRDefault="00076275" w:rsidP="006F3DC6">
            <w:pPr>
              <w:spacing w:line="360" w:lineRule="auto"/>
              <w:ind w:firstLine="709"/>
              <w:jc w:val="center"/>
              <w:rPr>
                <w:sz w:val="28"/>
                <w:szCs w:val="28"/>
              </w:rPr>
            </w:pPr>
            <w:r w:rsidRPr="00FD38BE">
              <w:rPr>
                <w:sz w:val="28"/>
                <w:szCs w:val="28"/>
              </w:rPr>
              <w:t>Право на цифрове забуття</w:t>
            </w:r>
          </w:p>
        </w:tc>
        <w:tc>
          <w:tcPr>
            <w:tcW w:w="1700" w:type="dxa"/>
          </w:tcPr>
          <w:p w:rsidR="00076275" w:rsidRPr="00FD38BE" w:rsidRDefault="00076275" w:rsidP="006F3DC6">
            <w:pPr>
              <w:spacing w:line="360" w:lineRule="auto"/>
              <w:ind w:firstLine="709"/>
              <w:jc w:val="center"/>
              <w:rPr>
                <w:i/>
                <w:iCs/>
                <w:sz w:val="28"/>
                <w:szCs w:val="28"/>
              </w:rPr>
            </w:pPr>
            <w:r w:rsidRPr="00FD38BE">
              <w:rPr>
                <w:i/>
                <w:iCs/>
                <w:sz w:val="28"/>
                <w:szCs w:val="28"/>
              </w:rPr>
              <w:t xml:space="preserve">Первинні </w:t>
            </w:r>
          </w:p>
        </w:tc>
        <w:tc>
          <w:tcPr>
            <w:tcW w:w="2407" w:type="dxa"/>
          </w:tcPr>
          <w:p w:rsidR="00076275" w:rsidRPr="00FD38BE" w:rsidRDefault="00076275" w:rsidP="006F3DC6">
            <w:pPr>
              <w:spacing w:line="360" w:lineRule="auto"/>
              <w:ind w:firstLine="709"/>
              <w:jc w:val="center"/>
              <w:rPr>
                <w:i/>
                <w:iCs/>
                <w:sz w:val="28"/>
                <w:szCs w:val="28"/>
              </w:rPr>
            </w:pPr>
            <w:r w:rsidRPr="00FD38BE">
              <w:rPr>
                <w:i/>
                <w:iCs/>
                <w:sz w:val="28"/>
                <w:szCs w:val="28"/>
              </w:rPr>
              <w:t>Цифрові права забезпечення приватності</w:t>
            </w:r>
          </w:p>
        </w:tc>
        <w:tc>
          <w:tcPr>
            <w:tcW w:w="2408" w:type="dxa"/>
          </w:tcPr>
          <w:p w:rsidR="00076275" w:rsidRPr="00FD38BE" w:rsidRDefault="00076275" w:rsidP="006F3DC6">
            <w:pPr>
              <w:spacing w:line="360" w:lineRule="auto"/>
              <w:ind w:firstLine="709"/>
              <w:jc w:val="center"/>
              <w:rPr>
                <w:i/>
                <w:iCs/>
                <w:sz w:val="28"/>
                <w:szCs w:val="28"/>
              </w:rPr>
            </w:pPr>
            <w:r w:rsidRPr="00FD38BE">
              <w:rPr>
                <w:i/>
                <w:iCs/>
                <w:sz w:val="28"/>
                <w:szCs w:val="28"/>
              </w:rPr>
              <w:t>Технологічно-зумовлені цифрові права</w:t>
            </w:r>
          </w:p>
        </w:tc>
      </w:tr>
    </w:tbl>
    <w:p w:rsidR="00076275" w:rsidRPr="00FD38BE" w:rsidRDefault="00076275" w:rsidP="00076275">
      <w:pPr>
        <w:spacing w:line="360" w:lineRule="auto"/>
        <w:ind w:firstLine="709"/>
        <w:jc w:val="center"/>
        <w:rPr>
          <w:sz w:val="28"/>
          <w:szCs w:val="28"/>
        </w:rPr>
      </w:pP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Матричний підхід до класифікації цифрових прав має низку важливих складових. По-перше, дозволяє належним чином систематизувати різноманітні цифрові права, що виникають у сучасному інформаційному суспільстві. По-друге, створює засади відмежування цифрових прав від інших прав людини, які мають ширший характер. По-третє, забезпечує теоретичну основу для майбутнього нормативного закріплення цифрових прав у нормативних актах. По-четверте, враховує європейський вектор розвитку, бо включає не тільки класичні права доступу, приватності й вираження, а й більш нові права: на захист від цифрової дискримінації, безпечне цифрове середовище, цифрову інклюзію, цифрове забуття та смерть, алгоритмічну справедливість тощо. </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 xml:space="preserve">Відтак, достатньо перспективним для юридичної науки, вбачається  використання матричного підходу до класифікації цифрових прав, у межах якого кожне конкретне право може одночасно характеризуватися за </w:t>
      </w:r>
      <w:r w:rsidRPr="00FD38BE">
        <w:rPr>
          <w:sz w:val="28"/>
          <w:szCs w:val="28"/>
          <w:lang w:val="uk-UA"/>
        </w:rPr>
        <w:lastRenderedPageBreak/>
        <w:t>походженням, функцією, об’єктом захисту та рівнем технологічної зумовленості. Саме така модель є придатною для сучасного етапу розвитку права, оскільки цифрове середовище породжує не просто нові об’єкти регулювання, а нову архітектуру правового статусу людини. Такий висновок узгоджується з дослідженнями, які наголошують на окремому характері цифрових прав, необхідності їх нормативного закріплення та формуванні комплексного механізму їх реалізації й захисту.</w:t>
      </w:r>
    </w:p>
    <w:p w:rsidR="00076275" w:rsidRPr="00FD38BE" w:rsidRDefault="00076275" w:rsidP="00076275">
      <w:pPr>
        <w:pStyle w:val="ac"/>
        <w:tabs>
          <w:tab w:val="left" w:pos="3119"/>
        </w:tabs>
        <w:spacing w:before="0" w:beforeAutospacing="0" w:after="0" w:afterAutospacing="0" w:line="360" w:lineRule="auto"/>
        <w:ind w:firstLine="709"/>
        <w:jc w:val="both"/>
        <w:rPr>
          <w:sz w:val="28"/>
          <w:szCs w:val="28"/>
          <w:lang w:val="uk-UA"/>
        </w:rPr>
      </w:pPr>
      <w:r w:rsidRPr="00FD38BE">
        <w:rPr>
          <w:sz w:val="28"/>
          <w:szCs w:val="28"/>
          <w:lang w:val="uk-UA"/>
        </w:rPr>
        <w:t>Матричний підхід дозволяє сформувати системне уявлення про структуру цифрових прав, виділити їх у самостійний підвид та створити теоретичну основу для подальшого розвитку правового регулювання цифрового простору.</w:t>
      </w:r>
    </w:p>
    <w:p w:rsidR="00076275" w:rsidRPr="00FD38BE" w:rsidRDefault="00076275" w:rsidP="00076275">
      <w:pPr>
        <w:spacing w:line="360" w:lineRule="auto"/>
        <w:ind w:firstLine="709"/>
        <w:jc w:val="center"/>
        <w:rPr>
          <w:b/>
          <w:bCs/>
          <w:sz w:val="28"/>
          <w:szCs w:val="28"/>
          <w:lang w:val="uk-UA"/>
        </w:rPr>
      </w:pPr>
    </w:p>
    <w:p w:rsidR="00076275" w:rsidRPr="00FD38BE" w:rsidRDefault="00076275" w:rsidP="00076275">
      <w:pPr>
        <w:spacing w:line="360" w:lineRule="auto"/>
        <w:ind w:firstLine="709"/>
        <w:jc w:val="center"/>
        <w:rPr>
          <w:b/>
          <w:bCs/>
          <w:sz w:val="28"/>
          <w:szCs w:val="28"/>
          <w:lang w:val="uk-UA"/>
        </w:rPr>
      </w:pPr>
      <w:r w:rsidRPr="00FD38BE">
        <w:rPr>
          <w:b/>
          <w:bCs/>
          <w:sz w:val="28"/>
          <w:szCs w:val="28"/>
          <w:lang w:val="uk-UA"/>
        </w:rPr>
        <w:t>СПИСОК ВИКОРИСТАНИХ ДЖЕРЕЛ</w:t>
      </w:r>
    </w:p>
    <w:p w:rsidR="00076275" w:rsidRPr="00FD38BE" w:rsidRDefault="00076275" w:rsidP="00076275">
      <w:pPr>
        <w:pStyle w:val="a7"/>
        <w:numPr>
          <w:ilvl w:val="0"/>
          <w:numId w:val="24"/>
        </w:numPr>
        <w:spacing w:line="360" w:lineRule="auto"/>
        <w:ind w:left="0" w:firstLine="709"/>
        <w:jc w:val="both"/>
        <w:rPr>
          <w:sz w:val="28"/>
          <w:szCs w:val="28"/>
        </w:rPr>
      </w:pPr>
      <w:r w:rsidRPr="00FD38BE">
        <w:rPr>
          <w:sz w:val="28"/>
          <w:szCs w:val="28"/>
        </w:rPr>
        <w:t>Бончук О. Новітні людські права: прийняти не можна заборонити. 28.07.2020. URL: https://law.chnu.edu.ua/novitni-liudski-prava-pryiniaty-ne-mozhna-zaboronyty/ (дата звернення – 07.03.2026).</w:t>
      </w:r>
    </w:p>
    <w:p w:rsidR="00076275" w:rsidRPr="00FD38BE" w:rsidRDefault="00076275" w:rsidP="00076275">
      <w:pPr>
        <w:pStyle w:val="a7"/>
        <w:numPr>
          <w:ilvl w:val="0"/>
          <w:numId w:val="24"/>
        </w:numPr>
        <w:spacing w:line="360" w:lineRule="auto"/>
        <w:ind w:left="0" w:firstLine="709"/>
        <w:jc w:val="both"/>
        <w:rPr>
          <w:sz w:val="28"/>
          <w:szCs w:val="28"/>
        </w:rPr>
      </w:pPr>
      <w:r w:rsidRPr="00FD38BE">
        <w:rPr>
          <w:sz w:val="28"/>
          <w:szCs w:val="28"/>
        </w:rPr>
        <w:t>Братасюк О. Б., Ментух Н. Ф. Поняття та класифікація цифрових прав в Україні</w:t>
      </w:r>
      <w:r w:rsidRPr="00FD38BE">
        <w:rPr>
          <w:i/>
          <w:iCs/>
          <w:sz w:val="28"/>
          <w:szCs w:val="28"/>
        </w:rPr>
        <w:t>. Юридичний науковий електронний журнал</w:t>
      </w:r>
      <w:r w:rsidRPr="00FD38BE">
        <w:rPr>
          <w:sz w:val="28"/>
          <w:szCs w:val="28"/>
        </w:rPr>
        <w:t>. 2021. № 10. С. 58-61. DOI https://doi.org/10.32782/2524-0374/2021-10/12</w:t>
      </w:r>
    </w:p>
    <w:p w:rsidR="00076275" w:rsidRPr="00FD38BE" w:rsidRDefault="00076275" w:rsidP="00076275">
      <w:pPr>
        <w:pStyle w:val="a7"/>
        <w:numPr>
          <w:ilvl w:val="0"/>
          <w:numId w:val="24"/>
        </w:numPr>
        <w:spacing w:line="360" w:lineRule="auto"/>
        <w:ind w:left="0" w:firstLine="709"/>
        <w:jc w:val="both"/>
        <w:rPr>
          <w:sz w:val="28"/>
          <w:szCs w:val="28"/>
        </w:rPr>
      </w:pPr>
      <w:r w:rsidRPr="00FD38BE">
        <w:rPr>
          <w:sz w:val="28"/>
          <w:szCs w:val="28"/>
        </w:rPr>
        <w:t xml:space="preserve">Захарчук І. В. Цифрові права громадян України: конституційно-правове закріплення та механізми реалізації. </w:t>
      </w:r>
      <w:r w:rsidRPr="00FD38BE">
        <w:rPr>
          <w:i/>
          <w:iCs/>
          <w:sz w:val="28"/>
          <w:szCs w:val="28"/>
        </w:rPr>
        <w:t xml:space="preserve">Науковий вісник Ужгородського Національного Університету. Серія ПРАВО. </w:t>
      </w:r>
      <w:r w:rsidRPr="00FD38BE">
        <w:rPr>
          <w:sz w:val="28"/>
          <w:szCs w:val="28"/>
        </w:rPr>
        <w:t xml:space="preserve">Випуск 90: частина 1. 2025. С. 268-273. DOI </w:t>
      </w:r>
      <w:hyperlink r:id="rId80" w:history="1">
        <w:r w:rsidRPr="00FD38BE">
          <w:rPr>
            <w:rStyle w:val="af0"/>
            <w:color w:val="auto"/>
            <w:sz w:val="28"/>
            <w:szCs w:val="28"/>
          </w:rPr>
          <w:t>https://doi.org/10.24144/2307-3322.2025.90.1.34</w:t>
        </w:r>
      </w:hyperlink>
    </w:p>
    <w:p w:rsidR="00076275" w:rsidRPr="002B1223" w:rsidRDefault="00076275" w:rsidP="00076275">
      <w:pPr>
        <w:pStyle w:val="a7"/>
        <w:numPr>
          <w:ilvl w:val="0"/>
          <w:numId w:val="24"/>
        </w:numPr>
        <w:spacing w:line="360" w:lineRule="auto"/>
        <w:ind w:left="0" w:firstLine="709"/>
        <w:jc w:val="both"/>
        <w:rPr>
          <w:sz w:val="28"/>
          <w:szCs w:val="28"/>
        </w:rPr>
      </w:pPr>
      <w:r w:rsidRPr="00FD38BE">
        <w:rPr>
          <w:sz w:val="28"/>
          <w:szCs w:val="28"/>
        </w:rPr>
        <w:t>Попович Т.</w:t>
      </w:r>
      <w:r w:rsidRPr="00FD38BE">
        <w:rPr>
          <w:sz w:val="28"/>
          <w:szCs w:val="28"/>
          <w:lang w:val="uk-UA"/>
        </w:rPr>
        <w:t xml:space="preserve"> </w:t>
      </w:r>
      <w:r w:rsidRPr="00FD38BE">
        <w:rPr>
          <w:sz w:val="28"/>
          <w:szCs w:val="28"/>
        </w:rPr>
        <w:t>П. Особливості правової природи цифрових прав людини.</w:t>
      </w:r>
      <w:r w:rsidRPr="00FD38BE">
        <w:rPr>
          <w:sz w:val="28"/>
          <w:szCs w:val="28"/>
          <w:lang w:val="uk-UA"/>
        </w:rPr>
        <w:t xml:space="preserve"> </w:t>
      </w:r>
      <w:r w:rsidRPr="00FD38BE">
        <w:rPr>
          <w:i/>
          <w:iCs/>
          <w:sz w:val="28"/>
          <w:szCs w:val="28"/>
          <w:lang w:val="uk-UA"/>
        </w:rPr>
        <w:t>Часопис Київського університету права.</w:t>
      </w:r>
      <w:r w:rsidRPr="00FD38BE">
        <w:rPr>
          <w:sz w:val="28"/>
          <w:szCs w:val="28"/>
          <w:lang w:val="uk-UA"/>
        </w:rPr>
        <w:t xml:space="preserve"> №1. 2021. С.135-140. DOI: 10.36695/2219-5521.1.2021.24</w:t>
      </w:r>
    </w:p>
    <w:p w:rsidR="00076275" w:rsidRPr="00177935" w:rsidRDefault="00076275" w:rsidP="00076275">
      <w:pPr>
        <w:spacing w:line="360" w:lineRule="auto"/>
        <w:ind w:firstLine="709"/>
        <w:jc w:val="center"/>
        <w:rPr>
          <w:rFonts w:eastAsiaTheme="minorHAnsi"/>
          <w:b/>
          <w:iCs/>
          <w:sz w:val="28"/>
          <w:szCs w:val="28"/>
          <w:lang w:val="uk-UA" w:eastAsia="en-US"/>
        </w:rPr>
      </w:pPr>
      <w:r w:rsidRPr="00177935">
        <w:rPr>
          <w:rFonts w:eastAsiaTheme="minorHAnsi"/>
          <w:b/>
          <w:iCs/>
          <w:sz w:val="28"/>
          <w:szCs w:val="28"/>
          <w:lang w:val="uk-UA" w:eastAsia="en-US"/>
        </w:rPr>
        <w:t xml:space="preserve">ЦИФРОВІЗАЦІЯ ЮРИДИЧНОЇ ДІЯЛЬНОСТІ В УКРАЇНІ </w:t>
      </w:r>
    </w:p>
    <w:p w:rsidR="00076275" w:rsidRPr="00177935" w:rsidRDefault="00076275" w:rsidP="00076275">
      <w:pPr>
        <w:spacing w:line="360" w:lineRule="auto"/>
        <w:ind w:firstLine="709"/>
        <w:jc w:val="center"/>
        <w:rPr>
          <w:rFonts w:eastAsiaTheme="minorHAnsi"/>
          <w:b/>
          <w:i/>
          <w:sz w:val="28"/>
          <w:szCs w:val="28"/>
          <w:lang w:val="uk-UA" w:eastAsia="en-US"/>
        </w:rPr>
      </w:pPr>
      <w:r w:rsidRPr="00177935">
        <w:rPr>
          <w:rFonts w:eastAsiaTheme="minorHAnsi"/>
          <w:b/>
          <w:i/>
          <w:sz w:val="28"/>
          <w:szCs w:val="28"/>
          <w:lang w:val="uk-UA" w:eastAsia="en-US"/>
        </w:rPr>
        <w:t>Сороченко В. В.</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 xml:space="preserve">Студент ІІ курсу магістратури, </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спеціальність 262 «Правоохоронна діяльність»,</w:t>
      </w:r>
    </w:p>
    <w:p w:rsidR="00076275" w:rsidRPr="00177935"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Міжнародний університет,</w:t>
      </w:r>
    </w:p>
    <w:p w:rsidR="00076275" w:rsidRPr="002B1223" w:rsidRDefault="00076275" w:rsidP="00076275">
      <w:pPr>
        <w:spacing w:line="360" w:lineRule="auto"/>
        <w:ind w:firstLine="709"/>
        <w:jc w:val="center"/>
        <w:rPr>
          <w:rFonts w:eastAsiaTheme="minorHAnsi"/>
          <w:i/>
          <w:sz w:val="28"/>
          <w:szCs w:val="28"/>
          <w:lang w:val="uk-UA" w:eastAsia="en-US"/>
        </w:rPr>
      </w:pPr>
      <w:r w:rsidRPr="00177935">
        <w:rPr>
          <w:rFonts w:eastAsiaTheme="minorHAnsi"/>
          <w:i/>
          <w:sz w:val="28"/>
          <w:szCs w:val="28"/>
          <w:lang w:val="uk-UA" w:eastAsia="en-US"/>
        </w:rPr>
        <w:t>м. Одеса, Україна</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lastRenderedPageBreak/>
        <w:t xml:space="preserve">Актуальність теми дослідження зумовлена глибокими трансформаційними процесами, що відбуваються у сучасному суспільстві під впливом стрімкого розвитку інформаційно-комунікаційних технологій, цифрових платформ, штучного інтелекту та глобальних інформаційних мереж. Цифрова трансформація охоплює практично всі сфери суспільного життя, змінюючи традиційні моделі соціальної взаємодії, економічних відносин, державного управління та правового регулювання. У цих умовах особливої актуальності набуває дослідження трансформацій юридичної діяльності, яка виступає важливим інструментом забезпечення законності, правопорядку та реалізації прав і свобод людини.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С. Д. Гусарєв слушно вказує, що  «… юридична діяльність – це різновид правової діяльності, що здійснюється у формах практичної, освітньої та наукової діяльності юристами, на професійній основі, з метою отримання відповідного правового результату, задоволення потреб та інтересів соціальних суб’єктів» [2, с. 16].</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t xml:space="preserve">Юридична діяльність є специфічним різновидом соціальної діяльності, що здійснюється на основі права та спрямована на формування, реалізацію і захист правових норм, а також на задоволення публічних і приватних інтересів суб’єктів правовідносин. Вона охоплює широке коло процесів – від нормотворчості та правозастосування до правового виховання, юридичної практики та науково-освітньої діяльності у сфері права. У сучасних умовах цифрової трансформації відбувається суттєва зміна форм, інструментів та механізмів здійснення юридичної діяльності, що зумовлює необхідність комплексного теоретико-правового осмислення цих процесів. </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t xml:space="preserve">Використання цифрових технологій у правовій сфері сприяє підвищенню ефективності діяльності державних органів, судової системи, правоохоронних інституцій, адвокатури та інших суб’єктів юридичної практики. Водночас воно породжує нові виклики, пов’язані із забезпеченням кібербезпеки, захистом персональних даних, гарантуванням цифрових прав людини, подоланням цифрової нерівності та запобіганням ризикам алгоритмічної упередженості у процесі прийняття рішень. У зв’язку з цим виникає потреба у формуванні нових </w:t>
      </w:r>
      <w:r w:rsidRPr="00177935">
        <w:rPr>
          <w:sz w:val="28"/>
          <w:szCs w:val="28"/>
          <w:lang w:val="uk-UA" w:eastAsia="en-US"/>
        </w:rPr>
        <w:lastRenderedPageBreak/>
        <w:t xml:space="preserve">підходів до правового регулювання цифрових відносин та модернізації нормативних, організаційних і технологічних механізмів здійснення юридичної діяльності.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Нікітін Ю. О. зазначає, що «… цифрова трансформація – це процес переходу до нових способів діяльності підприємства шляхом впровадження цифрових технологій та цифрових сервісів, що базується на стратегічному партнерстві всіх зацікавлених сторін та одночасної розробки програмного забезпечення, цифрової трансформації та оцінки рівня цифрової трансформації підприємства» [4, с. 83]. </w:t>
      </w:r>
    </w:p>
    <w:p w:rsidR="00076275" w:rsidRPr="00177935" w:rsidRDefault="00076275" w:rsidP="00076275">
      <w:pPr>
        <w:spacing w:line="360" w:lineRule="auto"/>
        <w:ind w:firstLine="709"/>
        <w:jc w:val="both"/>
        <w:rPr>
          <w:sz w:val="28"/>
          <w:szCs w:val="28"/>
          <w:lang w:val="uk-UA" w:eastAsia="en-US"/>
        </w:rPr>
      </w:pPr>
      <w:r w:rsidRPr="00177935">
        <w:rPr>
          <w:sz w:val="28"/>
          <w:szCs w:val="28"/>
          <w:lang w:val="uk-UA" w:eastAsia="en-US"/>
        </w:rPr>
        <w:t xml:space="preserve">Цифрова трансформація правової сфери проявляється у розвитку електронного врядування, електронного судочинства, цифрових адміністративних сервісів, використанні інформаційно-аналітичних систем у правоохоронній діяльності, а також у впровадженні інноваційних LegalTech-рішень у сфері правничої допомоги та корпоративного правового забезпечення. Такі зміни потребують переосмислення традиційних підходів до організації юридичної діяльності, формування нових професійних компетентностей юристів та вдосконалення системи правового регулювання у цифрову епоху.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Сучасний етап розвитку суспільства характеризується глибокими трансформаційними змінами, зумовленими поширенням інформаційно-комунікаційних технологій, автоматизації та штучного інтелекту. Цифрова трансформація виступає комплексним процесом системних змін у структурі соціальних відносин, що охоплює економічну, управлінську, культурну та правову сфери, формуючи нову модель інформаційно-цифрової цивілізації.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Поняття «оцифрування», «цифровізація», «диджиталізація» та «цифрова трансформація» відображають різні рівні технологічних змін у суспільстві. Оцифрування (digitization) означає переведення інформації з аналогового формату у цифровий; цифровізація (digitalization) передбачає впровадження цифрових технологій у діяльність різних соціальних інститутів; тоді як цифрова трансформація характеризує системні інституційні та культурні зміни, що змінюють саму логіку функціонування соціальних систем, у тому числі правового простору.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lastRenderedPageBreak/>
        <w:t xml:space="preserve">Дослідження нормативно-правових засад цифровізації юридичної діяльності в Україні засвідчило, що чинна система правового регулювання цифрових відносин має фрагментарний характер і потребує подальшого вдосконалення. Особливого значення набуває формування комплексної концепції цифрових прав людини, удосконалення законодавства у сфері кібербезпеки, захисту персональних даних, електронного врядування та штучного інтелекту.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Цифрова трансформація суттєво змінює механізми здійснення юридичної діяльності у публічно-правовій сфері. Зокрема, її проявами є розвиток електронного парламентаризму та електронної демократії, впровадження цифрових інструментів у діяльність органів державної влади та місцевого самоврядування, модернізація систем електронного судочинства, а також використання інформаційно-аналітичних систем у діяльності правоохоронних органів.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Бліщук К. М., Домша О. В., цифрові інструменти визначають як «знаряддя, засіб для покращення зв’язку між фізичними та юридичними особами і державою за допомогою цифрових технологій та онлайн комунікацій. Завдяки цифровим інструментам оптимізується виконання тих чи інших операцій, покращується якість взаємодії та гармонізуються процеси, оскільки усі процедури здійснюються в онлайн режимі, що допомагає економити час і ресурси та виконувати необхідну роботу з максимальним результатом» [1, с. 150].</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У приватно-правовій сфері цифрова трансформація сприяє поширенню сучасних технологічних рішень у діяльності адвокатури та корпоративних юридичних служб. Використання LegalTech-платформ, електронного документообігу, аналітичних систем обробки правових даних і дистанційних форм правничої допомоги дозволяє підвищити ефективність юридичної практики, розширити доступ громадян до правових послуг та оптимізувати процеси правового забезпечення діяльності суб’єктів господарювання.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Кубаєнко А. В. зазначає, що «… сьогодні можна виділити три рівні впровадження цифрових технологій у практику діяльності адвокатів: по-перше, </w:t>
      </w:r>
      <w:r w:rsidRPr="00177935">
        <w:rPr>
          <w:rFonts w:eastAsiaTheme="minorHAnsi"/>
          <w:sz w:val="28"/>
          <w:szCs w:val="28"/>
          <w:lang w:val="uk-UA" w:eastAsia="en-US"/>
        </w:rPr>
        <w:lastRenderedPageBreak/>
        <w:t xml:space="preserve">автоматизація адвокатської діяльності, що означає створення IT-сервісів, які дозволять автоматизувати процеси надання кваліфікованої правничої допомоги (тобто за допомогою таких сервісів якоюсь мірою полегшиться адвокатська діяльність, а громадянам, яким необхідна юридична консультація, вона стане доступнішою, адже дана технологія спрямована на створення довідково-інформаційних правових систем, юридичних ботів, систем для аналізу судової практики тощо); по-друге, відбувається інформатизація адвокатської діяльності, що передбачає побудову та розвиток телекомунікаційної інфраструктури та інформаційного середовища для супроводу процесів, що забезпечують організацію адвокатської діяльності у реалізації повноважень; по-третє, інформатизація діяльності органів адвокатського самоврядування, а також органів НААУ, що означає побудову та розвиток інфраструктури для найбільш спрощеної роботи» [3, с. 1].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Поряд із позитивними наслідками цифровізації юридичної діяльності виникають нові виклики та ризики, пов’язані із забезпеченням кібербезпеки, захистом персональних даних, запобіганням алгоритмічній упередженості, гарантуванням прозорості автоматизованих рішень та забезпеченням рівного доступу до правосуддя в цифровому середовищі. Це зумовлює необхідність формування людиноцентричної моделі правового регулювання цифрового простору. </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Подальший розвиток юридичної діяльності в умовах цифрової трансформації має базуватися на комплексній модернізації нормативних, організаційних і технологічних механізмів правового регулювання. Така модернізація повинна поєднувати впровадження інноваційних цифрових технологій із дотриманням фундаментальних принципів права, забезпеченням прав і свобод людини, підвищенням рівня правової культури та розвитком цифрових компетентностей суб’єктів правовідносин.</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 xml:space="preserve">Отже, цифрова трансформація виступає важливим фактором модернізації юридичної діяльності в Україні, який відкриває нові можливості для підвищення ефективності правової системи, водночас потребуючи формування </w:t>
      </w:r>
      <w:r w:rsidRPr="00177935">
        <w:rPr>
          <w:rFonts w:eastAsiaTheme="minorHAnsi"/>
          <w:sz w:val="28"/>
          <w:szCs w:val="28"/>
          <w:lang w:val="uk-UA" w:eastAsia="en-US"/>
        </w:rPr>
        <w:lastRenderedPageBreak/>
        <w:t>нових підходів до правового регулювання та забезпечення балансу між технологічним розвитком і гарантіями прав людини у цифровому середовищі.</w:t>
      </w:r>
    </w:p>
    <w:p w:rsidR="00076275" w:rsidRPr="00177935" w:rsidRDefault="00076275" w:rsidP="00076275">
      <w:pPr>
        <w:shd w:val="clear" w:color="auto" w:fill="FFFFFF"/>
        <w:spacing w:line="360" w:lineRule="auto"/>
        <w:jc w:val="both"/>
        <w:rPr>
          <w:b/>
          <w:sz w:val="28"/>
          <w:szCs w:val="28"/>
          <w:lang w:val="uk-UA"/>
        </w:rPr>
      </w:pPr>
    </w:p>
    <w:p w:rsidR="00076275" w:rsidRPr="00177935" w:rsidRDefault="00076275" w:rsidP="00076275">
      <w:pPr>
        <w:spacing w:line="360" w:lineRule="auto"/>
        <w:ind w:firstLine="709"/>
        <w:jc w:val="center"/>
        <w:rPr>
          <w:rFonts w:eastAsiaTheme="minorHAnsi"/>
          <w:b/>
          <w:bCs/>
          <w:sz w:val="28"/>
          <w:szCs w:val="28"/>
          <w:lang w:val="uk-UA" w:eastAsia="en-US"/>
        </w:rPr>
      </w:pPr>
      <w:r w:rsidRPr="00177935">
        <w:rPr>
          <w:rFonts w:eastAsiaTheme="minorHAnsi"/>
          <w:b/>
          <w:bCs/>
          <w:sz w:val="28"/>
          <w:szCs w:val="28"/>
          <w:lang w:val="uk-UA" w:eastAsia="en-US"/>
        </w:rPr>
        <w:t>СПИСОК ВИКОРИСТАНИХ ДЖЕРЕЛ</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1.</w:t>
      </w:r>
      <w:r w:rsidRPr="00177935">
        <w:rPr>
          <w:rFonts w:eastAsiaTheme="minorHAnsi"/>
          <w:sz w:val="28"/>
          <w:szCs w:val="28"/>
          <w:lang w:val="uk-UA" w:eastAsia="en-US"/>
        </w:rPr>
        <w:tab/>
        <w:t>Бліщук К. М., Домша О. В. Цифрові інструменти забезпечення сталого розвитку. Ефективність державного управління : зб. наук. пр. Вип. 1(66) : у 2 ч. Ч. 2 / за заг. ред. чл.-кор. НАН України В. С. Загорського, доц. А. В. Ліпенцева. Львів : ЛРІДУ НАДУ, 2021. C. 141-153.</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2.</w:t>
      </w:r>
      <w:r w:rsidRPr="00177935">
        <w:rPr>
          <w:rFonts w:eastAsiaTheme="minorHAnsi"/>
          <w:sz w:val="28"/>
          <w:szCs w:val="28"/>
          <w:lang w:val="uk-UA" w:eastAsia="en-US"/>
        </w:rPr>
        <w:tab/>
        <w:t>Гусарєв С. Д. Юридична діяльність: методологічні та теоретичні аспекти: автореф. дис. ... д-ра юрид. наук: 12.00.01. Київ, 2007. 35 с.</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3.</w:t>
      </w:r>
      <w:r w:rsidRPr="00177935">
        <w:rPr>
          <w:rFonts w:eastAsiaTheme="minorHAnsi"/>
          <w:sz w:val="28"/>
          <w:szCs w:val="28"/>
          <w:lang w:val="uk-UA" w:eastAsia="en-US"/>
        </w:rPr>
        <w:tab/>
        <w:t>Кубаєнко А. В. Цифрова трансформація адвокатської діяльності та адвокатури: переваги і можливі недоліки. С. 1-4.URL: https://dspace.onua.edu.ua/server/api/core/bitstreams/87c03bc5-dcd1-4de7-9159-1c6346fbf2bb/content</w:t>
      </w:r>
    </w:p>
    <w:p w:rsidR="00076275" w:rsidRPr="00177935" w:rsidRDefault="00076275" w:rsidP="00076275">
      <w:pPr>
        <w:spacing w:line="360" w:lineRule="auto"/>
        <w:ind w:firstLine="709"/>
        <w:jc w:val="both"/>
        <w:rPr>
          <w:rFonts w:eastAsiaTheme="minorHAnsi"/>
          <w:sz w:val="28"/>
          <w:szCs w:val="28"/>
          <w:lang w:val="uk-UA" w:eastAsia="en-US"/>
        </w:rPr>
      </w:pPr>
      <w:r w:rsidRPr="00177935">
        <w:rPr>
          <w:rFonts w:eastAsiaTheme="minorHAnsi"/>
          <w:sz w:val="28"/>
          <w:szCs w:val="28"/>
          <w:lang w:val="uk-UA" w:eastAsia="en-US"/>
        </w:rPr>
        <w:t>4.</w:t>
      </w:r>
      <w:r w:rsidRPr="00177935">
        <w:rPr>
          <w:rFonts w:eastAsiaTheme="minorHAnsi"/>
          <w:sz w:val="28"/>
          <w:szCs w:val="28"/>
          <w:lang w:val="uk-UA" w:eastAsia="en-US"/>
        </w:rPr>
        <w:tab/>
        <w:t>Нікітін Ю. О., Кульчицький О. І. Цифрова парадигма як основа визначень: цифровий бізнес, цифрове підприємство, цифрова трансформація. Маркетинг і цифрові технології. 2019. No 4. Том 3. № 4. С. 77-87.</w:t>
      </w:r>
    </w:p>
    <w:p w:rsidR="00076275" w:rsidRDefault="00076275" w:rsidP="00076275">
      <w:pPr>
        <w:spacing w:line="360" w:lineRule="auto"/>
        <w:ind w:firstLine="709"/>
        <w:rPr>
          <w:rFonts w:eastAsiaTheme="minorHAnsi"/>
          <w:sz w:val="28"/>
          <w:szCs w:val="28"/>
          <w:lang w:val="uk-UA" w:eastAsia="en-US"/>
        </w:rPr>
      </w:pPr>
    </w:p>
    <w:p w:rsidR="00076275" w:rsidRPr="00177935" w:rsidRDefault="00076275" w:rsidP="00076275">
      <w:pPr>
        <w:spacing w:line="360" w:lineRule="auto"/>
        <w:ind w:firstLine="709"/>
        <w:rPr>
          <w:rFonts w:eastAsiaTheme="minorHAnsi"/>
          <w:sz w:val="28"/>
          <w:szCs w:val="28"/>
          <w:lang w:val="uk-UA" w:eastAsia="en-US"/>
        </w:rPr>
      </w:pPr>
    </w:p>
    <w:p w:rsidR="00076275" w:rsidRPr="00177935" w:rsidRDefault="00076275" w:rsidP="00076275">
      <w:pPr>
        <w:tabs>
          <w:tab w:val="left" w:pos="1837"/>
        </w:tabs>
        <w:spacing w:line="360" w:lineRule="auto"/>
        <w:ind w:firstLine="709"/>
        <w:jc w:val="center"/>
        <w:rPr>
          <w:rFonts w:eastAsia="Calibri"/>
          <w:b/>
          <w:caps/>
          <w:sz w:val="28"/>
          <w:szCs w:val="28"/>
          <w:lang w:val="uk-UA" w:eastAsia="en-US"/>
        </w:rPr>
      </w:pPr>
      <w:r w:rsidRPr="00177935">
        <w:rPr>
          <w:rFonts w:eastAsia="Calibri"/>
          <w:b/>
          <w:caps/>
          <w:sz w:val="28"/>
          <w:szCs w:val="28"/>
          <w:lang w:val="uk-UA" w:eastAsia="en-US"/>
        </w:rPr>
        <w:t>Юридичні обов’язки у структурі правового статусу особи: теоретико-правовий зміст та нормативні засади реалізації</w:t>
      </w:r>
    </w:p>
    <w:p w:rsidR="00076275" w:rsidRPr="00177935" w:rsidRDefault="00076275" w:rsidP="00076275">
      <w:pPr>
        <w:spacing w:line="360" w:lineRule="auto"/>
        <w:ind w:firstLine="709"/>
        <w:jc w:val="center"/>
        <w:rPr>
          <w:rFonts w:eastAsia="Calibri"/>
          <w:b/>
          <w:bCs/>
          <w:i/>
          <w:iCs/>
          <w:sz w:val="28"/>
          <w:szCs w:val="28"/>
          <w:lang w:val="uk-UA" w:eastAsia="en-US"/>
        </w:rPr>
      </w:pPr>
      <w:r w:rsidRPr="00177935">
        <w:rPr>
          <w:rFonts w:eastAsia="Calibri"/>
          <w:b/>
          <w:bCs/>
          <w:i/>
          <w:iCs/>
          <w:sz w:val="28"/>
          <w:szCs w:val="28"/>
          <w:lang w:val="uk-UA" w:eastAsia="en-US"/>
        </w:rPr>
        <w:t>Суд А. Д.</w:t>
      </w:r>
    </w:p>
    <w:p w:rsidR="00076275" w:rsidRPr="00177935" w:rsidRDefault="00076275" w:rsidP="00076275">
      <w:pPr>
        <w:spacing w:line="360" w:lineRule="auto"/>
        <w:ind w:firstLine="709"/>
        <w:jc w:val="center"/>
        <w:rPr>
          <w:rFonts w:eastAsia="Calibri"/>
          <w:i/>
          <w:iCs/>
          <w:sz w:val="28"/>
          <w:szCs w:val="28"/>
          <w:lang w:val="uk-UA" w:eastAsia="en-US"/>
        </w:rPr>
      </w:pPr>
      <w:r w:rsidRPr="00177935">
        <w:rPr>
          <w:rFonts w:eastAsia="Calibri"/>
          <w:i/>
          <w:iCs/>
          <w:sz w:val="28"/>
          <w:szCs w:val="28"/>
          <w:lang w:val="uk-UA" w:eastAsia="en-US"/>
        </w:rPr>
        <w:t xml:space="preserve">студентка 2 курсу магістратури факультету права та економіки  Міжнародного  університету, </w:t>
      </w:r>
    </w:p>
    <w:p w:rsidR="00076275" w:rsidRPr="002B1223" w:rsidRDefault="00076275" w:rsidP="00076275">
      <w:pPr>
        <w:spacing w:line="360" w:lineRule="auto"/>
        <w:ind w:firstLine="709"/>
        <w:jc w:val="center"/>
        <w:rPr>
          <w:rFonts w:eastAsia="Calibri"/>
          <w:i/>
          <w:iCs/>
          <w:sz w:val="28"/>
          <w:szCs w:val="28"/>
          <w:lang w:val="uk-UA" w:eastAsia="en-US"/>
        </w:rPr>
      </w:pPr>
      <w:r w:rsidRPr="00177935">
        <w:rPr>
          <w:rFonts w:eastAsia="Calibri"/>
          <w:i/>
          <w:iCs/>
          <w:sz w:val="28"/>
          <w:szCs w:val="28"/>
          <w:lang w:val="uk-UA" w:eastAsia="en-US"/>
        </w:rPr>
        <w:t>м. Одеса, Україна</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 xml:space="preserve">Правовий статус особи у сучасній правовій доктрині розглядається як комплексна категорія, що визначає місце людини у системі правових відносин і відображає її взаємодію з державою, суспільством та іншими суб’єктами права. Він охоплює сукупність прав, свобод, законних інтересів і юридичних обов’язків, які визначають міру можливої та належної поведінки суб’єкта </w:t>
      </w:r>
      <w:r w:rsidRPr="00177935">
        <w:rPr>
          <w:sz w:val="28"/>
          <w:szCs w:val="28"/>
          <w:lang w:val="uk-UA"/>
        </w:rPr>
        <w:lastRenderedPageBreak/>
        <w:t>права. Саме через поєднання цих елементів формується цілісна модель правового становища особи, що забезпечує баланс між індивідуальною свободою та соціальною відповідальністю [1, c. 25]. У цьому контексті юридичні обов’язки виступають важливим структурним компонентом правового статусу, який забезпечує функціонування правового механізму та реалізацію нормативних приписів.</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Юридичні обов’язки у структурі правового статусу особи становлять нормативно визначену міру необхідної поведінки, що встановлюється державою і спрямована на забезпечення реалізації прав інших осіб, суспільних і публічних інтересів. Вони закріплюються у нормативно-правових актах різного рівня, насамперед у Конституції України [2], яка визначає основні права, свободи та обов’язки людини і громадянина, встановлюючи фундаментальні засади їх взаємодії. Так, у статті 68, Основного Закону держави, закріплений обов’язок кожного додержуватися Конституції та законів України, не посягати на права і свободи, честь і гідність інших людей, а також виконувати інші конституційні обов’язки, що мають загальнообов’язковий характер. Нормативне закріплення обов’язків у Конституції України та законодавстві забезпечує їх юридичну визначеність, стабільність і передбачуваність застосування.</w:t>
      </w:r>
    </w:p>
    <w:p w:rsidR="00076275" w:rsidRPr="00177935" w:rsidRDefault="00076275" w:rsidP="00076275">
      <w:pPr>
        <w:tabs>
          <w:tab w:val="right" w:leader="dot" w:pos="9345"/>
        </w:tabs>
        <w:spacing w:line="360" w:lineRule="auto"/>
        <w:ind w:firstLine="709"/>
        <w:jc w:val="both"/>
        <w:rPr>
          <w:sz w:val="28"/>
          <w:szCs w:val="28"/>
          <w:lang w:val="uk-UA"/>
        </w:rPr>
      </w:pPr>
      <w:bookmarkStart w:id="6" w:name="_Hlk221696189"/>
      <w:r w:rsidRPr="00177935">
        <w:rPr>
          <w:sz w:val="28"/>
          <w:szCs w:val="28"/>
          <w:lang w:val="uk-UA"/>
        </w:rPr>
        <w:t>Сутність юридичних обов’язків у правовому статусі особи полягає у встановленні вимог щодо належної поведінки суб’єкта права. На відміну від суб’єктивних прав, які передбачають можливість вибору певної моделі поведінки, обов’язки мають імперативний характер і передбачають необхідність їх обов’язкового виконання. Вони визначають межі допустимої поведінки, встановлюють стандарти взаємодії між суб’єктами правовідносин і забезпечують функціонування правового порядку. У цьому аспекті юридичні обов’язки виступають не лише обмежувальним чинником, а й засобом забезпечення реалізації прав і свобод людини, оскільки без їх належного виконання неможлива ефективна реалізація правових можливостей особи [3, c. 309].</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lastRenderedPageBreak/>
        <w:t xml:space="preserve">Юридичні обов’язки як складова правового статусу особи мають низку характерних ознак, що визначають їх правову природу. До таких ознак належать: </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нормативна визначеність;</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загальнообов’язковість;</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формальна закріпленість у правових нормах;</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забезпеченість державним примусом;</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 xml:space="preserve">спрямованість на забезпечення реалізації прав і законних інтересів інших суб’єктів [1; 4]. </w:t>
      </w:r>
    </w:p>
    <w:bookmarkEnd w:id="6"/>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Нормативна визначеність юридичних обов’язків забезпечує чітке окреслення кола суб’єктів, на яких вони поширюються, змісту належної поведінки та правових наслідків її невиконання. Загальнообов’язковість означає, що обов’язки підлягають виконанню всіма суб’єктами, на яких поширюється дія відповідних правових норм, незалежно від їх волі чи бажання [5, c. 87].</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Забезпеченість юридичних обов’язків державним примусом є важливою гарантією їх реалізації. У разі невиконання або неналежного виконання обов’язків держава застосовує заходи юридичної відповідальності, передбачені чинним законодавством України, зокрема Кримінальним кодексом України [6], Кодексом України про адміністративні правопорушення та іншими нормативно-правовими актами. Такий механізм забезпечує обов’язковість виконання правових приписів і підтримання правопорядку. Водночас виконання юридичних обов’язків не зводиться виключно до примусу, оскільки значну роль відіграє правосвідомість і правова культура особи, її усвідомлення необхідності дотримання правових норм.</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Структура юридичних обов’язків у правовому статусі особи характеризується складністю та багаторівневістю. До основних структурних елементів юридичного обов’язку належать:</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нормативно закріплена вимога щодо належної поведінки суб’єкта;</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необхідність здійснення певних дій або утримання від їх здійснення;</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lastRenderedPageBreak/>
        <w:t>забезпеченість виконання обов’язку можливістю застосування заходів державного примусу;</w:t>
      </w:r>
    </w:p>
    <w:p w:rsidR="00076275" w:rsidRPr="00177935" w:rsidRDefault="00076275" w:rsidP="00076275">
      <w:pPr>
        <w:numPr>
          <w:ilvl w:val="0"/>
          <w:numId w:val="25"/>
        </w:numPr>
        <w:spacing w:line="360" w:lineRule="auto"/>
        <w:ind w:left="0" w:firstLine="709"/>
        <w:jc w:val="both"/>
        <w:rPr>
          <w:sz w:val="28"/>
          <w:szCs w:val="28"/>
          <w:lang w:val="uk-UA"/>
        </w:rPr>
      </w:pPr>
      <w:r w:rsidRPr="00177935">
        <w:rPr>
          <w:sz w:val="28"/>
          <w:szCs w:val="28"/>
          <w:lang w:val="uk-UA"/>
        </w:rPr>
        <w:t>юридична відповідальність як наслідок невиконання або неналежного виконання обов’язку [3; 7].</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У структурі правового статусу особи юридичні обов’язки виконують низку важливих функцій. Передусім вони забезпечують реалізацію суб’єктивних прав і свобод, створюючи необхідні умови для їх здійснення. Виконання обов’язків одними суб’єктами є передумовою реалізації прав іншими, що забезпечує взаємозв’язок і взаємозалежність елементів правового статусу. Крім того, юридичні обов’язки виконують регулятивну функцію, спрямовану на впорядкування суспільних відносин і визначення стандартів поведінки суб’єктів права. Охоронна функція полягає у запобіганні правопорушенням і забезпеченні захисту прав і законних інтересів. Виховна функція сприяє формуванню правової культури та відповідального ставлення до виконання правових вимог [3, c. 302].</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Класифікація юридичних обов’язків як структурного елемента правового статусу особи може здійснюватися за різними критеріями. За змістом вони поділяються на обов’язки активної поведінки та обов’язки пасивної поведінки. За сферою правового регулювання – на конституційні, адміністративні, цивільно-правові, трудові та інші. За характером адресата – на загальні, що поширюються на всіх суб’єктів, і спеціальні, які встановлюються для окремих категорій осіб залежно від їх правового статусу або професійної діяльності [8, c. 23].</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t>У системі правового статусу особи юридичні обов’язки виконують роль важливого засобу забезпечення взаємодії між особою і державою. Вони визначають не лише вимоги до поведінки індивіда, а й обов’язки держави щодо забезпечення прав і свобод людини. Конституція України встановлює взаємну відповідальність держави і особи, що проявляється у взаємозв’язку їх прав і обов’язків. Така взаємність забезпечує баланс інтересів і сприяє ефективному функціонуванню правової системи.</w:t>
      </w:r>
    </w:p>
    <w:p w:rsidR="00076275" w:rsidRPr="00177935" w:rsidRDefault="00076275" w:rsidP="00076275">
      <w:pPr>
        <w:tabs>
          <w:tab w:val="right" w:leader="dot" w:pos="9345"/>
        </w:tabs>
        <w:spacing w:line="360" w:lineRule="auto"/>
        <w:ind w:firstLine="709"/>
        <w:jc w:val="both"/>
        <w:rPr>
          <w:sz w:val="28"/>
          <w:szCs w:val="28"/>
          <w:lang w:val="uk-UA"/>
        </w:rPr>
      </w:pPr>
      <w:r w:rsidRPr="00177935">
        <w:rPr>
          <w:sz w:val="28"/>
          <w:szCs w:val="28"/>
          <w:lang w:val="uk-UA"/>
        </w:rPr>
        <w:lastRenderedPageBreak/>
        <w:t>Юридичні обов’язки як структурний елемент правового статусу особи також пов’язані з категорією юридичної відповідальності [5; 7]. Відповідальність виступає гарантією виконання обов’язків і забезпечує дотримання правових норм. Вона може мати різні форми – кримінальну, адміністративну, цивільну, дисциплінарну – залежно від характеру правопорушення і сфери правового регулювання. Такий зв’язок між обов’язком і відповідальністю формує цілісний механізм правового впливу на поведінку суб’єктів.</w:t>
      </w:r>
    </w:p>
    <w:p w:rsidR="00076275" w:rsidRPr="00177935" w:rsidRDefault="00076275" w:rsidP="00076275">
      <w:pPr>
        <w:spacing w:line="360" w:lineRule="auto"/>
        <w:ind w:firstLine="709"/>
        <w:jc w:val="both"/>
        <w:rPr>
          <w:rFonts w:eastAsia="Calibri"/>
          <w:sz w:val="28"/>
          <w:szCs w:val="28"/>
          <w:lang w:val="uk-UA"/>
        </w:rPr>
      </w:pPr>
      <w:r w:rsidRPr="00177935">
        <w:rPr>
          <w:rFonts w:eastAsia="Calibri"/>
          <w:sz w:val="28"/>
          <w:szCs w:val="28"/>
          <w:lang w:val="uk-UA"/>
        </w:rPr>
        <w:t>Отже, юридичні обов’язки у структурі правового статусу особи виступають системоутворювальним елементом, що забезпечує нормативну впорядкованість суспільних відносин, реальність здійснення суб’єктивних прав і свобод та функціонування механізму правового регулювання на засадах взаємної відповідальності особи, суспільства і держави.</w:t>
      </w:r>
    </w:p>
    <w:p w:rsidR="00076275" w:rsidRPr="00177935" w:rsidRDefault="00076275" w:rsidP="00076275">
      <w:pPr>
        <w:spacing w:line="360" w:lineRule="auto"/>
        <w:ind w:firstLine="709"/>
        <w:jc w:val="center"/>
        <w:rPr>
          <w:rFonts w:eastAsia="Calibri"/>
          <w:b/>
          <w:sz w:val="28"/>
          <w:szCs w:val="28"/>
          <w:lang w:val="uk-UA" w:eastAsia="en-US"/>
        </w:rPr>
      </w:pPr>
    </w:p>
    <w:p w:rsidR="00076275" w:rsidRPr="00177935" w:rsidRDefault="00076275" w:rsidP="00076275">
      <w:pPr>
        <w:spacing w:line="360" w:lineRule="auto"/>
        <w:ind w:firstLine="709"/>
        <w:jc w:val="center"/>
        <w:rPr>
          <w:rFonts w:eastAsia="Calibri"/>
          <w:b/>
          <w:sz w:val="28"/>
          <w:szCs w:val="28"/>
          <w:lang w:val="uk-UA" w:eastAsia="en-US"/>
        </w:rPr>
      </w:pPr>
      <w:r w:rsidRPr="00177935">
        <w:rPr>
          <w:rFonts w:eastAsia="Calibri"/>
          <w:b/>
          <w:sz w:val="28"/>
          <w:szCs w:val="28"/>
          <w:lang w:val="uk-UA" w:eastAsia="en-US"/>
        </w:rPr>
        <w:t>СПИСОК ВИКОРИСТАНИХ ДЖЕРЕЛ</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Бєлов Д. М., Громовчук М. В. Конституційно-правові засади статусу особи: окремі аспекти. Аналітично-порівняльне право. 2021. № 1. С. 21–26.</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 xml:space="preserve">Конституція України : Закон України від 28.06.1996 р. № 254к/96-ВР. URL: </w:t>
      </w:r>
      <w:hyperlink r:id="rId81" w:anchor="Text" w:tgtFrame="_new" w:history="1">
        <w:r w:rsidRPr="00177935">
          <w:rPr>
            <w:sz w:val="28"/>
            <w:szCs w:val="28"/>
            <w:u w:val="single"/>
            <w:lang w:val="uk-UA"/>
          </w:rPr>
          <w:t>https://zakon.rada.gov.ua/laws/show/254к/96-ВР#Text</w:t>
        </w:r>
      </w:hyperlink>
      <w:r w:rsidRPr="00177935">
        <w:rPr>
          <w:sz w:val="28"/>
          <w:szCs w:val="28"/>
          <w:lang w:val="uk-UA"/>
        </w:rPr>
        <w:t xml:space="preserve"> (дата звернення: 06.02.2026).</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Громовчук М. В., Бєлов Д. М. Гуманізм як філософсько-правова категорія в умовах формування нової парадигми в праві. Аналітично-порівняльне право. 2022. № 3. С. 301–310.</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Катренко А. А. Структура охоронюваного законом інтересу як правовий аспект. Юридичний вісник. Одеса : Гельветика, 2019. № 3. С. 202–206.</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Завгородній В. А. Вплив практики Європейського суду з прав людини на юридичну діяльність в Україні: теоретичний, методологічний і прикладний аспекти : монографія. Дніпро : ДДУВС, 2020. 536 с.</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lastRenderedPageBreak/>
        <w:t>Кримінальний кодекс України від 05.04.2001 № 2341-III. Відомості Верховної Ради України. 2001. № 25–26. Ст. 131. URL: https://zakon.rada.gov.ua/laws/show/2341-14#Text (дата звернення: 11.01.2026).</w:t>
      </w:r>
    </w:p>
    <w:p w:rsidR="00076275" w:rsidRPr="0017793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Загальна теорія права : підручник / за заг. ред. М. І. Козюбри. Київ : Ваіте, 2015. 392 с.</w:t>
      </w:r>
    </w:p>
    <w:p w:rsidR="00076275" w:rsidRDefault="00076275" w:rsidP="00076275">
      <w:pPr>
        <w:numPr>
          <w:ilvl w:val="0"/>
          <w:numId w:val="26"/>
        </w:numPr>
        <w:spacing w:line="360" w:lineRule="auto"/>
        <w:ind w:left="0" w:firstLine="709"/>
        <w:jc w:val="both"/>
        <w:rPr>
          <w:sz w:val="28"/>
          <w:szCs w:val="28"/>
          <w:lang w:val="uk-UA"/>
        </w:rPr>
      </w:pPr>
      <w:r w:rsidRPr="00177935">
        <w:rPr>
          <w:sz w:val="28"/>
          <w:szCs w:val="28"/>
          <w:lang w:val="uk-UA"/>
        </w:rPr>
        <w:t>Юридична психологія : підручник / за заг. ред. О. М. Бандурки. Харків : Майдан, 2018. 684 с.</w:t>
      </w:r>
    </w:p>
    <w:p w:rsidR="00076275" w:rsidRDefault="00076275" w:rsidP="00076275">
      <w:pPr>
        <w:spacing w:line="360" w:lineRule="auto"/>
        <w:ind w:left="709"/>
        <w:jc w:val="both"/>
        <w:rPr>
          <w:sz w:val="28"/>
          <w:szCs w:val="28"/>
          <w:lang w:val="uk-UA"/>
        </w:rPr>
      </w:pPr>
    </w:p>
    <w:p w:rsidR="00076275" w:rsidRPr="002B1223" w:rsidRDefault="00076275" w:rsidP="00076275">
      <w:pPr>
        <w:spacing w:line="360" w:lineRule="auto"/>
        <w:ind w:left="709"/>
        <w:jc w:val="both"/>
        <w:rPr>
          <w:sz w:val="28"/>
          <w:szCs w:val="28"/>
          <w:lang w:val="uk-UA"/>
        </w:rPr>
      </w:pPr>
    </w:p>
    <w:p w:rsidR="00076275" w:rsidRPr="008A6271" w:rsidRDefault="00076275" w:rsidP="00076275">
      <w:pPr>
        <w:widowControl w:val="0"/>
        <w:spacing w:line="360" w:lineRule="auto"/>
        <w:ind w:firstLine="709"/>
        <w:jc w:val="center"/>
        <w:rPr>
          <w:rFonts w:eastAsia="Arial Unicode MS"/>
          <w:b/>
          <w:bCs/>
          <w:sz w:val="28"/>
          <w:szCs w:val="28"/>
          <w:u w:color="000000"/>
          <w:lang w:val="uk-UA" w:eastAsia="uk-UA"/>
        </w:rPr>
      </w:pPr>
      <w:r w:rsidRPr="008A6271">
        <w:rPr>
          <w:rFonts w:eastAsia="Arial Unicode MS"/>
          <w:b/>
          <w:bCs/>
          <w:sz w:val="28"/>
          <w:szCs w:val="28"/>
          <w:u w:color="000000"/>
          <w:lang w:val="uk-UA" w:eastAsia="uk-UA"/>
        </w:rPr>
        <w:t>ЕВОЛЮЦІЯ ЄВРОПЕЙСЬКОЇ ПРАВОВОЇ МОДЕЛІ РЕГУЛЮВАННЯ ЩОДО ШТУЧНОГО ІНТЕЛЕКТУ</w:t>
      </w:r>
    </w:p>
    <w:p w:rsidR="00076275" w:rsidRPr="008A6271" w:rsidRDefault="00076275" w:rsidP="00076275">
      <w:pPr>
        <w:widowControl w:val="0"/>
        <w:spacing w:line="360" w:lineRule="auto"/>
        <w:ind w:firstLine="709"/>
        <w:jc w:val="center"/>
        <w:rPr>
          <w:rFonts w:eastAsia="Arial Unicode MS"/>
          <w:b/>
          <w:bCs/>
          <w:i/>
          <w:iCs/>
          <w:sz w:val="28"/>
          <w:szCs w:val="28"/>
          <w:u w:color="000000"/>
          <w:lang w:val="uk-UA" w:eastAsia="uk-UA"/>
        </w:rPr>
      </w:pPr>
      <w:r w:rsidRPr="008A6271">
        <w:rPr>
          <w:rFonts w:eastAsia="Arial Unicode MS"/>
          <w:b/>
          <w:bCs/>
          <w:i/>
          <w:iCs/>
          <w:sz w:val="28"/>
          <w:szCs w:val="28"/>
          <w:u w:color="000000"/>
          <w:lang w:val="uk-UA" w:eastAsia="uk-UA"/>
        </w:rPr>
        <w:t>Тицька Я. О.,</w:t>
      </w:r>
    </w:p>
    <w:p w:rsidR="00076275" w:rsidRPr="008A6271" w:rsidRDefault="00076275" w:rsidP="00076275">
      <w:pPr>
        <w:widowControl w:val="0"/>
        <w:spacing w:line="360" w:lineRule="auto"/>
        <w:ind w:firstLine="709"/>
        <w:jc w:val="center"/>
        <w:rPr>
          <w:rFonts w:eastAsia="Arial Unicode MS"/>
          <w:i/>
          <w:iCs/>
          <w:sz w:val="28"/>
          <w:szCs w:val="28"/>
          <w:u w:color="000000"/>
          <w:lang w:val="uk-UA" w:eastAsia="uk-UA"/>
        </w:rPr>
      </w:pPr>
      <w:r w:rsidRPr="008A6271">
        <w:rPr>
          <w:rFonts w:eastAsia="Arial Unicode MS"/>
          <w:i/>
          <w:iCs/>
          <w:sz w:val="28"/>
          <w:szCs w:val="28"/>
          <w:u w:color="000000"/>
          <w:lang w:val="uk-UA" w:eastAsia="uk-UA"/>
        </w:rPr>
        <w:t>доктор юридичних наук</w:t>
      </w:r>
    </w:p>
    <w:p w:rsidR="00076275" w:rsidRPr="008A6271" w:rsidRDefault="00076275" w:rsidP="00076275">
      <w:pPr>
        <w:widowControl w:val="0"/>
        <w:spacing w:line="360" w:lineRule="auto"/>
        <w:ind w:firstLine="709"/>
        <w:jc w:val="center"/>
        <w:rPr>
          <w:rFonts w:eastAsia="Arial Unicode MS"/>
          <w:i/>
          <w:iCs/>
          <w:sz w:val="28"/>
          <w:szCs w:val="28"/>
          <w:u w:color="000000"/>
          <w:lang w:val="uk-UA" w:eastAsia="uk-UA"/>
        </w:rPr>
      </w:pPr>
      <w:r w:rsidRPr="008A6271">
        <w:rPr>
          <w:rFonts w:eastAsia="Arial Unicode MS"/>
          <w:i/>
          <w:iCs/>
          <w:sz w:val="28"/>
          <w:szCs w:val="28"/>
          <w:u w:color="000000"/>
          <w:lang w:val="uk-UA" w:eastAsia="uk-UA"/>
        </w:rPr>
        <w:t>професор кафедри державно-правових дисциплін</w:t>
      </w:r>
    </w:p>
    <w:p w:rsidR="00076275" w:rsidRPr="002B1223" w:rsidRDefault="00076275" w:rsidP="00076275">
      <w:pPr>
        <w:widowControl w:val="0"/>
        <w:spacing w:line="360" w:lineRule="auto"/>
        <w:ind w:firstLine="709"/>
        <w:jc w:val="center"/>
        <w:rPr>
          <w:rFonts w:eastAsia="Arial Unicode MS"/>
          <w:i/>
          <w:iCs/>
          <w:sz w:val="28"/>
          <w:szCs w:val="28"/>
          <w:u w:color="000000"/>
          <w:lang w:val="uk-UA" w:eastAsia="uk-UA"/>
        </w:rPr>
      </w:pPr>
      <w:r w:rsidRPr="008A6271">
        <w:rPr>
          <w:rFonts w:eastAsia="Arial Unicode MS"/>
          <w:i/>
          <w:iCs/>
          <w:sz w:val="28"/>
          <w:szCs w:val="28"/>
          <w:u w:color="000000"/>
          <w:lang w:val="uk-UA" w:eastAsia="uk-UA"/>
        </w:rPr>
        <w:t>Міжнародного  університету</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Варто констатувати, що еволюція опрацювання європейськими країнами колективного договору у сфері штучного інтелекту (далі – ШІ), а саме Рамкової Конвенції Ради Європи зі ШІ, прав людини, демократії та верховенства права (далі – РКШІ), тривала декілька років. Підготовка документу була розпочата у 2019 році, коли Спеціальному комітету зі штучного інтелекту Ради Європи (CAHAI) було доручено вивчити доцільність такого інструменту, та після виконання свого мандату, у 2022 році його замінив Комітет зі штучного інтелекту (CAI), який підготував та узгодив текст [3].</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Саме в рамках проектування, координованого спочатку CAHAI, а потім CAI, у розробці РКШІ брали участь як держави Ради Європи, так й усі держави-спостерігачі Ради (Ватикан, Канада, Мексика, США та Японія), а також Євросоюз та окремі інші держави, а саме Австралія, Аргентина, Коста-Рика, Ізраїль, Перу та Уругвай.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«Відповідно до практики Ради Європи щодо залучення багатьох зацікавлених сторін», до підготовки проєкта РКШІ в рамках CAHAI та CAI було залучене «68 міжнародних представників громадянського суспільства, </w:t>
      </w:r>
      <w:r w:rsidRPr="008A6271">
        <w:rPr>
          <w:rFonts w:eastAsia="Arial Unicode MS"/>
          <w:bCs/>
          <w:sz w:val="28"/>
          <w:szCs w:val="28"/>
          <w:u w:color="000000"/>
          <w:lang w:val="uk-UA" w:eastAsia="uk-UA"/>
        </w:rPr>
        <w:lastRenderedPageBreak/>
        <w:t xml:space="preserve">наукових кіл та промисловості, а також низки інших міжнародних організацій» [3].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Питання формальної участі у розробці проекту РКШІ мало не тільки політичне, але й суто юридичне значення, оскільки відповідно до ч. 1 ст. 30 цього договору вона була відкрита для підписання як державами-членами Ради Європи, так й державами, що не є членами Ради, але брали участь у її розробці, а також Є</w:t>
      </w:r>
      <w:r w:rsidRPr="008A6271">
        <w:rPr>
          <w:rFonts w:eastAsia="Arial Unicode MS"/>
          <w:bCs/>
          <w:sz w:val="28"/>
          <w:szCs w:val="28"/>
          <w:u w:color="000000"/>
          <w:lang w:val="en-US" w:eastAsia="uk-UA"/>
        </w:rPr>
        <w:t>C</w:t>
      </w:r>
      <w:r w:rsidRPr="008A6271">
        <w:rPr>
          <w:rFonts w:eastAsia="Arial Unicode MS"/>
          <w:bCs/>
          <w:sz w:val="28"/>
          <w:szCs w:val="28"/>
          <w:u w:color="000000"/>
          <w:lang w:val="uk-UA" w:eastAsia="uk-UA"/>
        </w:rPr>
        <w:t xml:space="preserve"> [1]. Таким чином РКШІ є з одного боку закритим для участі договором, але з іншого географія її потенційних часників та їх належність до розвинутих країн світу надає цьому договору універсального характеру, щонайменш потенційно.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Втім, відкрита для підписання 5 вересня 2024 р. у Вільнюсі, РКШІ наразі має 16 підписантів та поки не отримала жодної ратифікації. При цьому, за ч. 3 ст. 30 РКШІ вона має набрати чинності через три місяці після її п’ятої ратифікації, при тому, що серед учасників РКШІ має бути не менше ніж три країни Ради Європи [1]. В Пояснювальній доповіді наголошується, що під час переговорів та подальшого прийняття РКШІ було враховано низку міжнародних правових та політичних документів щодо ШІ [2].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Поміж зовнішніх для Ради Європи документів у відповідному переліку наводяться Рекомендація щодо ШІ, прийнята Радою ОЕСР 22 травня 2019 р. («Принципи ОЕСР щодо ШІ»), Рекомендація ЮНЕСКО щодо етики ШІ, прийнята 23 листопада 2021 р., Міжнародні керівні принципи та Міжнародний кодекс поведінки Хіросімського процесу G7 для організацій, що розробляють передові системи ШІ від 30 жовтня 2023 р., Регламент ЄС, що встановлює гармонізовані правила щодо ШІ від 13 березня 2024 р. Переговори про РКШІ «були натхненні елементами таких політичних декларацій», як Декларація глав держав та урядів, зроблена в Рейк’явіку 16 травня 2023 р., Заяви лідерів G7 щодо Хіросімського процесу ШІ від 30 жовтня та 6 грудня 2023 р. та Блетчлійська декларація країн-учасниць Саміту з безпеки ШІ від 2 листопада 2023 р. [2].</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До попередніх документів Ради Європи, які слугували передумовами для схвалення РКШІ, Пояснювальна доповідь відносить Декларацію Комітету </w:t>
      </w:r>
      <w:r w:rsidRPr="008A6271">
        <w:rPr>
          <w:rFonts w:eastAsia="Arial Unicode MS"/>
          <w:bCs/>
          <w:sz w:val="28"/>
          <w:szCs w:val="28"/>
          <w:u w:color="000000"/>
          <w:lang w:val="uk-UA" w:eastAsia="uk-UA"/>
        </w:rPr>
        <w:lastRenderedPageBreak/>
        <w:t>міністрів про маніпулятивні можливості алгоритмічних процесів, від 13 лютого 2019 р. та на Рекомендацію цього Комітету щодо впливу алгоритмічних систем на права людини від 8 квітня 2020 р., а також на «резолюції та рекомендації ПАРЄ, що вивчають можливості та ризики ШІ для прав людини, демократії та верховенства права та схвалюють набір основних етичних принципів, які слід застосовувати до систем ШІ», загалом про 13 документів, схвалених Асамблеєю у 2020 році, про необхідність демократичного управління ШІ; запобігання дискримінації, спричиненій використанням ШІ; роль ШІ в системах поліції та кримінального правосуддя; ШІ в охороні здоров’я; ШІ та ринки праці: про правові аспекти «автономних» транспортних засобів; та про інтерфейс «мозок-комп’ютер» [2].</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Радою Європи визначає РКШІ, як перший в історії міжнародний юридично обов'язковий договір у цій галузі, який доповнює чинні міжнародні стандарти щодо прав людини, демократії та верховенства права. Зазначається, що «для витримки випробування часом, РКШІ не регулює технології та є по суті технологічно нейтральною» але що при цьому «вона має на меті забезпечити, щоб діяльність протягом життєвого циклу систем ШІ повністю відповідала правам людини, демократії та верховенству права, водночас сприяючи технологічному прогресу та інноваціям» [3]. На думку фахівців українського міністерства, РКШІ «визначає принципи, яких держава має дотримуватися у формуванні законодавства та застосуванні ШІ-продуктів у публічному секторі: повага до людської гідності, прозорість, недискримінація, захист приватності, надійність і безпека» [5].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Дослідник Томас Вахл у цьому вимірі зазначає, що РКШІ застосовується до використання систем ШІ в державному секторі, включаючи компанії, що діють від його імені, та в приватному секторі, та що водночас зі сфери дії виключені: «питання, що стосуються національної оборони», «системи ШІ, пов'язані із захистом інтересів національної безпеки», але із забезпеченням державами загального дотримання відповідної діяльності   міжнародному праву та демократичним цінностям, та «дослідницька та розробницька діяльність», за винятком, коли тестування систем ШІ може потенційно перешкоджати правам </w:t>
      </w:r>
      <w:r w:rsidRPr="008A6271">
        <w:rPr>
          <w:rFonts w:eastAsia="Arial Unicode MS"/>
          <w:bCs/>
          <w:sz w:val="28"/>
          <w:szCs w:val="28"/>
          <w:u w:color="000000"/>
          <w:lang w:val="uk-UA" w:eastAsia="uk-UA"/>
        </w:rPr>
        <w:lastRenderedPageBreak/>
        <w:t>людини, демократії чи верховенству права [4].</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РКШІ визначає загальні зобов'язання та спільні принципи, які її учасники зобов'язані впроваджувати стосовно систем ШІ. Сторони повинні забезпечити, наприклад, щоб діяльність у межах життєвого циклу систем ШІ відповідала зобов'язанням захищати права людини, закріпленим у чинному міжнародному праві та у їхньому внутрішньому законодавстві. Вони також повинні вжити або підтримувати заходи, що захищають цілісність, незалежність та ефективність демократичних інституцій та процесів [4]; [1]. Водночас, на думку Т. Вахла, РКШІ встановлює вимоги щодо прозорості та нагляду, адаптовані до конкретних контекстів та ризиків, включаючи ідентифікацію контенту, що генерується системами ШІ, при тому що її учасники мають «вжити заходів для виявлення, оцінки, запобігання та пом'якшення можливих ризиків, а також оцінити необхідність мораторію, заборони або інших відповідних заходів щодо використання систем ШІ, коли їхні ризики можуть бути несумісними зі стандартами прав людини» [4]; [1].</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Експерти підкреслюють, що РКШІ встановлює параметри для доступних та ефективних засобів правового захисту у разі порушень прав людини, що виникають внаслідок діяльності протягом життєвого циклу систем ШІ. Вважається важливим, щоб відповідний зміст інформаційних заходів відповідав контексту, був достатньо чітким та змістовним, а також, що критично важливо, забезпечував зацікавленій особі ефективну можливість використовувати відповідну інформацію для здійснення своїх прав у провадженні щодо відповідних рішень, що стосуються її прав людини [4].</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У ст. 2 РКШІ надає єдине визначення, при чому не власне ЩІ, а  «системі ШІ», як «машинної системи, яка з явними чи неявними цілями робить висновок на основі отриманих нею вхідних даних про те, як генерувати такі результати, як прогнози, контент, рекомендації або рішення, які можуть впливати на фізичне або віртуальне середовище», із застереженням, що «різні системи штучного інтелекту відрізняються рівнем автономності та адаптивності після розгортання». </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Багато уваги, у ст.ст. 7-13 РКШІ приділяє принципам, якими мають </w:t>
      </w:r>
      <w:r w:rsidRPr="008A6271">
        <w:rPr>
          <w:rFonts w:eastAsia="Arial Unicode MS"/>
          <w:bCs/>
          <w:sz w:val="28"/>
          <w:szCs w:val="28"/>
          <w:u w:color="000000"/>
          <w:lang w:val="uk-UA" w:eastAsia="uk-UA"/>
        </w:rPr>
        <w:lastRenderedPageBreak/>
        <w:t>керуватися держави у сфері ШІ, а саме людської гідності та індивідуальної автономії, прозорості та нагляду, підзвітності та відповідальності, рівності та недискримінації, конфіденційності та захисту персональних даних, надійності та безпечним інноваціям. Відповідно до ст. 23 РКШІ розв’язання спорів щодо неї надане до виключної компетенції її Конференції учасників [1].</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Отже РКШІ стала вагомим міжнародно-правовим кроком у подальше договірне регулювання процесів у сфері штучного інтелекту. Закладені у РКШІ вимоги ґрунтуються на попередньому доробку Ради Європи, ЮНЕСКО та ОБСЄ останніх років; відсутність глобального договірного інструменту у сфері штучного інтелекту робить РКШІ, особливо за рахунок потенційно широкого кола учасників, перспективним актом універсального характеру у відповідній сфері. </w:t>
      </w:r>
    </w:p>
    <w:p w:rsidR="00076275" w:rsidRPr="008A6271" w:rsidRDefault="00076275" w:rsidP="00076275">
      <w:pPr>
        <w:widowControl w:val="0"/>
        <w:spacing w:line="360" w:lineRule="auto"/>
        <w:ind w:firstLine="709"/>
        <w:jc w:val="both"/>
        <w:rPr>
          <w:rFonts w:eastAsia="Arial Unicode MS"/>
          <w:sz w:val="28"/>
          <w:szCs w:val="28"/>
          <w:u w:color="000000"/>
          <w:lang w:val="uk-UA" w:eastAsia="uk-UA"/>
        </w:rPr>
      </w:pPr>
      <w:r w:rsidRPr="008A6271">
        <w:rPr>
          <w:rFonts w:eastAsia="Arial Unicode MS"/>
          <w:sz w:val="28"/>
          <w:szCs w:val="28"/>
          <w:u w:color="000000"/>
          <w:lang w:val="uk-UA" w:eastAsia="uk-UA"/>
        </w:rPr>
        <w:t xml:space="preserve">Але відповідні прогнози можуть здійснитися за умов ратифікації </w:t>
      </w:r>
      <w:r w:rsidRPr="008A6271">
        <w:rPr>
          <w:rFonts w:eastAsia="Arial Unicode MS"/>
          <w:bCs/>
          <w:sz w:val="28"/>
          <w:szCs w:val="28"/>
          <w:u w:color="000000"/>
          <w:lang w:val="uk-UA" w:eastAsia="uk-UA"/>
        </w:rPr>
        <w:t>РКШІ</w:t>
      </w:r>
      <w:r w:rsidRPr="008A6271">
        <w:rPr>
          <w:rFonts w:eastAsia="Arial Unicode MS"/>
          <w:sz w:val="28"/>
          <w:szCs w:val="28"/>
          <w:u w:color="000000"/>
          <w:lang w:val="uk-UA" w:eastAsia="uk-UA"/>
        </w:rPr>
        <w:t xml:space="preserve"> значною кількістю держав, що не спостерігалося протягом першого року після схвалення цього договору. Таким чином роль</w:t>
      </w:r>
      <w:r w:rsidRPr="008A6271">
        <w:rPr>
          <w:rFonts w:eastAsia="Arial Unicode MS"/>
          <w:sz w:val="28"/>
          <w:szCs w:val="28"/>
          <w:u w:color="000000"/>
          <w:lang w:eastAsia="uk-UA"/>
        </w:rPr>
        <w:t xml:space="preserve"> </w:t>
      </w:r>
      <w:r w:rsidRPr="008A6271">
        <w:rPr>
          <w:rFonts w:eastAsia="Arial Unicode MS"/>
          <w:bCs/>
          <w:sz w:val="28"/>
          <w:szCs w:val="28"/>
          <w:u w:color="000000"/>
          <w:lang w:val="uk-UA" w:eastAsia="uk-UA"/>
        </w:rPr>
        <w:t>РКШІ</w:t>
      </w:r>
      <w:r w:rsidRPr="008A6271">
        <w:rPr>
          <w:rFonts w:eastAsia="Arial Unicode MS"/>
          <w:sz w:val="28"/>
          <w:szCs w:val="28"/>
          <w:u w:color="000000"/>
          <w:lang w:eastAsia="uk-UA"/>
        </w:rPr>
        <w:t xml:space="preserve"> для України, та потреба трансформації вітчизняного законодавства задля можливої імплементації зазначеного документу мають стати предметом наукового пошуку.</w:t>
      </w:r>
    </w:p>
    <w:p w:rsidR="00076275" w:rsidRPr="008A6271" w:rsidRDefault="00076275" w:rsidP="00076275">
      <w:pPr>
        <w:widowControl w:val="0"/>
        <w:spacing w:line="360" w:lineRule="auto"/>
        <w:ind w:firstLine="709"/>
        <w:jc w:val="both"/>
        <w:rPr>
          <w:rFonts w:eastAsia="Arial Unicode MS"/>
          <w:b/>
          <w:sz w:val="28"/>
          <w:szCs w:val="28"/>
          <w:u w:color="000000"/>
          <w:lang w:val="uk-UA" w:eastAsia="uk-UA"/>
        </w:rPr>
      </w:pPr>
    </w:p>
    <w:p w:rsidR="00076275" w:rsidRPr="008A6271" w:rsidRDefault="00076275" w:rsidP="00076275">
      <w:pPr>
        <w:widowControl w:val="0"/>
        <w:spacing w:line="360" w:lineRule="auto"/>
        <w:ind w:firstLine="709"/>
        <w:jc w:val="center"/>
        <w:rPr>
          <w:rFonts w:eastAsia="Arial Unicode MS"/>
          <w:bCs/>
          <w:sz w:val="28"/>
          <w:szCs w:val="28"/>
          <w:u w:color="000000"/>
          <w:lang w:val="uk-UA" w:eastAsia="uk-UA"/>
        </w:rPr>
      </w:pPr>
      <w:r w:rsidRPr="008A6271">
        <w:rPr>
          <w:rFonts w:eastAsia="Arial Unicode MS"/>
          <w:b/>
          <w:sz w:val="28"/>
          <w:szCs w:val="28"/>
          <w:u w:color="000000"/>
          <w:lang w:val="uk-UA" w:eastAsia="uk-UA"/>
        </w:rPr>
        <w:t>СПИСОК ВИКОРИСТАНИХ ДЖЕРЕЛ</w:t>
      </w:r>
    </w:p>
    <w:p w:rsidR="00076275" w:rsidRPr="008A6271" w:rsidRDefault="00076275" w:rsidP="00076275">
      <w:pPr>
        <w:widowControl w:val="0"/>
        <w:spacing w:line="360" w:lineRule="auto"/>
        <w:ind w:firstLine="709"/>
        <w:jc w:val="both"/>
        <w:rPr>
          <w:rFonts w:eastAsia="Arial Unicode MS"/>
          <w:bCs/>
          <w:sz w:val="28"/>
          <w:szCs w:val="28"/>
          <w:u w:color="000000"/>
          <w:lang w:val="uk-UA" w:eastAsia="uk-UA"/>
        </w:rPr>
      </w:pPr>
      <w:r w:rsidRPr="008A6271">
        <w:rPr>
          <w:rFonts w:eastAsia="Arial Unicode MS"/>
          <w:bCs/>
          <w:sz w:val="28"/>
          <w:szCs w:val="28"/>
          <w:u w:color="000000"/>
          <w:lang w:val="uk-UA" w:eastAsia="uk-UA"/>
        </w:rPr>
        <w:t xml:space="preserve">1. </w:t>
      </w:r>
      <w:r w:rsidRPr="008A6271">
        <w:rPr>
          <w:rFonts w:eastAsia="Arial Unicode MS"/>
          <w:bCs/>
          <w:sz w:val="28"/>
          <w:szCs w:val="28"/>
          <w:u w:color="000000"/>
          <w:lang w:val="en-US" w:eastAsia="uk-UA"/>
        </w:rPr>
        <w:t xml:space="preserve">Council of Europe Framework Convention on Artificial Intelligence and Human Rights, Democracy and the Rule of Law. Vilnius, 5.IX.2024. </w:t>
      </w:r>
      <w:r w:rsidRPr="008A6271">
        <w:rPr>
          <w:rFonts w:eastAsia="Arial Unicode MS"/>
          <w:bCs/>
          <w:i/>
          <w:sz w:val="28"/>
          <w:szCs w:val="28"/>
          <w:u w:color="000000"/>
          <w:lang w:val="en-US" w:eastAsia="uk-UA"/>
        </w:rPr>
        <w:t>Council of Europe.</w:t>
      </w:r>
      <w:r w:rsidRPr="008A6271">
        <w:rPr>
          <w:rFonts w:eastAsia="Arial Unicode MS"/>
          <w:bCs/>
          <w:sz w:val="28"/>
          <w:szCs w:val="28"/>
          <w:u w:color="000000"/>
          <w:lang w:val="en-US" w:eastAsia="uk-UA"/>
        </w:rPr>
        <w:t xml:space="preserve"> URL: https://rm.coe.int/1680afae3c</w:t>
      </w:r>
      <w:r w:rsidRPr="008A6271">
        <w:rPr>
          <w:rFonts w:eastAsia="Arial Unicode MS"/>
          <w:sz w:val="28"/>
          <w:szCs w:val="28"/>
          <w:u w:color="000000"/>
          <w:lang w:val="en-US" w:eastAsia="uk-UA"/>
        </w:rPr>
        <w:t xml:space="preserve"> </w:t>
      </w:r>
      <w:r w:rsidRPr="008A6271">
        <w:rPr>
          <w:rFonts w:eastAsia="Arial Unicode MS"/>
          <w:sz w:val="28"/>
          <w:szCs w:val="28"/>
          <w:u w:color="000000"/>
          <w:lang w:val="uk-UA" w:eastAsia="uk-UA"/>
        </w:rPr>
        <w:t xml:space="preserve">(дата звернення: </w:t>
      </w:r>
      <w:r w:rsidRPr="008A6271">
        <w:rPr>
          <w:rFonts w:eastAsia="Arial Unicode MS"/>
          <w:sz w:val="28"/>
          <w:szCs w:val="28"/>
          <w:u w:color="000000"/>
          <w:lang w:val="en-US" w:eastAsia="uk-UA"/>
        </w:rPr>
        <w:t>22</w:t>
      </w:r>
      <w:r w:rsidRPr="008A6271">
        <w:rPr>
          <w:rFonts w:eastAsia="Arial Unicode MS"/>
          <w:sz w:val="28"/>
          <w:szCs w:val="28"/>
          <w:u w:color="000000"/>
          <w:lang w:val="uk-UA" w:eastAsia="uk-UA"/>
        </w:rPr>
        <w:t>.0</w:t>
      </w:r>
      <w:r w:rsidRPr="008A6271">
        <w:rPr>
          <w:rFonts w:eastAsia="Arial Unicode MS"/>
          <w:sz w:val="28"/>
          <w:szCs w:val="28"/>
          <w:u w:color="000000"/>
          <w:lang w:val="en-US" w:eastAsia="uk-UA"/>
        </w:rPr>
        <w:t>2</w:t>
      </w:r>
      <w:r w:rsidRPr="008A6271">
        <w:rPr>
          <w:rFonts w:eastAsia="Arial Unicode MS"/>
          <w:sz w:val="28"/>
          <w:szCs w:val="28"/>
          <w:u w:color="000000"/>
          <w:lang w:val="uk-UA" w:eastAsia="uk-UA"/>
        </w:rPr>
        <w:t>.202</w:t>
      </w:r>
      <w:r w:rsidRPr="008A6271">
        <w:rPr>
          <w:rFonts w:eastAsia="Arial Unicode MS"/>
          <w:sz w:val="28"/>
          <w:szCs w:val="28"/>
          <w:u w:color="000000"/>
          <w:lang w:val="en-US" w:eastAsia="uk-UA"/>
        </w:rPr>
        <w:t>6</w:t>
      </w:r>
      <w:r w:rsidRPr="008A6271">
        <w:rPr>
          <w:rFonts w:eastAsia="Arial Unicode MS"/>
          <w:sz w:val="28"/>
          <w:szCs w:val="28"/>
          <w:u w:color="000000"/>
          <w:lang w:val="uk-UA" w:eastAsia="uk-UA"/>
        </w:rPr>
        <w:t>).</w:t>
      </w:r>
    </w:p>
    <w:p w:rsidR="00076275" w:rsidRPr="008A6271" w:rsidRDefault="00076275" w:rsidP="00076275">
      <w:pPr>
        <w:widowControl w:val="0"/>
        <w:spacing w:line="360" w:lineRule="auto"/>
        <w:ind w:firstLine="709"/>
        <w:jc w:val="both"/>
        <w:rPr>
          <w:rFonts w:eastAsia="Arial Unicode MS"/>
          <w:sz w:val="28"/>
          <w:szCs w:val="28"/>
          <w:u w:color="000000"/>
          <w:lang w:val="en-US" w:eastAsia="uk-UA"/>
        </w:rPr>
      </w:pPr>
      <w:r w:rsidRPr="008A6271">
        <w:rPr>
          <w:rFonts w:eastAsia="Arial Unicode MS"/>
          <w:bCs/>
          <w:sz w:val="28"/>
          <w:szCs w:val="28"/>
          <w:u w:color="000000"/>
          <w:lang w:val="uk-UA" w:eastAsia="uk-UA"/>
        </w:rPr>
        <w:t xml:space="preserve">2. </w:t>
      </w:r>
      <w:r w:rsidRPr="008A6271">
        <w:rPr>
          <w:rFonts w:eastAsia="Arial Unicode MS"/>
          <w:bCs/>
          <w:sz w:val="28"/>
          <w:szCs w:val="28"/>
          <w:u w:color="000000"/>
          <w:lang w:val="en-US" w:eastAsia="uk-UA"/>
        </w:rPr>
        <w:t xml:space="preserve">Explanatory Report to the Council of Europe Framework Convention on Artificial Intelligence and Human Rights, Democracy and the Rule of Law. Vilnius, 5.IX.2024. </w:t>
      </w:r>
      <w:r w:rsidRPr="008A6271">
        <w:rPr>
          <w:rFonts w:eastAsia="Arial Unicode MS"/>
          <w:bCs/>
          <w:i/>
          <w:sz w:val="28"/>
          <w:szCs w:val="28"/>
          <w:u w:color="000000"/>
          <w:lang w:val="en-US" w:eastAsia="uk-UA"/>
        </w:rPr>
        <w:t>Council of Europe.</w:t>
      </w:r>
      <w:r w:rsidRPr="008A6271">
        <w:rPr>
          <w:rFonts w:eastAsia="Arial Unicode MS"/>
          <w:bCs/>
          <w:sz w:val="28"/>
          <w:szCs w:val="28"/>
          <w:u w:color="000000"/>
          <w:lang w:val="en-US" w:eastAsia="uk-UA"/>
        </w:rPr>
        <w:t xml:space="preserve"> URL: https://rm.coe.int/1680afae67</w:t>
      </w:r>
      <w:r w:rsidRPr="008A6271">
        <w:rPr>
          <w:rFonts w:eastAsia="Arial Unicode MS"/>
          <w:sz w:val="28"/>
          <w:szCs w:val="28"/>
          <w:u w:color="000000"/>
          <w:lang w:val="en-US" w:eastAsia="uk-UA"/>
        </w:rPr>
        <w:t xml:space="preserve"> </w:t>
      </w:r>
      <w:r w:rsidRPr="008A6271">
        <w:rPr>
          <w:rFonts w:eastAsia="Arial Unicode MS"/>
          <w:sz w:val="28"/>
          <w:szCs w:val="28"/>
          <w:u w:color="000000"/>
          <w:lang w:val="uk-UA" w:eastAsia="uk-UA"/>
        </w:rPr>
        <w:t xml:space="preserve">(дата звернення: </w:t>
      </w:r>
      <w:r w:rsidRPr="008A6271">
        <w:rPr>
          <w:rFonts w:eastAsia="Arial Unicode MS"/>
          <w:sz w:val="28"/>
          <w:szCs w:val="28"/>
          <w:u w:color="000000"/>
          <w:lang w:val="en-US" w:eastAsia="uk-UA"/>
        </w:rPr>
        <w:t>22</w:t>
      </w:r>
      <w:r w:rsidRPr="008A6271">
        <w:rPr>
          <w:rFonts w:eastAsia="Arial Unicode MS"/>
          <w:sz w:val="28"/>
          <w:szCs w:val="28"/>
          <w:u w:color="000000"/>
          <w:lang w:val="uk-UA" w:eastAsia="uk-UA"/>
        </w:rPr>
        <w:t>.0</w:t>
      </w:r>
      <w:r w:rsidRPr="008A6271">
        <w:rPr>
          <w:rFonts w:eastAsia="Arial Unicode MS"/>
          <w:sz w:val="28"/>
          <w:szCs w:val="28"/>
          <w:u w:color="000000"/>
          <w:lang w:val="en-US" w:eastAsia="uk-UA"/>
        </w:rPr>
        <w:t>2</w:t>
      </w:r>
      <w:r w:rsidRPr="008A6271">
        <w:rPr>
          <w:rFonts w:eastAsia="Arial Unicode MS"/>
          <w:sz w:val="28"/>
          <w:szCs w:val="28"/>
          <w:u w:color="000000"/>
          <w:lang w:val="uk-UA" w:eastAsia="uk-UA"/>
        </w:rPr>
        <w:t>.202</w:t>
      </w:r>
      <w:r w:rsidRPr="008A6271">
        <w:rPr>
          <w:rFonts w:eastAsia="Arial Unicode MS"/>
          <w:sz w:val="28"/>
          <w:szCs w:val="28"/>
          <w:u w:color="000000"/>
          <w:lang w:val="en-US" w:eastAsia="uk-UA"/>
        </w:rPr>
        <w:t>6</w:t>
      </w:r>
      <w:r w:rsidRPr="008A6271">
        <w:rPr>
          <w:rFonts w:eastAsia="Arial Unicode MS"/>
          <w:sz w:val="28"/>
          <w:szCs w:val="28"/>
          <w:u w:color="000000"/>
          <w:lang w:val="uk-UA" w:eastAsia="uk-UA"/>
        </w:rPr>
        <w:t>).</w:t>
      </w:r>
    </w:p>
    <w:p w:rsidR="00076275" w:rsidRPr="00F02BA2" w:rsidRDefault="00076275" w:rsidP="00076275">
      <w:pPr>
        <w:widowControl w:val="0"/>
        <w:spacing w:line="360" w:lineRule="auto"/>
        <w:ind w:firstLine="709"/>
        <w:jc w:val="both"/>
        <w:rPr>
          <w:rFonts w:eastAsia="Arial Unicode MS"/>
          <w:bCs/>
          <w:sz w:val="28"/>
          <w:szCs w:val="28"/>
          <w:u w:color="000000"/>
          <w:lang w:val="en-US" w:eastAsia="uk-UA"/>
        </w:rPr>
      </w:pPr>
      <w:r w:rsidRPr="008A6271">
        <w:rPr>
          <w:rFonts w:eastAsia="Arial Unicode MS"/>
          <w:bCs/>
          <w:sz w:val="28"/>
          <w:szCs w:val="28"/>
          <w:u w:color="000000"/>
          <w:lang w:val="uk-UA" w:eastAsia="uk-UA"/>
        </w:rPr>
        <w:t xml:space="preserve">3. </w:t>
      </w:r>
      <w:r w:rsidRPr="008A6271">
        <w:rPr>
          <w:rFonts w:eastAsia="Arial Unicode MS"/>
          <w:bCs/>
          <w:sz w:val="28"/>
          <w:szCs w:val="28"/>
          <w:u w:color="000000"/>
          <w:lang w:val="en-US" w:eastAsia="uk-UA"/>
        </w:rPr>
        <w:t xml:space="preserve">The Framework Convention on Artificial Intelligence. 2025. </w:t>
      </w:r>
      <w:r w:rsidRPr="008A6271">
        <w:rPr>
          <w:rFonts w:eastAsia="Arial Unicode MS"/>
          <w:bCs/>
          <w:i/>
          <w:sz w:val="28"/>
          <w:szCs w:val="28"/>
          <w:u w:color="000000"/>
          <w:lang w:val="en-US" w:eastAsia="uk-UA"/>
        </w:rPr>
        <w:t xml:space="preserve">Council of Europe. </w:t>
      </w:r>
      <w:r w:rsidRPr="008A6271">
        <w:rPr>
          <w:rFonts w:eastAsia="Arial Unicode MS"/>
          <w:bCs/>
          <w:sz w:val="28"/>
          <w:szCs w:val="28"/>
          <w:u w:color="000000"/>
          <w:lang w:val="en-US" w:eastAsia="uk-UA"/>
        </w:rPr>
        <w:t>URL</w:t>
      </w:r>
      <w:r w:rsidRPr="00F02BA2">
        <w:rPr>
          <w:rFonts w:eastAsia="Arial Unicode MS"/>
          <w:bCs/>
          <w:sz w:val="28"/>
          <w:szCs w:val="28"/>
          <w:u w:color="000000"/>
          <w:lang w:val="en-US" w:eastAsia="uk-UA"/>
        </w:rPr>
        <w:t xml:space="preserve">: </w:t>
      </w:r>
      <w:r w:rsidRPr="008A6271">
        <w:rPr>
          <w:rFonts w:eastAsia="Arial Unicode MS"/>
          <w:bCs/>
          <w:sz w:val="28"/>
          <w:szCs w:val="28"/>
          <w:u w:color="000000"/>
          <w:lang w:val="en-US" w:eastAsia="uk-UA"/>
        </w:rPr>
        <w:t>https</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www</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coe</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int</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en</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web</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artificial</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intelligence</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the</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framework</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convention</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on</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artificial</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intelligence</w:t>
      </w:r>
      <w:r w:rsidRPr="00F02BA2">
        <w:rPr>
          <w:rFonts w:eastAsia="Arial Unicode MS"/>
          <w:sz w:val="28"/>
          <w:szCs w:val="28"/>
          <w:u w:color="000000"/>
          <w:lang w:val="en-US" w:eastAsia="uk-UA"/>
        </w:rPr>
        <w:t xml:space="preserve"> </w:t>
      </w:r>
      <w:r w:rsidRPr="008A6271">
        <w:rPr>
          <w:rFonts w:eastAsia="Arial Unicode MS"/>
          <w:sz w:val="28"/>
          <w:szCs w:val="28"/>
          <w:u w:color="000000"/>
          <w:lang w:val="uk-UA" w:eastAsia="uk-UA"/>
        </w:rPr>
        <w:t xml:space="preserve">(дата звернення: </w:t>
      </w:r>
      <w:r w:rsidRPr="00F02BA2">
        <w:rPr>
          <w:rFonts w:eastAsia="Arial Unicode MS"/>
          <w:sz w:val="28"/>
          <w:szCs w:val="28"/>
          <w:u w:color="000000"/>
          <w:lang w:val="en-US" w:eastAsia="uk-UA"/>
        </w:rPr>
        <w:t>22</w:t>
      </w:r>
      <w:r w:rsidRPr="008A6271">
        <w:rPr>
          <w:rFonts w:eastAsia="Arial Unicode MS"/>
          <w:sz w:val="28"/>
          <w:szCs w:val="28"/>
          <w:u w:color="000000"/>
          <w:lang w:val="uk-UA" w:eastAsia="uk-UA"/>
        </w:rPr>
        <w:t>.0</w:t>
      </w:r>
      <w:r w:rsidRPr="00F02BA2">
        <w:rPr>
          <w:rFonts w:eastAsia="Arial Unicode MS"/>
          <w:sz w:val="28"/>
          <w:szCs w:val="28"/>
          <w:u w:color="000000"/>
          <w:lang w:val="en-US" w:eastAsia="uk-UA"/>
        </w:rPr>
        <w:t>2</w:t>
      </w:r>
      <w:r w:rsidRPr="008A6271">
        <w:rPr>
          <w:rFonts w:eastAsia="Arial Unicode MS"/>
          <w:sz w:val="28"/>
          <w:szCs w:val="28"/>
          <w:u w:color="000000"/>
          <w:lang w:val="uk-UA" w:eastAsia="uk-UA"/>
        </w:rPr>
        <w:t>.202</w:t>
      </w:r>
      <w:r w:rsidRPr="00F02BA2">
        <w:rPr>
          <w:rFonts w:eastAsia="Arial Unicode MS"/>
          <w:sz w:val="28"/>
          <w:szCs w:val="28"/>
          <w:u w:color="000000"/>
          <w:lang w:val="en-US" w:eastAsia="uk-UA"/>
        </w:rPr>
        <w:t>6</w:t>
      </w:r>
      <w:r w:rsidRPr="008A6271">
        <w:rPr>
          <w:rFonts w:eastAsia="Arial Unicode MS"/>
          <w:sz w:val="28"/>
          <w:szCs w:val="28"/>
          <w:u w:color="000000"/>
          <w:lang w:val="uk-UA" w:eastAsia="uk-UA"/>
        </w:rPr>
        <w:t>).</w:t>
      </w:r>
    </w:p>
    <w:p w:rsidR="00076275" w:rsidRPr="00F02BA2" w:rsidRDefault="00076275" w:rsidP="00076275">
      <w:pPr>
        <w:widowControl w:val="0"/>
        <w:spacing w:line="360" w:lineRule="auto"/>
        <w:ind w:firstLine="709"/>
        <w:jc w:val="both"/>
        <w:rPr>
          <w:rFonts w:eastAsia="Arial Unicode MS"/>
          <w:bCs/>
          <w:sz w:val="28"/>
          <w:szCs w:val="28"/>
          <w:u w:color="000000"/>
          <w:lang w:val="en-US" w:eastAsia="uk-UA"/>
        </w:rPr>
      </w:pPr>
      <w:r w:rsidRPr="008A6271">
        <w:rPr>
          <w:rFonts w:eastAsia="Arial Unicode MS"/>
          <w:bCs/>
          <w:sz w:val="28"/>
          <w:szCs w:val="28"/>
          <w:u w:color="000000"/>
          <w:lang w:val="uk-UA" w:eastAsia="uk-UA"/>
        </w:rPr>
        <w:t xml:space="preserve">4. </w:t>
      </w:r>
      <w:r w:rsidRPr="008A6271">
        <w:rPr>
          <w:rFonts w:eastAsia="Arial Unicode MS"/>
          <w:bCs/>
          <w:sz w:val="28"/>
          <w:szCs w:val="28"/>
          <w:u w:color="000000"/>
          <w:lang w:val="en-US" w:eastAsia="uk-UA"/>
        </w:rPr>
        <w:t xml:space="preserve">Wahl T. Council of Europe Convention on Artificial Intelligence. 2024. </w:t>
      </w:r>
      <w:r w:rsidRPr="008A6271">
        <w:rPr>
          <w:rFonts w:eastAsia="Arial Unicode MS"/>
          <w:bCs/>
          <w:i/>
          <w:sz w:val="28"/>
          <w:szCs w:val="28"/>
          <w:u w:color="000000"/>
          <w:lang w:val="en-US" w:eastAsia="uk-UA"/>
        </w:rPr>
        <w:t xml:space="preserve">EuCrim. </w:t>
      </w:r>
      <w:r w:rsidRPr="008A6271">
        <w:rPr>
          <w:rFonts w:eastAsia="Arial Unicode MS"/>
          <w:bCs/>
          <w:sz w:val="28"/>
          <w:szCs w:val="28"/>
          <w:u w:color="000000"/>
          <w:lang w:val="en-US" w:eastAsia="uk-UA"/>
        </w:rPr>
        <w:t>URL</w:t>
      </w:r>
      <w:r w:rsidRPr="00F02BA2">
        <w:rPr>
          <w:rFonts w:eastAsia="Arial Unicode MS"/>
          <w:bCs/>
          <w:sz w:val="28"/>
          <w:szCs w:val="28"/>
          <w:u w:color="000000"/>
          <w:lang w:val="en-US" w:eastAsia="uk-UA"/>
        </w:rPr>
        <w:t xml:space="preserve">: </w:t>
      </w:r>
      <w:r w:rsidRPr="008A6271">
        <w:rPr>
          <w:rFonts w:eastAsia="Arial Unicode MS"/>
          <w:bCs/>
          <w:sz w:val="28"/>
          <w:szCs w:val="28"/>
          <w:u w:color="000000"/>
          <w:lang w:val="en-US" w:eastAsia="uk-UA"/>
        </w:rPr>
        <w:t>https</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eucrim</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eu</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news</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council</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of</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europe</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convention</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on</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t>artificial</w:t>
      </w:r>
      <w:r w:rsidRPr="00F02BA2">
        <w:rPr>
          <w:rFonts w:eastAsia="Arial Unicode MS"/>
          <w:bCs/>
          <w:sz w:val="28"/>
          <w:szCs w:val="28"/>
          <w:u w:color="000000"/>
          <w:lang w:val="en-US" w:eastAsia="uk-UA"/>
        </w:rPr>
        <w:t>-</w:t>
      </w:r>
      <w:r w:rsidRPr="008A6271">
        <w:rPr>
          <w:rFonts w:eastAsia="Arial Unicode MS"/>
          <w:bCs/>
          <w:sz w:val="28"/>
          <w:szCs w:val="28"/>
          <w:u w:color="000000"/>
          <w:lang w:val="en-US" w:eastAsia="uk-UA"/>
        </w:rPr>
        <w:lastRenderedPageBreak/>
        <w:t>intelligence</w:t>
      </w:r>
      <w:r w:rsidRPr="00F02BA2">
        <w:rPr>
          <w:rFonts w:eastAsia="Arial Unicode MS"/>
          <w:bCs/>
          <w:sz w:val="28"/>
          <w:szCs w:val="28"/>
          <w:u w:color="000000"/>
          <w:lang w:val="en-US" w:eastAsia="uk-UA"/>
        </w:rPr>
        <w:t>/</w:t>
      </w:r>
      <w:r w:rsidRPr="00F02BA2">
        <w:rPr>
          <w:rFonts w:eastAsia="Arial Unicode MS"/>
          <w:sz w:val="28"/>
          <w:szCs w:val="28"/>
          <w:u w:color="000000"/>
          <w:lang w:val="en-US" w:eastAsia="uk-UA"/>
        </w:rPr>
        <w:t xml:space="preserve"> </w:t>
      </w:r>
      <w:r w:rsidRPr="008A6271">
        <w:rPr>
          <w:rFonts w:eastAsia="Arial Unicode MS"/>
          <w:sz w:val="28"/>
          <w:szCs w:val="28"/>
          <w:u w:color="000000"/>
          <w:lang w:val="uk-UA" w:eastAsia="uk-UA"/>
        </w:rPr>
        <w:t xml:space="preserve">(дата звернення: </w:t>
      </w:r>
      <w:r w:rsidRPr="00F02BA2">
        <w:rPr>
          <w:rFonts w:eastAsia="Arial Unicode MS"/>
          <w:sz w:val="28"/>
          <w:szCs w:val="28"/>
          <w:u w:color="000000"/>
          <w:lang w:val="en-US" w:eastAsia="uk-UA"/>
        </w:rPr>
        <w:t>22</w:t>
      </w:r>
      <w:r w:rsidRPr="008A6271">
        <w:rPr>
          <w:rFonts w:eastAsia="Arial Unicode MS"/>
          <w:sz w:val="28"/>
          <w:szCs w:val="28"/>
          <w:u w:color="000000"/>
          <w:lang w:val="uk-UA" w:eastAsia="uk-UA"/>
        </w:rPr>
        <w:t>.0</w:t>
      </w:r>
      <w:r w:rsidRPr="00F02BA2">
        <w:rPr>
          <w:rFonts w:eastAsia="Arial Unicode MS"/>
          <w:sz w:val="28"/>
          <w:szCs w:val="28"/>
          <w:u w:color="000000"/>
          <w:lang w:val="en-US" w:eastAsia="uk-UA"/>
        </w:rPr>
        <w:t>2</w:t>
      </w:r>
      <w:r w:rsidRPr="008A6271">
        <w:rPr>
          <w:rFonts w:eastAsia="Arial Unicode MS"/>
          <w:sz w:val="28"/>
          <w:szCs w:val="28"/>
          <w:u w:color="000000"/>
          <w:lang w:val="uk-UA" w:eastAsia="uk-UA"/>
        </w:rPr>
        <w:t>.202</w:t>
      </w:r>
      <w:r w:rsidRPr="00F02BA2">
        <w:rPr>
          <w:rFonts w:eastAsia="Arial Unicode MS"/>
          <w:sz w:val="28"/>
          <w:szCs w:val="28"/>
          <w:u w:color="000000"/>
          <w:lang w:val="en-US" w:eastAsia="uk-UA"/>
        </w:rPr>
        <w:t>6</w:t>
      </w:r>
      <w:r w:rsidRPr="008A6271">
        <w:rPr>
          <w:rFonts w:eastAsia="Arial Unicode MS"/>
          <w:sz w:val="28"/>
          <w:szCs w:val="28"/>
          <w:u w:color="000000"/>
          <w:lang w:val="uk-UA" w:eastAsia="uk-UA"/>
        </w:rPr>
        <w:t>).</w:t>
      </w:r>
    </w:p>
    <w:p w:rsidR="00076275" w:rsidRPr="00F02BA2" w:rsidRDefault="00076275" w:rsidP="00076275">
      <w:pPr>
        <w:widowControl w:val="0"/>
        <w:spacing w:line="360" w:lineRule="auto"/>
        <w:ind w:firstLine="709"/>
        <w:jc w:val="both"/>
        <w:rPr>
          <w:rFonts w:eastAsia="Arial Unicode MS"/>
          <w:bCs/>
          <w:sz w:val="28"/>
          <w:szCs w:val="28"/>
          <w:u w:color="000000"/>
          <w:lang w:val="en-US" w:eastAsia="uk-UA"/>
        </w:rPr>
      </w:pPr>
    </w:p>
    <w:p w:rsidR="00076275" w:rsidRPr="004F5BD1" w:rsidRDefault="00076275" w:rsidP="00076275">
      <w:pPr>
        <w:spacing w:line="360" w:lineRule="auto"/>
        <w:ind w:firstLine="709"/>
        <w:rPr>
          <w:sz w:val="28"/>
          <w:szCs w:val="28"/>
          <w:lang w:val="uk-UA"/>
        </w:rPr>
      </w:pPr>
    </w:p>
    <w:p w:rsidR="00076275" w:rsidRPr="004F5BD1" w:rsidRDefault="00076275" w:rsidP="00076275">
      <w:pPr>
        <w:spacing w:line="360" w:lineRule="auto"/>
        <w:ind w:firstLine="709"/>
        <w:jc w:val="center"/>
        <w:rPr>
          <w:sz w:val="28"/>
          <w:szCs w:val="28"/>
          <w:lang w:val="uk-UA"/>
        </w:rPr>
      </w:pPr>
      <w:r w:rsidRPr="004F5BD1">
        <w:rPr>
          <w:b/>
          <w:bCs/>
          <w:sz w:val="28"/>
          <w:szCs w:val="28"/>
          <w:lang w:val="uk-UA"/>
        </w:rPr>
        <w:t>РОЛЬ ЦИФРОВОЇ ЕКОНОМІКИ У ПОВОЄННОМУ ВІДНОВЛЕННІ УКРАЇНИ</w:t>
      </w:r>
    </w:p>
    <w:p w:rsidR="00076275" w:rsidRPr="004F5BD1" w:rsidRDefault="00076275" w:rsidP="00076275">
      <w:pPr>
        <w:spacing w:line="360" w:lineRule="auto"/>
        <w:ind w:firstLine="709"/>
        <w:jc w:val="center"/>
        <w:rPr>
          <w:rFonts w:eastAsia="Calibri"/>
          <w:b/>
          <w:bCs/>
          <w:i/>
          <w:iCs/>
          <w:sz w:val="28"/>
          <w:szCs w:val="28"/>
          <w:lang w:eastAsia="en-US"/>
        </w:rPr>
      </w:pPr>
      <w:r w:rsidRPr="004F5BD1">
        <w:rPr>
          <w:rFonts w:eastAsia="Calibri"/>
          <w:b/>
          <w:bCs/>
          <w:i/>
          <w:iCs/>
          <w:sz w:val="28"/>
          <w:szCs w:val="28"/>
          <w:lang w:val="uk-UA" w:eastAsia="en-US"/>
        </w:rPr>
        <w:t>Тодорич І.</w:t>
      </w:r>
      <w:r w:rsidRPr="004F5BD1">
        <w:rPr>
          <w:rFonts w:eastAsia="Calibri"/>
          <w:b/>
          <w:bCs/>
          <w:i/>
          <w:iCs/>
          <w:sz w:val="28"/>
          <w:szCs w:val="28"/>
          <w:lang w:eastAsia="en-US"/>
        </w:rPr>
        <w:t xml:space="preserve"> </w:t>
      </w:r>
      <w:r w:rsidRPr="004F5BD1">
        <w:rPr>
          <w:rFonts w:eastAsia="Calibri"/>
          <w:b/>
          <w:bCs/>
          <w:i/>
          <w:iCs/>
          <w:sz w:val="28"/>
          <w:szCs w:val="28"/>
          <w:lang w:val="uk-UA" w:eastAsia="en-US"/>
        </w:rPr>
        <w:t>В.,</w:t>
      </w:r>
    </w:p>
    <w:p w:rsidR="00076275" w:rsidRPr="004F5BD1" w:rsidRDefault="003E2FDE" w:rsidP="00076275">
      <w:pPr>
        <w:spacing w:line="360" w:lineRule="auto"/>
        <w:ind w:firstLine="709"/>
        <w:jc w:val="center"/>
        <w:rPr>
          <w:rFonts w:eastAsia="Calibri"/>
          <w:i/>
          <w:iCs/>
          <w:sz w:val="28"/>
          <w:szCs w:val="28"/>
          <w:lang w:eastAsia="en-US"/>
        </w:rPr>
      </w:pPr>
      <w:hyperlink r:id="rId82" w:history="1">
        <w:r w:rsidR="00076275" w:rsidRPr="004F5BD1">
          <w:rPr>
            <w:rFonts w:eastAsia="Calibri"/>
            <w:i/>
            <w:iCs/>
            <w:sz w:val="28"/>
            <w:szCs w:val="28"/>
            <w:u w:val="single"/>
            <w:lang w:val="uk-UA" w:eastAsia="en-US"/>
          </w:rPr>
          <w:t>https://orcid.org/0009-0009-3529-6730</w:t>
        </w:r>
      </w:hyperlink>
    </w:p>
    <w:p w:rsidR="00076275" w:rsidRPr="004F5BD1" w:rsidRDefault="00076275" w:rsidP="00076275">
      <w:pPr>
        <w:spacing w:line="360" w:lineRule="auto"/>
        <w:ind w:firstLine="709"/>
        <w:jc w:val="center"/>
        <w:rPr>
          <w:rFonts w:eastAsia="Calibri"/>
          <w:i/>
          <w:iCs/>
          <w:sz w:val="28"/>
          <w:szCs w:val="28"/>
          <w:lang w:eastAsia="en-US"/>
        </w:rPr>
      </w:pPr>
      <w:r w:rsidRPr="004F5BD1">
        <w:rPr>
          <w:rFonts w:eastAsia="Calibri"/>
          <w:i/>
          <w:iCs/>
          <w:sz w:val="28"/>
          <w:szCs w:val="28"/>
          <w:lang w:val="uk-UA" w:eastAsia="en-US"/>
        </w:rPr>
        <w:t>аспірантка кафедри державно-правових</w:t>
      </w:r>
    </w:p>
    <w:p w:rsidR="00076275" w:rsidRPr="004F5BD1" w:rsidRDefault="00076275" w:rsidP="00076275">
      <w:pPr>
        <w:spacing w:line="360" w:lineRule="auto"/>
        <w:ind w:firstLine="709"/>
        <w:jc w:val="center"/>
        <w:rPr>
          <w:rFonts w:eastAsia="Calibri"/>
          <w:i/>
          <w:iCs/>
          <w:sz w:val="28"/>
          <w:szCs w:val="28"/>
          <w:lang w:eastAsia="en-US"/>
        </w:rPr>
      </w:pPr>
      <w:r w:rsidRPr="004F5BD1">
        <w:rPr>
          <w:rFonts w:eastAsia="Calibri"/>
          <w:i/>
          <w:iCs/>
          <w:sz w:val="28"/>
          <w:szCs w:val="28"/>
          <w:lang w:val="uk-UA" w:eastAsia="en-US"/>
        </w:rPr>
        <w:t>дисциплін Міжнародного університету</w:t>
      </w:r>
    </w:p>
    <w:p w:rsidR="00076275" w:rsidRPr="002B1223" w:rsidRDefault="00076275" w:rsidP="00076275">
      <w:pPr>
        <w:spacing w:line="360" w:lineRule="auto"/>
        <w:ind w:firstLine="709"/>
        <w:jc w:val="center"/>
        <w:rPr>
          <w:rFonts w:eastAsia="Calibri"/>
          <w:sz w:val="28"/>
          <w:szCs w:val="28"/>
          <w:lang w:val="uk-UA" w:eastAsia="en-US"/>
        </w:rPr>
      </w:pPr>
      <w:r w:rsidRPr="004F5BD1">
        <w:rPr>
          <w:rFonts w:eastAsia="Calibri"/>
          <w:i/>
          <w:iCs/>
          <w:sz w:val="28"/>
          <w:szCs w:val="28"/>
          <w:lang w:eastAsia="en-US"/>
        </w:rPr>
        <w:t>м. Одеса, Україна</w:t>
      </w:r>
    </w:p>
    <w:p w:rsidR="00076275" w:rsidRPr="004F5BD1" w:rsidRDefault="00076275" w:rsidP="00076275">
      <w:pPr>
        <w:spacing w:line="360" w:lineRule="auto"/>
        <w:ind w:firstLine="709"/>
        <w:jc w:val="both"/>
        <w:rPr>
          <w:sz w:val="28"/>
          <w:szCs w:val="28"/>
          <w:lang w:val="uk-UA"/>
        </w:rPr>
      </w:pPr>
      <w:r w:rsidRPr="004F5BD1">
        <w:rPr>
          <w:sz w:val="28"/>
          <w:szCs w:val="28"/>
          <w:lang w:val="uk-UA"/>
        </w:rPr>
        <w:t>Повномасштабне збройне вторгнення росії проти України, розпочате 24 лютого 2022 року, завдало колосальних збитків національній економіці. Згідно з п’ятим спільним звітом про оцінку збитків та потреб (RDNA5), підготовленим Світовим банком, Урядом України, Європейською комісією та ООН станом на 31 грудня 2025 року, загальна сума прямих збитків інфраструктури перевищила 195 млрд доларів США, а сукупна вартість відновлення оцінюється майже в 588 млрд доларів, що становить близько трьох річних ВВП України [1, с. 5]. В цих умовах питання повоєнного відновлення стає одним із ключових викликів для держави, суспільства та міжнародної спільноти.</w:t>
      </w:r>
    </w:p>
    <w:p w:rsidR="00076275" w:rsidRPr="004F5BD1" w:rsidRDefault="00076275" w:rsidP="00076275">
      <w:pPr>
        <w:spacing w:line="360" w:lineRule="auto"/>
        <w:ind w:firstLine="709"/>
        <w:jc w:val="both"/>
        <w:rPr>
          <w:sz w:val="28"/>
          <w:szCs w:val="28"/>
          <w:lang w:val="uk-UA"/>
        </w:rPr>
      </w:pPr>
      <w:r w:rsidRPr="004F5BD1">
        <w:rPr>
          <w:sz w:val="28"/>
          <w:szCs w:val="28"/>
          <w:lang w:val="uk-UA"/>
        </w:rPr>
        <w:t>Одним із найбільш перспективних інструментів прискорення відновлення є цифрова економіка – сукупність економічних відносин, що базуються на використанні цифрових технологій, даних та мережевих платформ. Цифровізація дозволяє не лише відновити зруйновану інфраструктуру в сучасному форматі, але й суттєво підвищити конкурентоспроможність держави на міжнародних ринках.</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Поняття «цифрова економіка» вперше було введено в науковий обіг Д. Тапскоттом у 1995 році та надалі набуло широкого застосування в академічному і практичному дискурсі [2, с. 12]. Сучасні дослідники розглядають цифрову економіку як багатоаспектне явище, що охоплює е-комерцію, фінтех, хмарні обчислення, штучний інтелект, блокчейн-технології та Інтернет речей. Особливого значення ці сектори набувають у контексті </w:t>
      </w:r>
      <w:r w:rsidRPr="004F5BD1">
        <w:rPr>
          <w:sz w:val="28"/>
          <w:szCs w:val="28"/>
          <w:lang w:val="uk-UA"/>
        </w:rPr>
        <w:lastRenderedPageBreak/>
        <w:t>повоєнного відновлення, оскільки дозволяють пришвидшити процеси реконструкції й підвищити їх ефективність.</w:t>
      </w:r>
    </w:p>
    <w:p w:rsidR="00076275" w:rsidRPr="004F5BD1" w:rsidRDefault="00076275" w:rsidP="00076275">
      <w:pPr>
        <w:spacing w:line="360" w:lineRule="auto"/>
        <w:ind w:firstLine="709"/>
        <w:jc w:val="both"/>
        <w:rPr>
          <w:sz w:val="28"/>
          <w:szCs w:val="28"/>
          <w:lang w:val="uk-UA"/>
        </w:rPr>
      </w:pPr>
      <w:r w:rsidRPr="004F5BD1">
        <w:rPr>
          <w:sz w:val="28"/>
          <w:szCs w:val="28"/>
          <w:lang w:val="uk-UA"/>
        </w:rPr>
        <w:t>Концептуальною основою для розуміння взаємозв'язку між цифровізацією та економічним відновленням є теорія «творчого руйнування» Й. Шумпетера, відповідно до якої кризові явища відкривають можливості для глибинної структурної трансформації [3, с. 83]. Саме в умовах руйнування старих виробничих систем виникають умови для формування нових технологічних укладів. Для України ця теоретична конструкція є особливо актуальною: замість того щоб відтворювати довоєнну економічну структуру, держава має унікальний шанс здійснити «цифровий стрибок».</w:t>
      </w:r>
    </w:p>
    <w:p w:rsidR="00076275" w:rsidRPr="004F5BD1" w:rsidRDefault="00076275" w:rsidP="00076275">
      <w:pPr>
        <w:spacing w:line="360" w:lineRule="auto"/>
        <w:ind w:firstLine="709"/>
        <w:jc w:val="both"/>
        <w:rPr>
          <w:sz w:val="28"/>
          <w:szCs w:val="28"/>
          <w:lang w:val="uk-UA"/>
        </w:rPr>
      </w:pPr>
      <w:r w:rsidRPr="004F5BD1">
        <w:rPr>
          <w:sz w:val="28"/>
          <w:szCs w:val="28"/>
          <w:lang w:val="uk-UA"/>
        </w:rPr>
        <w:t>Необхідно зазначити, що Україна ще до початку повномасштабного вторгнення демонструвала значні успіхи у сфері цифровізації. Зокрема, платформа «Дія», запущена у 2020 році, стала однією з найбільш масштабних в Європі цифрових урядових екосистем, яка забезпечила мільйонам громадян доступ до 137 державних послуг в режимі онлайн, а з використанням мобільного додатку Порталу «Дія» до 93, що включає 62 електронних публічних послуг та відображення 31 електронних документів, а також реалізовано 14 додаткових сервісів [4, с. 7]. За даними Міністерства цифрової трансформації України, кількість зареєстрованих користувачів застосунку «Дія» станом на початок 2025 року перевищила 22 мільйони осіб.</w:t>
      </w:r>
    </w:p>
    <w:p w:rsidR="00076275" w:rsidRPr="004F5BD1" w:rsidRDefault="00076275" w:rsidP="00076275">
      <w:pPr>
        <w:spacing w:line="360" w:lineRule="auto"/>
        <w:ind w:firstLine="709"/>
        <w:jc w:val="both"/>
        <w:rPr>
          <w:sz w:val="28"/>
          <w:szCs w:val="28"/>
          <w:lang w:val="uk-UA"/>
        </w:rPr>
      </w:pPr>
      <w:r w:rsidRPr="004F5BD1">
        <w:rPr>
          <w:sz w:val="28"/>
          <w:szCs w:val="28"/>
          <w:lang w:val="uk-UA"/>
        </w:rPr>
        <w:t>В умовах воєнного стану цифровізація виявила свій стратегічний потенціал: переведення критичних державних реєстрів до хмарного середовища забезпечило їх захист від фізичного знищення; дистанційна форма праці дозволила значній частині ІТ-фахівців продовжувати роботу навіть перебуваючи за межами країни; електронне урядування забезпечило безперервність надання адміністративних послуг навіть у прифронтових районах.</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Водночас, ІТ-галузь стала одним із небагатьох секторів, що демонстрували зростання попри воєнні умови. За даними IT Ukraine Association, у 2023-2024 роках обсяг українського ІТ-експорту залишався на </w:t>
      </w:r>
      <w:r w:rsidRPr="004F5BD1">
        <w:rPr>
          <w:sz w:val="28"/>
          <w:szCs w:val="28"/>
          <w:lang w:val="uk-UA"/>
        </w:rPr>
        <w:lastRenderedPageBreak/>
        <w:t>рівні 7-8 млрд доларів США на рік, що свідчить про стійкість та адаптивність сектору [5].</w:t>
      </w:r>
    </w:p>
    <w:p w:rsidR="00076275" w:rsidRPr="004F5BD1" w:rsidRDefault="00076275" w:rsidP="00076275">
      <w:pPr>
        <w:spacing w:line="360" w:lineRule="auto"/>
        <w:ind w:firstLine="709"/>
        <w:jc w:val="both"/>
        <w:rPr>
          <w:sz w:val="28"/>
          <w:szCs w:val="28"/>
          <w:lang w:val="uk-UA"/>
        </w:rPr>
      </w:pPr>
      <w:r w:rsidRPr="004F5BD1">
        <w:rPr>
          <w:sz w:val="28"/>
          <w:szCs w:val="28"/>
          <w:lang w:val="uk-UA"/>
        </w:rPr>
        <w:t>У контексті повоєнного відновлення цифрова економіка може відігравати роль структуроутворювального чинника за кількома ключовими напрямами.</w:t>
      </w:r>
    </w:p>
    <w:p w:rsidR="00076275" w:rsidRPr="004F5BD1" w:rsidRDefault="00076275" w:rsidP="00076275">
      <w:pPr>
        <w:spacing w:line="360" w:lineRule="auto"/>
        <w:ind w:firstLine="709"/>
        <w:jc w:val="both"/>
        <w:rPr>
          <w:sz w:val="28"/>
          <w:szCs w:val="28"/>
          <w:lang w:val="uk-UA"/>
        </w:rPr>
      </w:pPr>
      <w:r w:rsidRPr="004F5BD1">
        <w:rPr>
          <w:sz w:val="28"/>
          <w:szCs w:val="28"/>
          <w:lang w:val="uk-UA"/>
        </w:rPr>
        <w:t>По-перше, цифрова інфраструктура як основа нової архітектури відновлення. Відбудова фізичної інфраструктури має супроводжуватися одночасним розгортанням цифрових мереж: широкосмугового інтернету, інфраструктури для хмарних обчислень та центрів обробки даних. Це дозволить створити сучасне підґрунтя для розвитку економіки знань і залучення іноземних інвестицій. Міжнародний валютний фонд наголошує, що інвестиції в цифрову інфраструктуру дають мультиплікативний ефект зростання ВВП у 2-3 рази порівняно з традиційними інфраструктурними проектами [6, с. 34].</w:t>
      </w:r>
    </w:p>
    <w:p w:rsidR="00076275" w:rsidRPr="004F5BD1" w:rsidRDefault="00076275" w:rsidP="00076275">
      <w:pPr>
        <w:spacing w:line="360" w:lineRule="auto"/>
        <w:ind w:firstLine="709"/>
        <w:jc w:val="both"/>
        <w:rPr>
          <w:sz w:val="28"/>
          <w:szCs w:val="28"/>
          <w:lang w:val="uk-UA"/>
        </w:rPr>
      </w:pPr>
      <w:r w:rsidRPr="004F5BD1">
        <w:rPr>
          <w:sz w:val="28"/>
          <w:szCs w:val="28"/>
          <w:lang w:val="uk-UA"/>
        </w:rPr>
        <w:t>По-друге, електронне урядування та цифрова прозорість у відновленні. Прозорість витрачання коштів на відновлення є критично важливою умовою для залучення донорів та запобігання корупції. Використання блокчейн-технологій та відкритих даних у системах публічних закупівель, управлінні проєктами відновлення і контролі за ланцюгами поставок суттєво підвищить довіру міжнародних партнерів. Прикладом може слугувати платформа DREAM (Digital Restoration Ecosystem for Accountable Management), розроблена за підтримки міжнародних донорів для координації відновлення України.</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По-третє, розвиток людського капіталу в цифровій сфері. Одним з ключових активів України є значний людський потенціал у сфері ІТ та технічних наук. Відновлення має передбачати масштабні програми перекваліфікації, орієнтовані на цифрові компетентності, а також формування сприятливих умов для повернення українських фахівців з-за кордону. За оцінками </w:t>
      </w:r>
      <w:r w:rsidRPr="004F5BD1">
        <w:rPr>
          <w:b/>
          <w:bCs/>
          <w:sz w:val="28"/>
          <w:szCs w:val="28"/>
          <w:lang w:val="uk-UA"/>
        </w:rPr>
        <w:t>Організації економічного співробітництва та розвитку</w:t>
      </w:r>
      <w:r w:rsidRPr="004F5BD1">
        <w:rPr>
          <w:sz w:val="28"/>
          <w:szCs w:val="28"/>
          <w:lang w:val="uk-UA"/>
        </w:rPr>
        <w:t xml:space="preserve"> (</w:t>
      </w:r>
      <w:r w:rsidRPr="004F5BD1">
        <w:rPr>
          <w:b/>
          <w:bCs/>
          <w:sz w:val="28"/>
          <w:szCs w:val="28"/>
          <w:lang w:val="uk-UA"/>
        </w:rPr>
        <w:t>Organisation for Economic Co-operation and Development</w:t>
      </w:r>
      <w:r w:rsidRPr="004F5BD1">
        <w:rPr>
          <w:sz w:val="28"/>
          <w:szCs w:val="28"/>
          <w:lang w:val="uk-UA"/>
        </w:rPr>
        <w:t>), приріст цифрових компетентностей населення на 10% корелює з підвищенням продуктивності праці в економіці на 3-4% [7, с. 56].</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По-четверте, залучення іноземних прямих інвестицій через цифрові хаби. Формування спеціальних економічних зон з цифровим ухилом, де іноземним </w:t>
      </w:r>
      <w:r w:rsidRPr="004F5BD1">
        <w:rPr>
          <w:sz w:val="28"/>
          <w:szCs w:val="28"/>
          <w:lang w:val="uk-UA"/>
        </w:rPr>
        <w:lastRenderedPageBreak/>
        <w:t>компаніям пропонуватимуться пільгові умови для розміщення ІТ-центрів та дослідницьких підрозділів, здатне суттєво прискорити відновлення зайнятості й надходжень до бюджету [8, с. 119].</w:t>
      </w:r>
    </w:p>
    <w:p w:rsidR="00076275" w:rsidRPr="004F5BD1" w:rsidRDefault="00076275" w:rsidP="00076275">
      <w:pPr>
        <w:spacing w:line="360" w:lineRule="auto"/>
        <w:ind w:firstLine="709"/>
        <w:jc w:val="both"/>
        <w:rPr>
          <w:sz w:val="28"/>
          <w:szCs w:val="28"/>
          <w:lang w:val="uk-UA"/>
        </w:rPr>
      </w:pPr>
      <w:r w:rsidRPr="004F5BD1">
        <w:rPr>
          <w:sz w:val="28"/>
          <w:szCs w:val="28"/>
          <w:lang w:val="uk-UA"/>
        </w:rPr>
        <w:t>Ефективна реалізація потенціалу цифрової економіки неможлива без адекватного правового регулювання. Зокрема, важливими кроками є: гармонізація вітчизняного цифрового законодавства з правом Європейського Союзу в рамках виконання зобов'язань за Угодою про асоціацію; прийняття спеціального законодавства про цифровий ринок, захист даних та кіберстійкість; розробка правових механізмів стимулювання інвестицій у ІТ-сектор.</w:t>
      </w:r>
    </w:p>
    <w:p w:rsidR="00076275" w:rsidRPr="004F5BD1" w:rsidRDefault="00076275" w:rsidP="00076275">
      <w:pPr>
        <w:spacing w:line="360" w:lineRule="auto"/>
        <w:ind w:firstLine="709"/>
        <w:jc w:val="both"/>
        <w:rPr>
          <w:sz w:val="28"/>
          <w:szCs w:val="28"/>
          <w:lang w:val="uk-UA"/>
        </w:rPr>
      </w:pPr>
      <w:r w:rsidRPr="004F5BD1">
        <w:rPr>
          <w:sz w:val="28"/>
          <w:szCs w:val="28"/>
          <w:lang w:val="uk-UA"/>
        </w:rPr>
        <w:t>Правове регулювання цифрових відносин в Україні потребує системного оновлення, орієнтованого на проактивне нормотворення, а не на реагування на вже наявні проблеми. Особливого значення набуває регулювання сфери штучного інтелекту, оскільки саме ця технологія є ключовою для автоматизації процесів відбудови та підвищення ефективності управління.</w:t>
      </w:r>
    </w:p>
    <w:p w:rsidR="00076275" w:rsidRPr="004F5BD1" w:rsidRDefault="00076275" w:rsidP="00076275">
      <w:pPr>
        <w:spacing w:line="360" w:lineRule="auto"/>
        <w:ind w:firstLine="709"/>
        <w:jc w:val="both"/>
        <w:rPr>
          <w:sz w:val="28"/>
          <w:szCs w:val="28"/>
          <w:lang w:val="uk-UA"/>
        </w:rPr>
      </w:pPr>
      <w:r w:rsidRPr="004F5BD1">
        <w:rPr>
          <w:sz w:val="28"/>
          <w:szCs w:val="28"/>
          <w:lang w:val="uk-UA"/>
        </w:rPr>
        <w:t>Вивчення міжнародного досвіду країн, які пройшли через постконфліктне відновлення із залученням цифрових технологій, є важливим для формування українських стратегій. Прикладним є досвід Естонії, яка після виходу з радянської системи зробила ставку на масштабну цифровізацію державного управління, що дозволило їй стати одним із лідерів ЄС за рівнем розвитку е-урядування [9, с. 145]. Хоча умови відновлення України є принципово відмінними, загальний підхід – «цифра як основа реформи державного управління» – є релевантним.</w:t>
      </w:r>
    </w:p>
    <w:p w:rsidR="00076275" w:rsidRPr="004F5BD1" w:rsidRDefault="00076275" w:rsidP="00076275">
      <w:pPr>
        <w:spacing w:line="360" w:lineRule="auto"/>
        <w:ind w:firstLine="709"/>
        <w:jc w:val="both"/>
        <w:rPr>
          <w:sz w:val="28"/>
          <w:szCs w:val="28"/>
          <w:lang w:val="uk-UA"/>
        </w:rPr>
      </w:pPr>
      <w:r w:rsidRPr="004F5BD1">
        <w:rPr>
          <w:sz w:val="28"/>
          <w:szCs w:val="28"/>
          <w:lang w:val="uk-UA"/>
        </w:rPr>
        <w:t>Важливим орієнтиром є також план Marshall Plan with Africa та аналогічні ініціативи, які передбачають значний цифровий компонент у програмах міжнародної допомоги. Для України «план Маршалла» нового покоління має стати не просто механізмом фінансування відбудови, але й стимулом для системної цифрової трансформації [1, с. 18].</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Таким чином, цифрова економіка є не просто одним з інструментів повоєнного відновлення України, а його системоутворювальним чинником. Інтеграція цифрових технологій у процеси відбудови інфраструктури, </w:t>
      </w:r>
      <w:r w:rsidRPr="004F5BD1">
        <w:rPr>
          <w:sz w:val="28"/>
          <w:szCs w:val="28"/>
          <w:lang w:val="uk-UA"/>
        </w:rPr>
        <w:lastRenderedPageBreak/>
        <w:t>публічного управління, залучення інвестицій та розвитку людського капіталу здатна не лише прискорити відновлення, але й забезпечити якісний стрибок у конкурентоспроможності держави. Досягнення цих цілей потребує комплексної правової основи, узгодженої міжнародної підтримки та цілеспрямованої державної стратегії цифровізації.</w:t>
      </w:r>
    </w:p>
    <w:p w:rsidR="00076275" w:rsidRPr="004F5BD1" w:rsidRDefault="00076275" w:rsidP="00076275">
      <w:pPr>
        <w:spacing w:line="360" w:lineRule="auto"/>
        <w:ind w:firstLine="709"/>
        <w:jc w:val="both"/>
        <w:rPr>
          <w:sz w:val="28"/>
          <w:szCs w:val="28"/>
          <w:lang w:val="uk-UA"/>
        </w:rPr>
      </w:pPr>
      <w:r w:rsidRPr="004F5BD1">
        <w:rPr>
          <w:sz w:val="28"/>
          <w:szCs w:val="28"/>
          <w:lang w:val="uk-UA"/>
        </w:rPr>
        <w:t>Перспективою подальших досліджень є розробка конкретних правових механізмів стимулювання цифрових інвестицій у постконфліктний період, а також аналіз ефективності вже реалізованих заходів цифровізації в рамках відновлення.</w:t>
      </w:r>
    </w:p>
    <w:p w:rsidR="00076275" w:rsidRPr="004F5BD1" w:rsidRDefault="00076275" w:rsidP="00076275">
      <w:pPr>
        <w:spacing w:line="360" w:lineRule="auto"/>
        <w:ind w:firstLine="709"/>
        <w:rPr>
          <w:sz w:val="28"/>
          <w:szCs w:val="28"/>
          <w:lang w:val="uk-UA"/>
        </w:rPr>
      </w:pPr>
    </w:p>
    <w:p w:rsidR="00076275" w:rsidRPr="004F5BD1" w:rsidRDefault="00076275" w:rsidP="00076275">
      <w:pPr>
        <w:spacing w:line="360" w:lineRule="auto"/>
        <w:ind w:firstLine="709"/>
        <w:jc w:val="center"/>
        <w:rPr>
          <w:sz w:val="28"/>
          <w:szCs w:val="28"/>
          <w:lang w:val="uk-UA"/>
        </w:rPr>
      </w:pPr>
      <w:r w:rsidRPr="004F5BD1">
        <w:rPr>
          <w:b/>
          <w:bCs/>
          <w:sz w:val="28"/>
          <w:szCs w:val="28"/>
          <w:lang w:val="uk-UA"/>
        </w:rPr>
        <w:t>СПИСОК ВИКОРИСТАНИХ ДЖЕРЕЛ</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1. Ukraine Fifth Rapid Damage and Needs Assessment (RDNA5): February 2022 – December 2025 / World Bank Group, European Commission, United Nations, Government of Ukraine. – Washington: World Bank, 2026. </w:t>
      </w:r>
    </w:p>
    <w:p w:rsidR="00076275" w:rsidRPr="004F5BD1" w:rsidRDefault="00076275" w:rsidP="00076275">
      <w:pPr>
        <w:spacing w:line="360" w:lineRule="auto"/>
        <w:ind w:firstLine="709"/>
        <w:jc w:val="both"/>
        <w:rPr>
          <w:sz w:val="28"/>
          <w:szCs w:val="28"/>
          <w:lang w:val="uk-UA"/>
        </w:rPr>
      </w:pPr>
      <w:r w:rsidRPr="004F5BD1">
        <w:rPr>
          <w:sz w:val="28"/>
          <w:szCs w:val="28"/>
          <w:lang w:val="uk-UA"/>
        </w:rPr>
        <w:t>2. Tapscott D. The Digital Economy: Promise and Peril in the Age of Networked Intelligence / D. Tapscott. – New York : McGraw-Hill, 1996. – 342 с.</w:t>
      </w:r>
    </w:p>
    <w:p w:rsidR="00076275" w:rsidRPr="004F5BD1" w:rsidRDefault="00076275" w:rsidP="00076275">
      <w:pPr>
        <w:spacing w:line="360" w:lineRule="auto"/>
        <w:ind w:firstLine="709"/>
        <w:jc w:val="both"/>
        <w:rPr>
          <w:sz w:val="28"/>
          <w:szCs w:val="28"/>
          <w:lang w:val="uk-UA"/>
        </w:rPr>
      </w:pPr>
      <w:r w:rsidRPr="004F5BD1">
        <w:rPr>
          <w:sz w:val="28"/>
          <w:szCs w:val="28"/>
          <w:lang w:val="uk-UA"/>
        </w:rPr>
        <w:t>3. Schumpeter J. A. Capitalism, Socialism and Democracy / J. A. Schumpeter. – New York : Taylor &amp; Francis e-Library, 2003. – 433 с.</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4. Міністерство цифрової трансформації України. Річний звіт 2024. – Київ : Мінцифра, 2024. – 64 с. </w:t>
      </w:r>
    </w:p>
    <w:p w:rsidR="00076275" w:rsidRPr="004F5BD1" w:rsidRDefault="00076275" w:rsidP="00076275">
      <w:pPr>
        <w:spacing w:line="360" w:lineRule="auto"/>
        <w:ind w:firstLine="709"/>
        <w:jc w:val="both"/>
        <w:rPr>
          <w:sz w:val="28"/>
          <w:szCs w:val="28"/>
          <w:lang w:val="uk-UA"/>
        </w:rPr>
      </w:pPr>
      <w:r w:rsidRPr="004F5BD1">
        <w:rPr>
          <w:sz w:val="28"/>
          <w:szCs w:val="28"/>
          <w:lang w:val="uk-UA"/>
        </w:rPr>
        <w:t>5. IT Ukraine Association. IT Industry in Ukraine: 2024 Report. – Київ : IT Ukraine, 2024.</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6. International Monetary Fund. Digital Infrastructure and Economic Growth: Evidence from Developing Economies. – Washington : IMF, 2023. </w:t>
      </w:r>
    </w:p>
    <w:p w:rsidR="00076275" w:rsidRPr="004F5BD1" w:rsidRDefault="00076275" w:rsidP="00076275">
      <w:pPr>
        <w:spacing w:line="360" w:lineRule="auto"/>
        <w:ind w:firstLine="709"/>
        <w:jc w:val="both"/>
        <w:rPr>
          <w:sz w:val="28"/>
          <w:szCs w:val="28"/>
          <w:lang w:val="uk-UA"/>
        </w:rPr>
      </w:pPr>
      <w:r w:rsidRPr="004F5BD1">
        <w:rPr>
          <w:sz w:val="28"/>
          <w:szCs w:val="28"/>
          <w:lang w:val="uk-UA"/>
        </w:rPr>
        <w:t xml:space="preserve">7. OECD Skills Outlook 2023: Skills for a Resilient Green and Digital Transition. – Paris : OECD Publishing, 2023. – 271 с. </w:t>
      </w:r>
    </w:p>
    <w:p w:rsidR="00076275" w:rsidRPr="004F5BD1" w:rsidRDefault="00076275" w:rsidP="00076275">
      <w:pPr>
        <w:spacing w:line="360" w:lineRule="auto"/>
        <w:ind w:firstLine="709"/>
        <w:jc w:val="both"/>
        <w:rPr>
          <w:sz w:val="28"/>
          <w:szCs w:val="28"/>
          <w:lang w:val="uk-UA"/>
        </w:rPr>
      </w:pPr>
      <w:r w:rsidRPr="004F5BD1">
        <w:rPr>
          <w:sz w:val="28"/>
          <w:szCs w:val="28"/>
          <w:lang w:val="uk-UA"/>
        </w:rPr>
        <w:t>8. Вишневський В. П. Цифровізація економіки України: трансформаційний потенціал: монографія / В. П. Вишневський, О.М. Гаркушенко, С.І. Князев, Д.В. Липницький, В.Д. Чекіна; за ред. В. П. Вишневського та С.І. Князева; НАН України, Інститут економіки промисловості. – Київ: Академперіодика, 2020. – 188 с.</w:t>
      </w:r>
    </w:p>
    <w:p w:rsidR="00076275" w:rsidRPr="004F5BD1" w:rsidRDefault="00076275" w:rsidP="00076275">
      <w:pPr>
        <w:spacing w:line="360" w:lineRule="auto"/>
        <w:ind w:firstLine="709"/>
        <w:jc w:val="both"/>
        <w:rPr>
          <w:sz w:val="28"/>
          <w:szCs w:val="28"/>
          <w:lang w:val="uk-UA"/>
        </w:rPr>
      </w:pPr>
      <w:r w:rsidRPr="004F5BD1">
        <w:rPr>
          <w:sz w:val="28"/>
          <w:szCs w:val="28"/>
          <w:lang w:val="uk-UA"/>
        </w:rPr>
        <w:lastRenderedPageBreak/>
        <w:t>9. Kalvet T. Innovation: a factor explaining e-government success in Estonia / T. Kalvet // Electronic Government, an International Journal. – 2012. – Vol. 9, No. 2. – P. 142–157.</w:t>
      </w:r>
    </w:p>
    <w:p w:rsidR="00076275" w:rsidRDefault="00076275" w:rsidP="00076275">
      <w:pPr>
        <w:spacing w:line="360" w:lineRule="auto"/>
        <w:jc w:val="both"/>
        <w:rPr>
          <w:sz w:val="28"/>
          <w:szCs w:val="28"/>
          <w:lang w:val="uk-UA"/>
        </w:rPr>
      </w:pPr>
    </w:p>
    <w:p w:rsidR="00076275" w:rsidRPr="00FD38BE" w:rsidRDefault="00076275" w:rsidP="00076275">
      <w:pPr>
        <w:spacing w:line="360" w:lineRule="auto"/>
        <w:jc w:val="both"/>
        <w:rPr>
          <w:sz w:val="28"/>
          <w:szCs w:val="28"/>
          <w:lang w:val="uk-UA"/>
        </w:rPr>
      </w:pPr>
    </w:p>
    <w:p w:rsidR="00076275" w:rsidRPr="007C3146" w:rsidRDefault="00076275" w:rsidP="00076275">
      <w:pPr>
        <w:spacing w:line="360" w:lineRule="auto"/>
        <w:ind w:firstLine="709"/>
        <w:jc w:val="center"/>
        <w:rPr>
          <w:rFonts w:eastAsiaTheme="minorHAnsi"/>
          <w:b/>
          <w:iCs/>
          <w:sz w:val="28"/>
          <w:szCs w:val="28"/>
          <w:lang w:val="uk-UA" w:eastAsia="en-US"/>
        </w:rPr>
      </w:pPr>
      <w:r w:rsidRPr="007C3146">
        <w:rPr>
          <w:rFonts w:eastAsiaTheme="minorHAnsi"/>
          <w:b/>
          <w:iCs/>
          <w:sz w:val="28"/>
          <w:szCs w:val="28"/>
          <w:lang w:val="uk-UA" w:eastAsia="en-US"/>
        </w:rPr>
        <w:t>ЛОГІКО-СТРУКТУРНІ, ЛОГІЧНІ ТА МОВНОСТИЛІСТИЧНІ ВИМОГИ ДО СУДОВОЇ ПРОМОВИ</w:t>
      </w:r>
    </w:p>
    <w:p w:rsidR="00076275" w:rsidRPr="007C3146" w:rsidRDefault="00076275" w:rsidP="00076275">
      <w:pPr>
        <w:spacing w:line="360" w:lineRule="auto"/>
        <w:ind w:firstLine="709"/>
        <w:jc w:val="center"/>
        <w:rPr>
          <w:rFonts w:eastAsiaTheme="minorHAnsi"/>
          <w:b/>
          <w:i/>
          <w:sz w:val="28"/>
          <w:szCs w:val="28"/>
          <w:lang w:val="uk-UA" w:eastAsia="en-US"/>
        </w:rPr>
      </w:pPr>
      <w:r w:rsidRPr="007C3146">
        <w:rPr>
          <w:rFonts w:eastAsiaTheme="minorHAnsi"/>
          <w:b/>
          <w:i/>
          <w:sz w:val="28"/>
          <w:szCs w:val="28"/>
          <w:lang w:val="uk-UA" w:eastAsia="en-US"/>
        </w:rPr>
        <w:t>Толмачова К. М.</w:t>
      </w:r>
    </w:p>
    <w:p w:rsidR="00076275" w:rsidRPr="007C3146" w:rsidRDefault="00076275" w:rsidP="00076275">
      <w:pPr>
        <w:spacing w:line="360" w:lineRule="auto"/>
        <w:ind w:firstLine="709"/>
        <w:jc w:val="center"/>
        <w:rPr>
          <w:rFonts w:eastAsiaTheme="minorHAnsi"/>
          <w:i/>
          <w:sz w:val="28"/>
          <w:szCs w:val="28"/>
          <w:lang w:val="uk-UA" w:eastAsia="en-US"/>
        </w:rPr>
      </w:pPr>
      <w:r w:rsidRPr="007C3146">
        <w:rPr>
          <w:rFonts w:eastAsiaTheme="minorHAnsi"/>
          <w:i/>
          <w:sz w:val="28"/>
          <w:szCs w:val="28"/>
          <w:lang w:val="uk-UA" w:eastAsia="en-US"/>
        </w:rPr>
        <w:t xml:space="preserve">Студентка ІІ курсу магістратури, </w:t>
      </w:r>
    </w:p>
    <w:p w:rsidR="00076275" w:rsidRPr="007C3146" w:rsidRDefault="00076275" w:rsidP="00076275">
      <w:pPr>
        <w:spacing w:line="360" w:lineRule="auto"/>
        <w:ind w:firstLine="709"/>
        <w:jc w:val="center"/>
        <w:rPr>
          <w:rFonts w:eastAsiaTheme="minorHAnsi"/>
          <w:i/>
          <w:sz w:val="28"/>
          <w:szCs w:val="28"/>
          <w:lang w:val="uk-UA" w:eastAsia="en-US"/>
        </w:rPr>
      </w:pPr>
      <w:r w:rsidRPr="007C3146">
        <w:rPr>
          <w:rFonts w:eastAsiaTheme="minorHAnsi"/>
          <w:i/>
          <w:sz w:val="28"/>
          <w:szCs w:val="28"/>
          <w:lang w:val="uk-UA" w:eastAsia="en-US"/>
        </w:rPr>
        <w:t>спеціальність 081 «Право»,</w:t>
      </w:r>
    </w:p>
    <w:p w:rsidR="00076275" w:rsidRPr="007C3146" w:rsidRDefault="00076275" w:rsidP="00076275">
      <w:pPr>
        <w:spacing w:line="360" w:lineRule="auto"/>
        <w:ind w:firstLine="709"/>
        <w:jc w:val="center"/>
        <w:rPr>
          <w:rFonts w:eastAsiaTheme="minorHAnsi"/>
          <w:i/>
          <w:sz w:val="28"/>
          <w:szCs w:val="28"/>
          <w:lang w:val="uk-UA" w:eastAsia="en-US"/>
        </w:rPr>
      </w:pPr>
      <w:r w:rsidRPr="007C3146">
        <w:rPr>
          <w:rFonts w:eastAsiaTheme="minorHAnsi"/>
          <w:i/>
          <w:sz w:val="28"/>
          <w:szCs w:val="28"/>
          <w:lang w:val="uk-UA" w:eastAsia="en-US"/>
        </w:rPr>
        <w:t>Міжнародний університет,</w:t>
      </w:r>
    </w:p>
    <w:p w:rsidR="00076275" w:rsidRPr="006B5DF2" w:rsidRDefault="00076275" w:rsidP="00076275">
      <w:pPr>
        <w:spacing w:line="360" w:lineRule="auto"/>
        <w:ind w:firstLine="709"/>
        <w:jc w:val="center"/>
        <w:rPr>
          <w:rFonts w:eastAsiaTheme="minorHAnsi"/>
          <w:i/>
          <w:sz w:val="28"/>
          <w:szCs w:val="28"/>
          <w:lang w:val="uk-UA" w:eastAsia="en-US"/>
        </w:rPr>
      </w:pPr>
      <w:r w:rsidRPr="007C3146">
        <w:rPr>
          <w:rFonts w:eastAsiaTheme="minorHAnsi"/>
          <w:i/>
          <w:sz w:val="28"/>
          <w:szCs w:val="28"/>
          <w:lang w:val="uk-UA" w:eastAsia="en-US"/>
        </w:rPr>
        <w:t>м. Одеса, Україна</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Судова промова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це спеціально спрямований виступ, покликаний здійснити вплив на аудиторію. Під впливом розуміють процес залучення уваги слухачів до теми висловлювання. Найефективнішим засобом впливу у судовій промові є структурованість викладу та використання логічних доказів. Типова судова промова містить щонайменше три елементи: вступ, основну частину, заключну частину. </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Особливістю основної частини судової промови є застосування спростувань та обґрунтувань. Це аргументативний спосіб викладу інформації, який у тексті промови відіграє провідну роль. Саме тому доказова сторона промови має значно більшу вагу, ніж її емоційний вплив на слухачів. Аргументативний виклад характеризується такими рисами, як формулювання тези, визначення понять, встановлення логічних зв’язків між поняттями та використання стійких словосполучень як основного засобу вираження думки. Такі конструкції вирізняються високою інформативністю, а їхній лексичний склад і порядок слів суворо регламентовані.</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В основній частині судової промови також застосовуються розповідь і опис. Розповідь може бути як детальним, так і коротким викладом фактичних обставин справи, тоді як опис передбачає словесне зображення певного явища чи події. Ці способи викладу інформації мають велике значення для судового </w:t>
      </w:r>
      <w:r w:rsidRPr="007C3146">
        <w:rPr>
          <w:rFonts w:eastAsiaTheme="minorHAnsi"/>
          <w:sz w:val="28"/>
          <w:szCs w:val="28"/>
          <w:lang w:val="uk-UA" w:eastAsia="en-US"/>
        </w:rPr>
        <w:lastRenderedPageBreak/>
        <w:t>розгляду, оскільки допомагають відтворити повну картину події. Розповіді та описи відрізняються за мовними характеристиками, а потреба впливати на слухачів зумовлює чергування стриманих і емоційно забарвлених засобів вираження думки.</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Заключна частина судової промови є не лише логічним підсумком виступу, а й засобом підсилення значення всього викладеного раніше. Оратор оцінює подію та висловлює власну думку щодо можливого результату процесу. Тому виклад у цій частині зазвичай має емоційне забарвлення, що реалізується через мовні засоби, наприклад, у вигляді питальних конструкцій.</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Важливим інструментом мовного впливу на суддів є точність у підборі слів, коли оратор акцентує увагу суду на тих явищах, які вважає найважливішими. І навпаки, неточне слововживання приводить до неправильного формулювання думки суддей. Щоб уникнути цього, потрібно володіти основами законів мислення та вміти правильно впорядковувати думки у словесну форму. Головною якістю судової промови є її переконливість, яка проявляється в обґрунтованості висловлених тез і висновків. «Найкраща форма підготовки судової промови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це складання детальних тез промови. Правильна побудова тез судової промови вимагає від оратора чіткого розуміння, що є головним, а що другорядним і допоміжним» [5, с. 125]. Без цього її проголошення не має сенсу.</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Адвокат повинен володіти логікою мислення, тобто вміти обґрунтовувати власну позицію та логічно доводити хибність аргументів опонента. Для правильного побудування міркувань і досягнення істинних висновків із достовірних фактів оратору необхідні знання, засновані на основних законах мислення: закону тождества, закону протиріччя та закону достатньої підстави. Кожен акт мислення має відповідати законам логіки та принципам словесного викладу. Це підвищує ефективність мисленнєво-мовленнєвої діяльності оратора та запобігає помилкам.</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Закон тождества вимагає, щоб думка була чітко й точно сформульована та зберігала сталий зміст при будь-якому повторенні. Закон протиріччя передбачає послідовність і несуперечливість мислення: дві протилежні думки </w:t>
      </w:r>
      <w:r w:rsidRPr="007C3146">
        <w:rPr>
          <w:rFonts w:eastAsiaTheme="minorHAnsi"/>
          <w:sz w:val="28"/>
          <w:szCs w:val="28"/>
          <w:lang w:val="uk-UA" w:eastAsia="en-US"/>
        </w:rPr>
        <w:lastRenderedPageBreak/>
        <w:t>про один і той же предмет у тих самих умовах не можуть бути одночасно істинними. Закон достатньої підстави зобов’язує оратора доводити істинність кожного висловленого положення, спираючись на достовірні факти або на обґрунтовані положення, істинність яких практично доведена. Судження не повинні бути необґрунтованими.</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Таким чином, відхилення від законів логіки знижує переконливість промови, ускладнює з’ясування істини у справі та може призвести навіть до неправильного вироку. «В основі судового красномовства покладено необхідність доказувати і переконувати»,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писав А. Коні [3, с. 325].</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Логічні засади становлять основу, яка забезпечує обґрунтованість, переконливість і доказовість судової промови. Знання та дотримання законів логіки є необхідною умовою для правильного мислення та точного вираження власних думок. У судовому процесі, де на основі доказів формуються висновки та приймаються рішення, знання логічних законів набуває особливого значення. Вони, перш за все, вимагають чіткого і точного визначення тих тез, що підлягають доказуванню. Закони логіки допомагають адвокатам формувати чіткі судження та підкріплювати їх доказовими матеріалами.</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Логічною основою ефективної суперечки є чітке визначення предмета та ясна позиція учасників дискусії. Якщо процесуальний опонент висловлює думку нечітко або занадто багатослівно, її слід повторити під час заперечень у більш зрозумілій і лаконічній формі, щоб стало очевидно, проти чого саме ведеться заперечення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проти тез чи методів доказування. Для цього необхідно уважно вислухати виступ супротивника. У полеміці велике значення має вміння слухати. Під час промови не слід перебивати оратора або демонструвати своє незадоволення мімікою чи жестами, хоча на практиці це ще іноді допускають адвокати та прокурори.</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Досліджуючи проблему судової промови адвоката у судочинстві України у мовному аспекті, то варто зазначити, що текст судової промови повинен відповідати загальним нормам мови, якою ведеться судочинство, а також вимогам до складання процесуальних документів. Це передбачає добре володіння державною мовою, а згідно з статтею 10 Конституції України </w:t>
      </w:r>
      <w:r w:rsidRPr="007C3146">
        <w:rPr>
          <w:rFonts w:eastAsiaTheme="minorHAnsi"/>
          <w:sz w:val="28"/>
          <w:szCs w:val="28"/>
          <w:lang w:val="uk-UA" w:eastAsia="en-US"/>
        </w:rPr>
        <w:lastRenderedPageBreak/>
        <w:t>державною мовою в Україні є українська мова [4], знання її правил і принципів, уміння користуватися професійною термінологією, забезпечувати системність і логічність викладу, а також оформлювати документи відповідно до встановленого порядку.</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При підготовці судових промов і процесуальних документів слід уникати лексичних повторів, термінів із багатьма значеннями, просторіччя та жаргону. Особливу увагу потрібно приділяти словам, що передають фактичні обставини злочинів. Для бездоганності судових промов необхідно дотримуватися професійної достеменності та мовної норми (нормативності), які тісно взаємопов’язані: лише точне відображення фактів і грамотне їх оформлення забезпечують створення достовірного документа.</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Однією з ключових рис судової промови є дотримання мовної норми. Літературна мова є найвищим досягненням мовної культури народу і служить засобом спілкування та розвитку суспільства протягом усієї історії. Вона має усталену систему лексичних, граматичних, фонетичних, орфографічних і орфоепічних норм. Щоб зрозуміти закономірності розвитку мови та оволодіти нормами сучасної української літературної мови, необхідно глибоко вивчати її лексичний склад, фонетичну систему, граматичну структуру та стилістичні особливості. Мовна норма визначається як науково встановлені та загальнообов’язкові правила використання слів і їх поєднання в мові.</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Стилістична норма визначає використання слова або форми в певному стилі чи з певним стилістичним забарвленням. Вона є частиною літературної норми і не суперечить їй, а лише обмежує застосування літературно унормованих одиниць у відповідному стилі мовлення. Володіння стилістичною нормою означає майстерне та точне використання літературної мови відповідно до стилю [2, с. 55].</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 xml:space="preserve">Лаконічність мови досягається точним вираженням думки, чітким формуванням, відсутністю зайвих слів; поширеною помилкою у судових промовах є багатослів'я. "Добре підготовлена промова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це на 9/10 виголошена промова", </w:t>
      </w:r>
      <w:r w:rsidRPr="007C3146">
        <w:rPr>
          <w:rFonts w:eastAsiaTheme="minorHAnsi"/>
          <w:sz w:val="28"/>
          <w:szCs w:val="28"/>
          <w:lang w:val="uk-UA" w:eastAsia="en-US"/>
        </w:rPr>
        <w:sym w:font="Symbol" w:char="F02D"/>
      </w:r>
      <w:r w:rsidRPr="007C3146">
        <w:rPr>
          <w:rFonts w:eastAsiaTheme="minorHAnsi"/>
          <w:sz w:val="28"/>
          <w:szCs w:val="28"/>
          <w:lang w:val="uk-UA" w:eastAsia="en-US"/>
        </w:rPr>
        <w:t xml:space="preserve"> пише Дейл Карнегі [1, с . 67].</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lastRenderedPageBreak/>
        <w:t>Мова правників має свої особливості. Вона відзначається специфічною юридичною термінологією та особливою структурою речень і тексту. Наприклад, часто використовуються дієслівні словосполучення, дієприслівникові та дієприкметникові звороти, а також пряма мова. Однією з характерних рис мови державних обвинувачів і адвокатів-захисників є застосування складних поширених речень. Проте надмірне ускладнення тексту такими конструкціями є небажаним.</w:t>
      </w:r>
    </w:p>
    <w:p w:rsidR="00076275" w:rsidRPr="007C3146" w:rsidRDefault="00076275" w:rsidP="00076275">
      <w:pPr>
        <w:spacing w:line="360" w:lineRule="auto"/>
        <w:ind w:firstLine="709"/>
        <w:jc w:val="both"/>
        <w:rPr>
          <w:rFonts w:eastAsiaTheme="minorHAnsi"/>
          <w:sz w:val="28"/>
          <w:szCs w:val="28"/>
          <w:lang w:val="uk-UA" w:eastAsia="en-US"/>
        </w:rPr>
      </w:pPr>
      <w:r w:rsidRPr="007C3146">
        <w:rPr>
          <w:rFonts w:eastAsiaTheme="minorHAnsi"/>
          <w:sz w:val="28"/>
          <w:szCs w:val="28"/>
          <w:lang w:val="uk-UA" w:eastAsia="en-US"/>
        </w:rPr>
        <w:t>Правова діяльність ґрунтується на психологічних, логічних та етичних міркуваннях. Вона потребує певної системності та психологічної організації, точних визначень, чітких суджень із доказовим обґрунтуванням, а також дотримання переконань і етичних принципів, сформованих у правничій сфері.</w:t>
      </w:r>
    </w:p>
    <w:p w:rsidR="00076275" w:rsidRDefault="00076275" w:rsidP="00076275">
      <w:pPr>
        <w:spacing w:line="360" w:lineRule="auto"/>
        <w:ind w:firstLine="709"/>
        <w:jc w:val="center"/>
        <w:rPr>
          <w:rFonts w:eastAsiaTheme="minorHAnsi"/>
          <w:b/>
          <w:bCs/>
          <w:sz w:val="28"/>
          <w:szCs w:val="28"/>
          <w:lang w:val="uk-UA" w:eastAsia="en-US"/>
        </w:rPr>
      </w:pPr>
    </w:p>
    <w:p w:rsidR="00076275" w:rsidRPr="007C3146" w:rsidRDefault="00076275" w:rsidP="00076275">
      <w:pPr>
        <w:spacing w:line="360" w:lineRule="auto"/>
        <w:ind w:firstLine="709"/>
        <w:jc w:val="center"/>
        <w:rPr>
          <w:rFonts w:eastAsiaTheme="minorHAnsi"/>
          <w:b/>
          <w:bCs/>
          <w:sz w:val="28"/>
          <w:szCs w:val="28"/>
          <w:lang w:val="uk-UA" w:eastAsia="en-US"/>
        </w:rPr>
      </w:pPr>
      <w:r w:rsidRPr="007C3146">
        <w:rPr>
          <w:rFonts w:eastAsiaTheme="minorHAnsi"/>
          <w:b/>
          <w:bCs/>
          <w:sz w:val="28"/>
          <w:szCs w:val="28"/>
          <w:lang w:val="uk-UA" w:eastAsia="en-US"/>
        </w:rPr>
        <w:t>СПИСОК ВИКОРИСТАНИХ ДЖЕРЕЛ</w:t>
      </w:r>
    </w:p>
    <w:p w:rsidR="00076275" w:rsidRPr="007C3146" w:rsidRDefault="00076275" w:rsidP="00076275">
      <w:pPr>
        <w:numPr>
          <w:ilvl w:val="0"/>
          <w:numId w:val="27"/>
        </w:numPr>
        <w:spacing w:line="360" w:lineRule="auto"/>
        <w:ind w:left="0" w:firstLine="709"/>
        <w:jc w:val="both"/>
        <w:rPr>
          <w:rFonts w:eastAsiaTheme="minorHAnsi"/>
          <w:sz w:val="28"/>
          <w:szCs w:val="28"/>
          <w:lang w:val="uk-UA" w:eastAsia="en-US"/>
        </w:rPr>
      </w:pPr>
      <w:r w:rsidRPr="007C3146">
        <w:rPr>
          <w:rFonts w:eastAsiaTheme="minorHAnsi"/>
          <w:sz w:val="28"/>
          <w:szCs w:val="28"/>
          <w:lang w:val="uk-UA" w:eastAsia="en-US"/>
        </w:rPr>
        <w:t>Кацавець Р. С. Культура мови у професійному спілкуванні юристів : навчальний посібник. К. : 2007. 140 с.</w:t>
      </w:r>
    </w:p>
    <w:p w:rsidR="00076275" w:rsidRPr="007C3146" w:rsidRDefault="00076275" w:rsidP="00076275">
      <w:pPr>
        <w:numPr>
          <w:ilvl w:val="0"/>
          <w:numId w:val="27"/>
        </w:numPr>
        <w:spacing w:line="360" w:lineRule="auto"/>
        <w:ind w:left="0" w:firstLine="709"/>
        <w:jc w:val="both"/>
        <w:rPr>
          <w:rFonts w:eastAsiaTheme="minorHAnsi"/>
          <w:sz w:val="28"/>
          <w:szCs w:val="28"/>
          <w:lang w:val="uk-UA" w:eastAsia="en-US"/>
        </w:rPr>
      </w:pPr>
      <w:r w:rsidRPr="007C3146">
        <w:rPr>
          <w:rFonts w:eastAsiaTheme="minorHAnsi"/>
          <w:sz w:val="28"/>
          <w:szCs w:val="28"/>
          <w:lang w:val="uk-UA" w:eastAsia="en-US"/>
        </w:rPr>
        <w:t>Кацавець Р. С. Мова у професії юриста. Підручник [для студ. вищ.навч.закл]. К.: Центр навчальної літератури, 2007. 304 с.</w:t>
      </w:r>
    </w:p>
    <w:p w:rsidR="00076275" w:rsidRPr="007C3146" w:rsidRDefault="00076275" w:rsidP="00076275">
      <w:pPr>
        <w:numPr>
          <w:ilvl w:val="0"/>
          <w:numId w:val="27"/>
        </w:numPr>
        <w:spacing w:line="360" w:lineRule="auto"/>
        <w:ind w:left="0" w:firstLine="709"/>
        <w:jc w:val="both"/>
        <w:rPr>
          <w:rFonts w:eastAsiaTheme="minorHAnsi"/>
          <w:sz w:val="28"/>
          <w:szCs w:val="28"/>
          <w:lang w:val="uk-UA" w:eastAsia="en-US"/>
        </w:rPr>
      </w:pPr>
      <w:r w:rsidRPr="007C3146">
        <w:rPr>
          <w:rFonts w:eastAsiaTheme="minorHAnsi"/>
          <w:sz w:val="28"/>
          <w:szCs w:val="28"/>
          <w:lang w:val="uk-UA" w:eastAsia="en-US"/>
        </w:rPr>
        <w:t>Коні А. Ф. Судові промови. Том 1. Київ: Грифонс. 460 с.</w:t>
      </w:r>
    </w:p>
    <w:p w:rsidR="00076275" w:rsidRPr="007C3146" w:rsidRDefault="00076275" w:rsidP="00076275">
      <w:pPr>
        <w:numPr>
          <w:ilvl w:val="0"/>
          <w:numId w:val="27"/>
        </w:numPr>
        <w:spacing w:line="360" w:lineRule="auto"/>
        <w:ind w:left="0" w:firstLine="709"/>
        <w:jc w:val="both"/>
        <w:rPr>
          <w:rFonts w:eastAsiaTheme="minorHAnsi"/>
          <w:sz w:val="28"/>
          <w:szCs w:val="28"/>
          <w:lang w:val="uk-UA" w:eastAsia="en-US"/>
        </w:rPr>
      </w:pPr>
      <w:r w:rsidRPr="007C3146">
        <w:rPr>
          <w:rFonts w:eastAsiaTheme="minorHAnsi"/>
          <w:sz w:val="28"/>
          <w:szCs w:val="28"/>
          <w:lang w:val="uk-UA" w:eastAsia="en-US"/>
        </w:rPr>
        <w:t xml:space="preserve">Конституція України [Електронний ресурс] // Відомості Верховної Ради України (ВВР). 1996.  № 30. с. 141. </w:t>
      </w:r>
      <w:r w:rsidRPr="007C3146">
        <w:rPr>
          <w:rFonts w:eastAsiaTheme="minorHAnsi"/>
          <w:sz w:val="28"/>
          <w:szCs w:val="28"/>
          <w:lang w:val="en-US" w:eastAsia="en-US"/>
        </w:rPr>
        <w:t>URL</w:t>
      </w:r>
      <w:r w:rsidRPr="007C3146">
        <w:rPr>
          <w:rFonts w:eastAsiaTheme="minorHAnsi"/>
          <w:sz w:val="28"/>
          <w:szCs w:val="28"/>
          <w:lang w:val="uk-UA" w:eastAsia="en-US"/>
        </w:rPr>
        <w:t xml:space="preserve">: </w:t>
      </w:r>
      <w:hyperlink r:id="rId83" w:anchor="Text" w:history="1">
        <w:r w:rsidRPr="007C3146">
          <w:rPr>
            <w:rFonts w:eastAsiaTheme="minorHAnsi"/>
            <w:sz w:val="28"/>
            <w:szCs w:val="28"/>
            <w:u w:val="single"/>
            <w:lang w:val="uk-UA" w:eastAsia="en-US"/>
          </w:rPr>
          <w:t>https://zakon.rada.gov.ua/laws/show/254%D0%BA/96-%D0%B2%D1%80#Text</w:t>
        </w:r>
      </w:hyperlink>
      <w:r w:rsidRPr="007C3146">
        <w:rPr>
          <w:rFonts w:eastAsiaTheme="minorHAnsi"/>
          <w:sz w:val="28"/>
          <w:szCs w:val="28"/>
          <w:lang w:val="uk-UA" w:eastAsia="en-US"/>
        </w:rPr>
        <w:t xml:space="preserve"> (дата звернення: 30 11.2025)</w:t>
      </w:r>
    </w:p>
    <w:p w:rsidR="00076275" w:rsidRPr="007C3146" w:rsidRDefault="00076275" w:rsidP="00076275">
      <w:pPr>
        <w:numPr>
          <w:ilvl w:val="0"/>
          <w:numId w:val="27"/>
        </w:numPr>
        <w:spacing w:line="360" w:lineRule="auto"/>
        <w:ind w:left="0" w:firstLine="709"/>
        <w:jc w:val="both"/>
        <w:rPr>
          <w:rFonts w:eastAsiaTheme="minorHAnsi"/>
          <w:sz w:val="28"/>
          <w:szCs w:val="28"/>
          <w:lang w:val="uk-UA" w:eastAsia="en-US"/>
        </w:rPr>
      </w:pPr>
      <w:r w:rsidRPr="007C3146">
        <w:rPr>
          <w:rFonts w:eastAsiaTheme="minorHAnsi"/>
          <w:sz w:val="28"/>
          <w:szCs w:val="28"/>
          <w:lang w:val="uk-UA" w:eastAsia="en-US"/>
        </w:rPr>
        <w:t>Молдован В. В. Судова риторика: практикум. К.: Алерта, 2006.158 с.</w:t>
      </w:r>
    </w:p>
    <w:p w:rsidR="00076275" w:rsidRDefault="00076275" w:rsidP="00076275">
      <w:pPr>
        <w:spacing w:line="360" w:lineRule="auto"/>
        <w:ind w:firstLine="709"/>
        <w:jc w:val="both"/>
        <w:rPr>
          <w:rFonts w:eastAsiaTheme="minorHAnsi"/>
          <w:sz w:val="28"/>
          <w:szCs w:val="28"/>
          <w:lang w:val="uk-UA" w:eastAsia="en-US"/>
        </w:rPr>
      </w:pPr>
    </w:p>
    <w:p w:rsidR="00076275" w:rsidRPr="00FD38BE" w:rsidRDefault="00076275" w:rsidP="00076275">
      <w:pPr>
        <w:spacing w:line="360" w:lineRule="auto"/>
        <w:ind w:firstLine="709"/>
        <w:jc w:val="both"/>
        <w:rPr>
          <w:sz w:val="28"/>
          <w:szCs w:val="28"/>
          <w:lang w:val="uk-UA"/>
        </w:rPr>
      </w:pPr>
    </w:p>
    <w:p w:rsidR="00076275" w:rsidRPr="007C3146" w:rsidRDefault="00076275" w:rsidP="00076275">
      <w:pPr>
        <w:spacing w:line="360" w:lineRule="auto"/>
        <w:ind w:firstLine="709"/>
        <w:jc w:val="center"/>
        <w:rPr>
          <w:rFonts w:eastAsiaTheme="minorHAnsi"/>
          <w:b/>
          <w:iCs/>
          <w:kern w:val="2"/>
          <w:sz w:val="28"/>
          <w:szCs w:val="28"/>
          <w:lang w:val="uk-UA" w:eastAsia="en-US"/>
        </w:rPr>
      </w:pPr>
      <w:r w:rsidRPr="007C3146">
        <w:rPr>
          <w:rFonts w:eastAsiaTheme="minorHAnsi"/>
          <w:b/>
          <w:iCs/>
          <w:kern w:val="2"/>
          <w:sz w:val="28"/>
          <w:szCs w:val="28"/>
          <w:lang w:val="uk-UA" w:eastAsia="en-US"/>
        </w:rPr>
        <w:t xml:space="preserve">СКЛАДОВІ КОМПОНЕНТИ АРГУМЕНТАЦІЙНОЇ СТРУКТУРИ ПРАВОВОЇ ПОЗИЦІЇ СУДУ </w:t>
      </w:r>
    </w:p>
    <w:p w:rsidR="00076275" w:rsidRPr="007C3146" w:rsidRDefault="00076275" w:rsidP="00076275">
      <w:pPr>
        <w:spacing w:line="360" w:lineRule="auto"/>
        <w:ind w:firstLine="709"/>
        <w:jc w:val="center"/>
        <w:rPr>
          <w:b/>
          <w:i/>
          <w:kern w:val="2"/>
          <w:sz w:val="28"/>
          <w:szCs w:val="28"/>
          <w:lang w:val="uk-UA" w:eastAsia="en-US"/>
        </w:rPr>
      </w:pPr>
      <w:r w:rsidRPr="007C3146">
        <w:rPr>
          <w:b/>
          <w:i/>
          <w:kern w:val="2"/>
          <w:sz w:val="28"/>
          <w:szCs w:val="28"/>
          <w:lang w:val="uk-UA" w:eastAsia="en-US"/>
        </w:rPr>
        <w:t>Тульчинський Н. Д.</w:t>
      </w:r>
    </w:p>
    <w:p w:rsidR="00076275" w:rsidRPr="007C3146" w:rsidRDefault="00076275" w:rsidP="00076275">
      <w:pPr>
        <w:spacing w:line="360" w:lineRule="auto"/>
        <w:ind w:firstLine="709"/>
        <w:jc w:val="center"/>
        <w:rPr>
          <w:i/>
          <w:kern w:val="2"/>
          <w:sz w:val="28"/>
          <w:szCs w:val="28"/>
          <w:lang w:val="uk-UA" w:eastAsia="en-US"/>
        </w:rPr>
      </w:pPr>
      <w:r w:rsidRPr="007C3146">
        <w:rPr>
          <w:i/>
          <w:kern w:val="2"/>
          <w:sz w:val="28"/>
          <w:szCs w:val="28"/>
          <w:lang w:val="uk-UA" w:eastAsia="en-US"/>
        </w:rPr>
        <w:t xml:space="preserve">Студент ІІ курсу магістратури, </w:t>
      </w:r>
    </w:p>
    <w:p w:rsidR="00076275" w:rsidRPr="007C3146" w:rsidRDefault="00076275" w:rsidP="00076275">
      <w:pPr>
        <w:spacing w:line="360" w:lineRule="auto"/>
        <w:ind w:firstLine="709"/>
        <w:jc w:val="center"/>
        <w:rPr>
          <w:i/>
          <w:kern w:val="2"/>
          <w:sz w:val="28"/>
          <w:szCs w:val="28"/>
          <w:lang w:val="uk-UA" w:eastAsia="en-US"/>
        </w:rPr>
      </w:pPr>
      <w:r w:rsidRPr="007C3146">
        <w:rPr>
          <w:i/>
          <w:kern w:val="2"/>
          <w:sz w:val="28"/>
          <w:szCs w:val="28"/>
          <w:lang w:val="uk-UA" w:eastAsia="en-US"/>
        </w:rPr>
        <w:t>спеціальність 2</w:t>
      </w:r>
      <w:r w:rsidRPr="007C3146">
        <w:rPr>
          <w:i/>
          <w:kern w:val="2"/>
          <w:sz w:val="28"/>
          <w:szCs w:val="28"/>
          <w:lang w:eastAsia="en-US"/>
        </w:rPr>
        <w:t>6</w:t>
      </w:r>
      <w:r w:rsidRPr="007C3146">
        <w:rPr>
          <w:i/>
          <w:kern w:val="2"/>
          <w:sz w:val="28"/>
          <w:szCs w:val="28"/>
          <w:lang w:val="uk-UA" w:eastAsia="en-US"/>
        </w:rPr>
        <w:t>2 «Правоохоронна діяльність»,,</w:t>
      </w:r>
    </w:p>
    <w:p w:rsidR="00076275" w:rsidRPr="007C3146" w:rsidRDefault="00076275" w:rsidP="00076275">
      <w:pPr>
        <w:spacing w:line="360" w:lineRule="auto"/>
        <w:ind w:firstLine="709"/>
        <w:jc w:val="center"/>
        <w:rPr>
          <w:i/>
          <w:kern w:val="2"/>
          <w:sz w:val="28"/>
          <w:szCs w:val="28"/>
          <w:lang w:val="uk-UA" w:eastAsia="en-US"/>
        </w:rPr>
      </w:pPr>
      <w:r w:rsidRPr="007C3146">
        <w:rPr>
          <w:i/>
          <w:kern w:val="2"/>
          <w:sz w:val="28"/>
          <w:szCs w:val="28"/>
          <w:lang w:val="uk-UA" w:eastAsia="en-US"/>
        </w:rPr>
        <w:lastRenderedPageBreak/>
        <w:t>Міжнародний університет,</w:t>
      </w:r>
    </w:p>
    <w:p w:rsidR="00076275" w:rsidRPr="007C3146" w:rsidRDefault="00076275" w:rsidP="00076275">
      <w:pPr>
        <w:spacing w:line="360" w:lineRule="auto"/>
        <w:ind w:firstLine="709"/>
        <w:jc w:val="center"/>
        <w:rPr>
          <w:i/>
          <w:kern w:val="2"/>
          <w:sz w:val="28"/>
          <w:szCs w:val="28"/>
          <w:lang w:val="uk-UA" w:eastAsia="en-US"/>
        </w:rPr>
      </w:pPr>
      <w:r w:rsidRPr="007C3146">
        <w:rPr>
          <w:i/>
          <w:kern w:val="2"/>
          <w:sz w:val="28"/>
          <w:szCs w:val="28"/>
          <w:lang w:val="uk-UA" w:eastAsia="en-US"/>
        </w:rPr>
        <w:t>м. Одеса, Україна</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Правова позиція суду є результатом складного інтелектуального процесу, у якому юридична аргументація виступає системоутворюючим елементом. Саме завдяки аргументації правова позиція набуває логічної послідовності, переконливості та легітимності. Аргументаційна структура правової позиції суду формується на основі поєднання трьох взаємопов’язаних складових — логічних, ціннісних і доказових елементів, кожна з яких виконує власну, але взаємодоповнювальну функцію.</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Цілеспрямованість правничої аргументації зумовлена орієнтованістю на досягнення конкретного результату – переконання суду, опонентів, клієнта чи інших учасників процесу в правильності правової позиції. Адвокат повинен чітко усвідомлювати мету свого доведення, а вибір аргументів має бути оптимальним для досягнення поставленої мети. Не варто відступати від головної теми – концентрація на головних аспектах справи підвищує ефективність аргументації. Приміром, якщо адвокат представляє клієнта у справі про розірвання договору через істотне його порушення контрагентом, він має зосередитися саме на доведенні факту порушення, а не на моральних чи емоційних аспектах ситуації [4, с. 19].</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Логічний компонент правової позиції визначає раціональну структуру міркувань суду, що лежать в основі прийнятого рішення.</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Він забезпечує внутрішню узгодженість правової аргументації, послідовність викладення мотивів і чіткий причинно-наслідковий зв’язок між фактичними обставинами справи, нормами права та висновками суду.</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На думку М. В. Афанасьєвої, «юристи застосовують у своїй промові елементи переконання, багато в чому інстинктивно покладаючись на підходи, перевірені власним досвідом спроб і помилок. При цьому методи, тактики і стратегії переконливого виступу в суді, описані, проаналізовані та широко використовувалися ще античними філософами, юристами і риторами понад 2 500 років тому» [1, с. 4].</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lastRenderedPageBreak/>
        <w:t>До основних логічних форм, що використовуються в аргументації суду слід відносити наступні:</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дедукція –  застосування загальної норми до конкретного випадку;</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індукція – узагальнення на основі множини фактів або рішень;</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аналогія – пошук правового рішення на основі схожості фактичних і нормативних елементів;</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синтез і аналіз – розчленування складного правового явища і подальше поєднання його частин у цілісне рішення.</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М. І. Козюбра, наголошує «…це свідчить про те, що роль “об’єктивної істини” в судовому процесі не варто перебільшувати. Якби, припустімо, адвокат ставив за мету тільки встановлення “об’єктивної істини”, він, фактично, ухилявся би від виконання своєї основної функції – захисту свого клієнта (підзахисного). Не обмежується тільки пошуком істини і буквою закону також обвинувач, обґрунтовуючи свої позиції. Завдання ж суду полягає у тому, щоб зважити аргументи сторін і зробити вибір між ними. Такий вибір відбувається здебільшого на основі не математично точної реконструкції минулих подій, а найпереконливішого доведення їхньої вірогідності [2, с. 7].</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В свою чергу логічна структура аргументації включає три базові етапи:</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встановлення фактів (фактична основа справи);</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правова кваліфікація (вибір і тлумачення норм, що підлягають застосуванню);</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висновок (обґрунтоване правове судження – правова позиція суду).</w:t>
      </w:r>
    </w:p>
    <w:p w:rsidR="00076275" w:rsidRPr="007C3146" w:rsidRDefault="00076275" w:rsidP="00076275">
      <w:pPr>
        <w:spacing w:line="360" w:lineRule="auto"/>
        <w:ind w:firstLine="709"/>
        <w:jc w:val="both"/>
        <w:rPr>
          <w:rFonts w:eastAsiaTheme="minorHAnsi"/>
          <w:bCs/>
          <w:kern w:val="2"/>
          <w:sz w:val="28"/>
          <w:szCs w:val="28"/>
          <w:lang w:val="uk-UA" w:eastAsia="en-US"/>
        </w:rPr>
      </w:pPr>
      <w:r w:rsidRPr="007C3146">
        <w:rPr>
          <w:rFonts w:eastAsiaTheme="minorHAnsi"/>
          <w:bCs/>
          <w:kern w:val="2"/>
          <w:sz w:val="28"/>
          <w:szCs w:val="28"/>
          <w:lang w:val="uk-UA" w:eastAsia="en-US"/>
        </w:rPr>
        <w:t>Завдяки дотриманню логічної послідовності судове рішення набуває якості раціональної переконливості, що є необхідною умовою його сприйняття суспільством як об’єктивного та справедливого.</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В якості підтвердження наведених позицій, можна пригадати вислів Ю. В. Кривицького, який вказував, що «юридична аргументація сприяє пошуку способів найбільш ефективного вирішення спірних ситуацій у юридичній діяльності, одночасно виконуючи функцію збереження та поширення правового досвіду й традицій» [3, с. 42].</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lastRenderedPageBreak/>
        <w:t>Але жодна правова позиція не може бути зведена лише до формальної логіки. Вона завжди ґрунтується на правових цінностях, що відображають фундаментальні принципи права і морально-соціальні орієнтири суспільства.</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О. Чернобай пише: «…важливою умовою реалізації аргументації є доцільне та ефективне поєднання логіки й емоційно-психологічних прийомів переконання. Логічна істинність міркувань не є істинністю загального висновку, а тому вимагає більш гнучкого підходу. Природа судочинства передбачає, що ніякі докази не мають для суду заздалегідь встановленої сили, а тому саме від переконання суду залежить успіх аргументації» [5, с. 40].</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Ціннісний компонент аргументації забезпечує її легітимність і гуманістичний зміст, оскільки він апелює до вищих принципів, які стоять над позитивним законом.</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До таких принципів належать: верховенство права; справедливість; пропорційність; правова визначеність; добросовісність і рівність сторін.</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Ціннісний елемент проявляється насамперед у мотивувальній частині судового рішення, де суд пояснює, чому певне тлумачення норми є більш справедливим, гуманним або узгодженим із принципами права. Таким чином, ціннісна складова надає аргументації етичної глибини й робить правову позицію не лише логічно, але й морально обґрунтованою.</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Особливе значення ціннісного виміру виявляється у ситуаціях колізії норм або прогалин у праві, коли суд змушений апелювати не до букви закону, а до його духу. У таких випадках аргументація набуває аксіологічного характеру, вона спирається на природно-правові принципи, які виступають критерієм розумності правового рішення.</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За науковою позицією Ю. В. Кривицького, «аргументація є універсальною для всієї сфери права логіко-методологічною процедурою пошуку та встановлення переконливих підстав шляхом розмірковування щодо юридично значущих подій, їх правової оцінки та ухвалення адекватних рішень» [3, с. 36].</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 xml:space="preserve">Окремо, слід звернути увагу на те, що доказовий елемент є практичним і емпіричним підґрунтям правової позиції суду. Він включає встановлення, </w:t>
      </w:r>
      <w:r w:rsidRPr="007C3146">
        <w:rPr>
          <w:rFonts w:eastAsiaTheme="minorHAnsi"/>
          <w:kern w:val="2"/>
          <w:sz w:val="28"/>
          <w:szCs w:val="28"/>
          <w:lang w:val="uk-UA" w:eastAsia="en-US"/>
        </w:rPr>
        <w:lastRenderedPageBreak/>
        <w:t>оцінку та логічне осмислення доказів, що підтверджують або спростовують певні фактичні обставини.</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Доказування і аргументація є процеси взаємопов’язані, але не тотожні: доказування має фактичний характер, тоді як аргументація більше інтелектуально-оцінювальний. Суд не лише фіксує факти, а й пояснює, чому саме ці факти є юридично значущими і як вони впливають на правову оцінку справи.</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Взаємозв’язок доказових і логічних елементів забезпечує епістемічну надійність судового рішення, тобто його відповідність об’єктивній реальності та взаємозв’язок із ціннісними категоріями, такими як: легітимність і моральна виправданість.</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Якість правової позиції прямо залежить від того, наскільки збалансовано в ній поєднані докази, логіка і цінності. Якщо хоча б один елемент відсутній або недоопрацьований, аргументація втрачає цілісність і переконливість.</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У результаті дослідження особливостей юридичної аргументації як складової формування правової позиції встановлено, що ці категорії перебувають у нерозривному взаємозв’язку, утворюючи єдиний інтелектуально-комунікативний процес правового мислення. Юридична аргументація виступає механізмом побудови, обґрунтування та комунікації правової позиції, тоді як правова позиція результатом і концентрованим вираженням аргументаційної діяльності суду або іншого суб’єкта правозастосування.</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Правова позиція є не просто формулюванням кінцевого висновку, а інтелектуальною моделлю правосуддя, яка містить у собі мотиви, логіку та принципи, на яких ґрунтується рішення. Вона забезпечує сталість і передбачуваність судової практики, водночас дозволяючи праву розвиватися в динамічних соціальних умовах.</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 xml:space="preserve">О. Ю. Щербина слушно підкреслює, що «…стосовно юриспруденції аргументація є універсальною для всієї сфери права, логіко-методологічною процедурою пошуку та встановлення переконливих підстав судженням щодо юридично значущих подій, їх правової оцінки та ухвалення адекватних їм рішень. В теоретичних розробках у царині права поняття «аргументація» постає </w:t>
      </w:r>
      <w:r w:rsidRPr="007C3146">
        <w:rPr>
          <w:rFonts w:eastAsiaTheme="minorHAnsi"/>
          <w:kern w:val="2"/>
          <w:sz w:val="28"/>
          <w:szCs w:val="28"/>
          <w:lang w:val="uk-UA" w:eastAsia="en-US"/>
        </w:rPr>
        <w:lastRenderedPageBreak/>
        <w:t>підґрунтям для формування теорії правничої аргументації та аргументативного підходу до розуміння права» [6, c. 65].</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Юридична аргументація у структурі правової позиції поєднує три ключові елементи: логічний, ціннісний і доказовий.</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Логічний елемент гарантує раціональність і структурну узгодженість міркувань суду, демонструючи послідовність між фактами, нормами і висновками.</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Ціннісний елемент забезпечує моральну легітимність судового рішення, оскільки спирається на фундаментальні принципи права: верховенство права, справедливість, добросовісність і пропорційність.</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Доказовий елемент надає аргументації емпіричної переконливості, підкріплюючи правову позицію перевіреними фактами та доказами.</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Співіснування цих трьох складових формує інтеграційну аргументаційну модель правової позиції, у межах якої поєднуються раціональні, моральні та емпіричні засади правозастосування. Саме така модель дозволяє суду не лише тлумачити закон, а й реалізовувати його у контексті цінностей права, що підвищує довіру до правосуддя та забезпечує верховенство права у практичному вимірі.</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Отже, юридична аргументація виступає інтелектуальною і методологічною основою формування правової позиції суду. Вона забезпечує баланс між формальною логікою та ціннісною природою права, перетворюючи судове рішення на результат не лише правового, а й морального осмислення суспільних відносин.</w:t>
      </w:r>
    </w:p>
    <w:p w:rsidR="00076275" w:rsidRPr="007C3146" w:rsidRDefault="00076275" w:rsidP="00076275">
      <w:pPr>
        <w:spacing w:line="360" w:lineRule="auto"/>
        <w:ind w:firstLine="709"/>
        <w:jc w:val="both"/>
        <w:rPr>
          <w:rFonts w:eastAsiaTheme="minorHAnsi"/>
          <w:kern w:val="2"/>
          <w:sz w:val="28"/>
          <w:szCs w:val="28"/>
          <w:lang w:val="uk-UA" w:eastAsia="en-US"/>
        </w:rPr>
      </w:pPr>
      <w:r w:rsidRPr="007C3146">
        <w:rPr>
          <w:rFonts w:eastAsiaTheme="minorHAnsi"/>
          <w:kern w:val="2"/>
          <w:sz w:val="28"/>
          <w:szCs w:val="28"/>
          <w:lang w:val="uk-UA" w:eastAsia="en-US"/>
        </w:rPr>
        <w:t>Таким чином, якість аргументації визначає не лише переконливість конкретного рішення, а й рівень розвитку правової культури та довіри громадян до судової системи.</w:t>
      </w:r>
    </w:p>
    <w:p w:rsidR="00076275" w:rsidRDefault="00076275" w:rsidP="00076275">
      <w:pPr>
        <w:spacing w:line="360" w:lineRule="auto"/>
        <w:ind w:firstLine="709"/>
        <w:jc w:val="center"/>
        <w:rPr>
          <w:rFonts w:eastAsiaTheme="minorHAnsi"/>
          <w:b/>
          <w:bCs/>
          <w:kern w:val="2"/>
          <w:sz w:val="28"/>
          <w:szCs w:val="28"/>
          <w:lang w:val="uk-UA" w:eastAsia="en-US"/>
        </w:rPr>
      </w:pPr>
    </w:p>
    <w:p w:rsidR="00076275" w:rsidRPr="007C3146" w:rsidRDefault="00076275" w:rsidP="00076275">
      <w:pPr>
        <w:spacing w:line="360" w:lineRule="auto"/>
        <w:ind w:firstLine="709"/>
        <w:jc w:val="center"/>
        <w:rPr>
          <w:rFonts w:eastAsiaTheme="minorHAnsi"/>
          <w:b/>
          <w:bCs/>
          <w:kern w:val="2"/>
          <w:sz w:val="28"/>
          <w:szCs w:val="28"/>
          <w:lang w:val="uk-UA" w:eastAsia="en-US"/>
        </w:rPr>
      </w:pPr>
      <w:r w:rsidRPr="007C3146">
        <w:rPr>
          <w:rFonts w:eastAsiaTheme="minorHAnsi"/>
          <w:b/>
          <w:bCs/>
          <w:kern w:val="2"/>
          <w:sz w:val="28"/>
          <w:szCs w:val="28"/>
          <w:lang w:val="uk-UA" w:eastAsia="en-US"/>
        </w:rPr>
        <w:t>СПИСОК ВИКОРИСТАНИХ ДЖЕРЕЛ</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t>Афанасьєва М. В. Переконливий виступ в суді: монографія / Марьяна Афанасьєва. Одеса. Видавництво «Юридика», 2024. 122 с.</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lastRenderedPageBreak/>
        <w:t>Козюбра М. І. Моделі (типи) юридичної аргументації. Наукові записки НаУКМА. Юридичні науки. 2013. Т. 144-145. С. 3-8.</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t xml:space="preserve">Кривицький Ю. В. Юридична аргументація: доктринальне розуміння та методологічний потенціал. </w:t>
      </w:r>
      <w:r w:rsidRPr="007C3146">
        <w:rPr>
          <w:i/>
          <w:iCs/>
          <w:sz w:val="28"/>
          <w:szCs w:val="28"/>
          <w:lang w:eastAsia="ar-SA"/>
        </w:rPr>
        <w:t xml:space="preserve">Філософські та методологічні проблеми права. </w:t>
      </w:r>
      <w:r w:rsidRPr="007C3146">
        <w:rPr>
          <w:sz w:val="28"/>
          <w:szCs w:val="28"/>
          <w:lang w:eastAsia="ar-SA"/>
        </w:rPr>
        <w:t>№2 (18). 2019. С. 36-45.</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t>Манько Д. Г., Бойко Н. І. Правнича аргументація адвоката в системі категорій сучасної юриспруденції. Держава і регіони. 2024. № 4. С. 17-23.</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t xml:space="preserve">Чорнобай О. Аргументативна практика у юридичній діяльності. </w:t>
      </w:r>
      <w:r w:rsidRPr="007C3146">
        <w:rPr>
          <w:i/>
          <w:iCs/>
          <w:sz w:val="28"/>
          <w:szCs w:val="28"/>
          <w:lang w:eastAsia="ar-SA"/>
        </w:rPr>
        <w:t>Вісник Національного університету “Львівська політехніка”. Серія: “Юридичні науки”</w:t>
      </w:r>
      <w:r w:rsidRPr="007C3146">
        <w:rPr>
          <w:sz w:val="28"/>
          <w:szCs w:val="28"/>
          <w:lang w:eastAsia="ar-SA"/>
        </w:rPr>
        <w:t>. №4 (32). 2021. С. 37-42.</w:t>
      </w:r>
    </w:p>
    <w:p w:rsidR="00076275" w:rsidRPr="007C3146" w:rsidRDefault="00076275" w:rsidP="00076275">
      <w:pPr>
        <w:numPr>
          <w:ilvl w:val="0"/>
          <w:numId w:val="28"/>
        </w:numPr>
        <w:suppressAutoHyphens/>
        <w:spacing w:line="360" w:lineRule="auto"/>
        <w:ind w:left="0" w:firstLine="709"/>
        <w:jc w:val="both"/>
        <w:rPr>
          <w:sz w:val="28"/>
          <w:szCs w:val="28"/>
          <w:lang w:eastAsia="ar-SA"/>
        </w:rPr>
      </w:pPr>
      <w:r w:rsidRPr="007C3146">
        <w:rPr>
          <w:sz w:val="28"/>
          <w:szCs w:val="28"/>
          <w:lang w:eastAsia="ar-SA"/>
        </w:rPr>
        <w:t>Щербина О. Ю. Специфіка витлумачення терміна «юридична аргументація» у логіко-юридичних студіях. Філософські проблеми гуманітарних наук. 2016. № 25. С. 61–66.</w:t>
      </w:r>
    </w:p>
    <w:p w:rsidR="00076275" w:rsidRDefault="00076275" w:rsidP="00076275">
      <w:pPr>
        <w:spacing w:line="360" w:lineRule="auto"/>
        <w:ind w:firstLine="709"/>
        <w:rPr>
          <w:bCs/>
          <w:sz w:val="28"/>
          <w:szCs w:val="28"/>
          <w:lang w:val="uk-UA"/>
        </w:rPr>
      </w:pPr>
    </w:p>
    <w:p w:rsidR="00076275" w:rsidRPr="007C3146" w:rsidRDefault="00076275" w:rsidP="00076275">
      <w:pPr>
        <w:spacing w:line="360" w:lineRule="auto"/>
        <w:ind w:firstLine="709"/>
        <w:rPr>
          <w:rFonts w:eastAsiaTheme="minorHAnsi"/>
          <w:kern w:val="2"/>
          <w:sz w:val="28"/>
          <w:szCs w:val="28"/>
          <w:lang w:val="uk-UA" w:eastAsia="en-US"/>
        </w:rPr>
      </w:pPr>
    </w:p>
    <w:p w:rsidR="00076275" w:rsidRPr="002C43C6" w:rsidRDefault="00076275" w:rsidP="00076275">
      <w:pPr>
        <w:spacing w:line="360" w:lineRule="auto"/>
        <w:ind w:firstLine="709"/>
        <w:jc w:val="center"/>
        <w:rPr>
          <w:b/>
          <w:i/>
          <w:kern w:val="2"/>
          <w:sz w:val="28"/>
          <w:szCs w:val="28"/>
          <w:lang w:val="uk-UA" w:eastAsia="en-US"/>
        </w:rPr>
      </w:pPr>
      <w:r w:rsidRPr="002C43C6">
        <w:rPr>
          <w:rFonts w:eastAsiaTheme="minorHAnsi"/>
          <w:b/>
          <w:iCs/>
          <w:kern w:val="2"/>
          <w:sz w:val="28"/>
          <w:szCs w:val="28"/>
          <w:lang w:val="uk-UA" w:eastAsia="en-US"/>
        </w:rPr>
        <w:t>ПРИНЦИПИ ЛЕГАЛІЗАЦІЇ ЦИФРОВИХ ФІНАНСОВИХ АКТИВІВ ЯК ОДНІ З ЗАСАД ЗАБЕЗПЕЧЕННЯ СТІЙКОСТІ СУЧАСНОЇ ДЕРЖАВИ</w:t>
      </w:r>
    </w:p>
    <w:p w:rsidR="00076275" w:rsidRPr="002C43C6" w:rsidRDefault="00076275" w:rsidP="00076275">
      <w:pPr>
        <w:spacing w:line="360" w:lineRule="auto"/>
        <w:ind w:firstLine="709"/>
        <w:jc w:val="center"/>
        <w:rPr>
          <w:b/>
          <w:i/>
          <w:kern w:val="2"/>
          <w:sz w:val="28"/>
          <w:szCs w:val="28"/>
          <w:lang w:val="uk-UA" w:eastAsia="en-US"/>
        </w:rPr>
      </w:pPr>
      <w:r w:rsidRPr="002C43C6">
        <w:rPr>
          <w:b/>
          <w:i/>
          <w:kern w:val="2"/>
          <w:sz w:val="28"/>
          <w:szCs w:val="28"/>
          <w:lang w:val="uk-UA" w:eastAsia="en-US"/>
        </w:rPr>
        <w:t>Устінов Д. М.,</w:t>
      </w:r>
    </w:p>
    <w:p w:rsidR="00076275" w:rsidRPr="002C43C6" w:rsidRDefault="00076275" w:rsidP="00076275">
      <w:pPr>
        <w:spacing w:line="360" w:lineRule="auto"/>
        <w:ind w:firstLine="709"/>
        <w:jc w:val="center"/>
        <w:rPr>
          <w:i/>
          <w:kern w:val="2"/>
          <w:sz w:val="28"/>
          <w:szCs w:val="28"/>
          <w:lang w:val="uk-UA" w:eastAsia="en-US"/>
        </w:rPr>
      </w:pPr>
      <w:r w:rsidRPr="002C43C6">
        <w:rPr>
          <w:i/>
          <w:kern w:val="2"/>
          <w:sz w:val="28"/>
          <w:szCs w:val="28"/>
          <w:lang w:val="uk-UA" w:eastAsia="en-US"/>
        </w:rPr>
        <w:t>аспірант кафедри державно-правових дисциплін,</w:t>
      </w:r>
    </w:p>
    <w:p w:rsidR="00076275" w:rsidRPr="002C43C6" w:rsidRDefault="00076275" w:rsidP="00076275">
      <w:pPr>
        <w:spacing w:line="360" w:lineRule="auto"/>
        <w:ind w:firstLine="709"/>
        <w:jc w:val="center"/>
        <w:rPr>
          <w:i/>
          <w:kern w:val="2"/>
          <w:sz w:val="28"/>
          <w:szCs w:val="28"/>
          <w:lang w:val="uk-UA" w:eastAsia="en-US"/>
        </w:rPr>
      </w:pPr>
      <w:r w:rsidRPr="002C43C6">
        <w:rPr>
          <w:i/>
          <w:kern w:val="2"/>
          <w:sz w:val="28"/>
          <w:szCs w:val="28"/>
          <w:lang w:val="uk-UA" w:eastAsia="en-US"/>
        </w:rPr>
        <w:t>Міжнародний університет,</w:t>
      </w:r>
    </w:p>
    <w:p w:rsidR="00076275" w:rsidRPr="002C43C6" w:rsidRDefault="00076275" w:rsidP="00076275">
      <w:pPr>
        <w:spacing w:line="360" w:lineRule="auto"/>
        <w:ind w:firstLine="709"/>
        <w:jc w:val="center"/>
        <w:rPr>
          <w:i/>
          <w:kern w:val="2"/>
          <w:sz w:val="28"/>
          <w:szCs w:val="28"/>
          <w:lang w:val="uk-UA" w:eastAsia="en-US"/>
        </w:rPr>
      </w:pPr>
      <w:r w:rsidRPr="002C43C6">
        <w:rPr>
          <w:i/>
          <w:kern w:val="2"/>
          <w:sz w:val="28"/>
          <w:szCs w:val="28"/>
          <w:lang w:val="uk-UA" w:eastAsia="en-US"/>
        </w:rPr>
        <w:t>м. Одеса, Україна</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У контексті європейської інтеграції Україна має не лише адаптувати національне законодавство до відповідних європейських стандартів, а й створити дієві механізми державного нагляду за новими учасниками фінансового ринку, включаючи фінтех-компанії. Процес цифровізації вимагає приведення правового регулювання у відповідність до нових ризиків, що виникають під час обігу цифрових фінансових активів, обробки персональних даних і забезпечення кібербезпеки.</w:t>
      </w:r>
    </w:p>
    <w:p w:rsidR="00076275" w:rsidRPr="002C43C6" w:rsidRDefault="00076275" w:rsidP="00076275">
      <w:pPr>
        <w:spacing w:line="360" w:lineRule="auto"/>
        <w:ind w:firstLine="709"/>
        <w:jc w:val="both"/>
        <w:rPr>
          <w:rFonts w:eastAsiaTheme="minorHAnsi"/>
          <w:kern w:val="2"/>
          <w:sz w:val="28"/>
          <w:szCs w:val="28"/>
          <w:lang w:val="uk-UA" w:eastAsia="en-US"/>
        </w:rPr>
      </w:pPr>
      <w:bookmarkStart w:id="7" w:name="_Hlk214973216"/>
      <w:r w:rsidRPr="002C43C6">
        <w:rPr>
          <w:rFonts w:eastAsiaTheme="minorHAnsi"/>
          <w:kern w:val="2"/>
          <w:sz w:val="28"/>
          <w:szCs w:val="28"/>
          <w:lang w:val="uk-UA" w:eastAsia="en-US"/>
        </w:rPr>
        <w:t xml:space="preserve">Адаптація національної правової системи до сучасних міжнародних стандартів позитивної легалізації цифрових фінансових активів передбачає застосування низки загальних принципів, що визначають методологію та </w:t>
      </w:r>
      <w:r w:rsidRPr="002C43C6">
        <w:rPr>
          <w:rFonts w:eastAsiaTheme="minorHAnsi"/>
          <w:kern w:val="2"/>
          <w:sz w:val="28"/>
          <w:szCs w:val="28"/>
          <w:lang w:val="uk-UA" w:eastAsia="en-US"/>
        </w:rPr>
        <w:lastRenderedPageBreak/>
        <w:t>філософію нормативного врегулювання у цій сфері. До таких принципів, на нашу думку, слід відносити: поміркованість, комплексність, людиноцентризм, економічну доцільність, прозорість, передбачуваність, кіберстійкість і правовідповідність. Їх наукове розуміння формує основу для формування ефективної, збалансованої та інтегрованої моделі правового регулювання в Україні.</w:t>
      </w:r>
    </w:p>
    <w:bookmarkEnd w:id="7"/>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Принцип поміркованості означає необхідність підтримання рівноваги між жорсткістю регуляторних вимог і свободою технологічного розвитку. У сфері цифрових активів він виключає як регуляторний вакуум, так і надмірне обмеження ринку, забезпечуючи пропорційність заходів контролю рівню потенційних ризиків, зокрема кіберзагроз, фінансових маніпуляцій та незаконних транзакцій.</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Розмірковуючи про природу принципу поміркованості, В. В. Дудченко зазначає, що він «…передбачає виважене, цілеспрямоване й етично обґрунтоване використання цифрових технологій у правовій сфері з урахуванням балансу між ефективністю правового регулювання та роллю людини – і як творця, і як адресата, і як суб’єкта застосування правових приписів. По суті, він означає, що впровадження цифрових технологій (ШІ, блокчейн, алгоритми автоматизованого аналізу тощо) у сферу юридичної діяльності має здійснюватися не як самоціль, а з дотриманням етичних стандартів, законодавчих рамок і ціннісних орієнтирів» [4, с. 30].</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Комплексність передбачає інтегроване застосування правових, технічних, фінансових, етичних та інституційних механізмів у процесі регулювання. Цей принцип формує підхід, за яким цифрові активи розглядаються як елемент ширшої інфраструктури цифрової економіки, включно з фінтех-екосистемами, технологіями DLT, платіжними платформами, кібербезпекою та податковою політикою.</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Як слушно зауважують деякі науковці, «комплексний підхід… відображає (а не обмежується простою сумою) інтегральну взаємодію діяльнісного, особистісного, проблемного, синергетичного, соціокультурного і системного підходів» [6, с. 9].</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lastRenderedPageBreak/>
        <w:t>Людиноцентризм передбачає спрямованість регулювання на захист прав і свобод особи, недоторканість приватності, забезпечення доступності фінансових сервісів, захист інвестора від ризиків зловживань і недобросовісних практик. У сфері цифрових активів цей принцип забезпечує баланс між інноваційністю та правом особи на економічну безпеку й інформаційне самовизначення.</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З. Бурик з питань застосування цього принципу зазначає: «З появою нових викликів й трансформацією суспільства, людиноцентризм у системі публічного управління ставав динамічнішим та комплекснішим. Важливим елементом стало забезпечення участі громадян у процесах прийняття рішень, що сприяє підвищенню легітимності та ефективності управління. Головною метою стало не лише задоволення потреб, але й активізація громадянської свідомості та відповідальності. Людиноцентризм у публічному управлінні також віддзеркалюється в розвитку інформаційних технологій, що сприяють взаємодії між владою та громадянами, а це в свою чергу робить владні структури більш прозорими, доступними та відкритими. Важливо наголосити, що цей підхід сприяє виникненню нових форм співпраці та партнерства між громадськістю та владою» [1, с. 31].</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Економічна доцільність передбачає, що регулювання має сприяти розвитку цифрового ринку, інновацій та конкуренції, а не створювати бар’єри для інвесторів, фінтех-компаній і бізнесу. Реалізація принципу забезпечує формування привабливого інвестиційного середовища, сприяє токенізації ринку капіталів, формуванню нових бізнес-моделей і підвищенню економічної стійкості держави.</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 xml:space="preserve">Виходячи з міркувань О. І. Захарова щодо поняття принципу доцільності, можемо встановити, що економічна доцільність формується з урахуванням можливих втрат організації внаслідок реалізації реальних або потенційних загроз, а також доступних фінансових та організаційних ресурсів. Інвестиції у заходи з мінімізації ризиків мають бути економічно виправданими та компенсуватися очікуваною вигодою або збереженими активами. Витрати на впровадження таких заходів не повинні негативно впливати на загальні </w:t>
      </w:r>
      <w:r w:rsidRPr="002C43C6">
        <w:rPr>
          <w:rFonts w:eastAsiaTheme="minorHAnsi"/>
          <w:kern w:val="2"/>
          <w:sz w:val="28"/>
          <w:szCs w:val="28"/>
          <w:lang w:val="uk-UA" w:eastAsia="en-US"/>
        </w:rPr>
        <w:lastRenderedPageBreak/>
        <w:t>фінансові результати діяльності організації чи погіршувати її економічні показники [5].</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Прозорість як регуляторний принцип означає відкритість правил і процедур, доступність інформації для всіх учасників ринку. Це включає повноцінне розкриття інформації про емітентів цифрових активів, операційну діяльність провайдерів послуг, ризики та умови використання цифрових фінансових інструментів.</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Н. Гудима зазначає, що «під принципом прозорості розуміється обов’язок системи державної влади гарантувати громадянам можливість одержувати реальну інформацію про змістове навантаження державного управління та вплив управлінської діяльності на суспільство, а під принципом відкритості – здійснення громадянами управління державними справами шляхом прийняття або впливу на прийняття управлінських рішень» [2, с. 79–80].</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Передбачуваність (правова визначеність) забезпечує стабільність і послідовність правового регулювання, створюючи умови, за яких учасники ринку можуть прогнозувати наслідки своїх дій та планувати бізнес-моделі з урахуванням нормативних вимог. Такий підхід мінімізує регуляторні шоки та запобігає формуванню правової невизначеності як ключового ризику цифрової фінансової сфери.</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Як вважає Г. Огнев’юк, «…вимоги правової визначеності мають значення не тільки як правове явище, воно істотно впливає на визначеність як запоруку успішного й ефективного інвестування, для стабільності економічної системи. І навпаки, недотримання правової визначеності формує економічні ризики. Цей принцип ефективно взаємодіє з принципом законності та рівності. Відсутність його конституційного закріплення не перешкоджає застосуванню, через те що демократичними конституціями передбачені заборони порушення його вимог» [7, с. 26].</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 xml:space="preserve">Принцип кіберстійкості передбачає забезпечення здатності цифрової фінансової інфраструктури протистояти кіберзагрозам, технічним збоям і спробам зовнішнього втручання. Його зміст включає впровадження механізмів криптографічного захисту, безперервного моніторингу, аудиту безпеки, </w:t>
      </w:r>
      <w:r w:rsidRPr="002C43C6">
        <w:rPr>
          <w:rFonts w:eastAsiaTheme="minorHAnsi"/>
          <w:kern w:val="2"/>
          <w:sz w:val="28"/>
          <w:szCs w:val="28"/>
          <w:lang w:val="uk-UA" w:eastAsia="en-US"/>
        </w:rPr>
        <w:lastRenderedPageBreak/>
        <w:t>протоколів оперативного реагування та регуляторних вимог щодо захисту критичних фінансово-цифрових систем. Кіберстійкість виступає ключовою умовою довіри до цифрових фінансових активів і гарантує безпечність транзакцій, стійкість ринку та стабільність правового режиму.</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С. В. Демедюк обґрунтовує, що «…витонченість та зростаючі частота й інтенсивність кібератак, спрямованих на установи у кіберпросторі, підкреслюють їх високу ризиковість та складність повноти захисту цілісності критично важливих об’єктів та систем. У цьому контексті кіберстійкість пропонує привабливу додаткову альтернативу існуючій парадигмі кібербезпеки. Загалом кіберстійкість визначається як здатність протистояти зовнішнім потрясінням, спричиненим кіберризиками, відновлюватися після них та адаптуватися до них» [3, с. 31].</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Правовідповідність (комплаєнс) передбачає узгодженість національних норм з міжнародними правовими стандартами та правопорядком ЄС, зокрема MiCA, AML-пакетами, DLT-регулюванням та GDPR. Реалізація цього принципу формує правову інтегрованість України в глобальний цифровий фінансовий простір і визначає орієнтири для правотворчої еволюції.</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Реалізація зазначених принципів у правотворчому та правозастосовному процесах забезпечить можливість формування в Україні сучасної, технологічно адаптованої та юридично прогнозованої системи регулювання цифрових фінансових активів. Таке регулювання відповідатиме міжнародним тенденціям позитивної легалізації цифрових фінансових активів, сприятиме розвитку інноваційної економіки та забезпечить інтеграцію України в глобальний цифровий фінансовий простір.</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 xml:space="preserve">Підсумовуючи, слід зазначити, що з метою розбудови ефективної системи позитивної легалізації цифрових фінансових активів доцільним є використання глобально апробованих підходів, що поєднують юридичну визначеність, інституційну стабільність, ринкову відкритість та інноваційну гнучкість. Міжнародна практика свідчить, що результативна модель позитивної легалізації цифрових фінансових активів має ґрунтуватися не на забороні чи повній лібералізації, а на збалансованому механізмі регуляторного супроводу, коли </w:t>
      </w:r>
      <w:r w:rsidRPr="002C43C6">
        <w:rPr>
          <w:rFonts w:eastAsiaTheme="minorHAnsi"/>
          <w:kern w:val="2"/>
          <w:sz w:val="28"/>
          <w:szCs w:val="28"/>
          <w:lang w:val="uk-UA" w:eastAsia="en-US"/>
        </w:rPr>
        <w:lastRenderedPageBreak/>
        <w:t>державні інституції забезпечують правові рамки, а інноваційні технології розвиваються в умовах прозорих правил і прогнозованої відповідальності.</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 xml:space="preserve">Узагальнення міжнародних підходів дає можливість сформулювати принципову регуляторну формулу: регулювати – не забороняючи, впроваджувати – не руйнуючи, контролювати – не стримуючи розвиток інновацій. </w:t>
      </w:r>
    </w:p>
    <w:p w:rsidR="00076275" w:rsidRPr="002C43C6" w:rsidRDefault="00076275" w:rsidP="00076275">
      <w:pPr>
        <w:spacing w:line="360" w:lineRule="auto"/>
        <w:ind w:firstLine="709"/>
        <w:jc w:val="both"/>
        <w:rPr>
          <w:rFonts w:eastAsiaTheme="minorHAnsi"/>
          <w:kern w:val="2"/>
          <w:sz w:val="28"/>
          <w:szCs w:val="28"/>
          <w:lang w:val="uk-UA" w:eastAsia="en-US"/>
        </w:rPr>
      </w:pPr>
      <w:r w:rsidRPr="002C43C6">
        <w:rPr>
          <w:rFonts w:eastAsiaTheme="minorHAnsi"/>
          <w:kern w:val="2"/>
          <w:sz w:val="28"/>
          <w:szCs w:val="28"/>
          <w:lang w:val="uk-UA" w:eastAsia="en-US"/>
        </w:rPr>
        <w:t>Зазначені положення підкреслюють доцільність створення в Україні гібридної, адаптивної моделі позитивної легалізації цифрових фінансових активів, яка має передбачати баланс інноваційності, кібербезпеки, фінансової стабільності та міжнародної сумісності, забезпечити належні умови для формування конкурентоспроможної цифрової економіки, здатної інтегруватися в глобальні фінансові системи та захистити учасників ринку.</w:t>
      </w:r>
    </w:p>
    <w:p w:rsidR="00076275" w:rsidRDefault="00076275" w:rsidP="00076275">
      <w:pPr>
        <w:spacing w:line="360" w:lineRule="auto"/>
        <w:ind w:firstLine="709"/>
        <w:jc w:val="center"/>
        <w:rPr>
          <w:rFonts w:eastAsiaTheme="minorHAnsi"/>
          <w:b/>
          <w:bCs/>
          <w:kern w:val="2"/>
          <w:sz w:val="28"/>
          <w:szCs w:val="28"/>
          <w:lang w:val="uk-UA" w:eastAsia="en-US"/>
        </w:rPr>
      </w:pPr>
    </w:p>
    <w:p w:rsidR="00076275" w:rsidRPr="002C43C6" w:rsidRDefault="00076275" w:rsidP="00076275">
      <w:pPr>
        <w:spacing w:line="360" w:lineRule="auto"/>
        <w:ind w:firstLine="709"/>
        <w:jc w:val="center"/>
        <w:rPr>
          <w:rFonts w:eastAsiaTheme="minorHAnsi"/>
          <w:b/>
          <w:bCs/>
          <w:kern w:val="2"/>
          <w:sz w:val="28"/>
          <w:szCs w:val="28"/>
          <w:lang w:val="uk-UA" w:eastAsia="en-US"/>
        </w:rPr>
      </w:pPr>
      <w:r w:rsidRPr="002C43C6">
        <w:rPr>
          <w:rFonts w:eastAsiaTheme="minorHAnsi"/>
          <w:b/>
          <w:bCs/>
          <w:kern w:val="2"/>
          <w:sz w:val="28"/>
          <w:szCs w:val="28"/>
          <w:lang w:val="uk-UA" w:eastAsia="en-US"/>
        </w:rPr>
        <w:t>СПИСОК ВИКОРИСТАНИХ ДЖЕРЕЛ</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Бурик З. Розвиток концепції людиноцентризму в системі публічного управління. </w:t>
      </w:r>
      <w:r w:rsidRPr="002C43C6">
        <w:rPr>
          <w:i/>
          <w:iCs/>
          <w:kern w:val="2"/>
          <w:sz w:val="28"/>
          <w:szCs w:val="28"/>
          <w:lang w:val="uk-UA" w:eastAsia="en-US"/>
        </w:rPr>
        <w:t>Публічне управління: концепції, парадигма, розвиток, удосконалення.</w:t>
      </w:r>
      <w:r w:rsidRPr="002C43C6">
        <w:rPr>
          <w:kern w:val="2"/>
          <w:sz w:val="28"/>
          <w:szCs w:val="28"/>
          <w:lang w:val="uk-UA" w:eastAsia="en-US"/>
        </w:rPr>
        <w:t xml:space="preserve"> 2023. Вип. 6. С. 21–34. DOI: https://doi.org/10.31470/2786-6246-2023-6-21-34</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Гудима Н. Принципи відкритості і прозорості та їх реалізація в державному управлінні України. </w:t>
      </w:r>
      <w:r w:rsidRPr="002C43C6">
        <w:rPr>
          <w:i/>
          <w:iCs/>
          <w:kern w:val="2"/>
          <w:sz w:val="28"/>
          <w:szCs w:val="28"/>
          <w:lang w:val="uk-UA" w:eastAsia="en-US"/>
        </w:rPr>
        <w:t>Вісник Національної академії державного управління при Президентові України.</w:t>
      </w:r>
      <w:r w:rsidRPr="002C43C6">
        <w:rPr>
          <w:kern w:val="2"/>
          <w:sz w:val="28"/>
          <w:szCs w:val="28"/>
          <w:lang w:val="uk-UA" w:eastAsia="en-US"/>
        </w:rPr>
        <w:t xml:space="preserve"> 2005. № 3. С. 77–83.</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Демедюк С. В. Інституалізація кіберстійкості. </w:t>
      </w:r>
      <w:r w:rsidRPr="002C43C6">
        <w:rPr>
          <w:i/>
          <w:iCs/>
          <w:kern w:val="2"/>
          <w:sz w:val="28"/>
          <w:szCs w:val="28"/>
          <w:lang w:val="uk-UA" w:eastAsia="en-US"/>
        </w:rPr>
        <w:t>Наука і правоохорона</w:t>
      </w:r>
      <w:r w:rsidRPr="002C43C6">
        <w:rPr>
          <w:kern w:val="2"/>
          <w:sz w:val="28"/>
          <w:szCs w:val="28"/>
          <w:lang w:val="uk-UA" w:eastAsia="en-US"/>
        </w:rPr>
        <w:t>. 2023. № 4 (62). С. 31–41. DOI: (Issue): https://doi.org/10.36486/np.2023.4(62)</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Дудченко В. В., Манько Д. Г. Поміркованість у використанні цифрових інструментів як один із принципів сучасної юридичної діяльності. </w:t>
      </w:r>
      <w:r w:rsidRPr="002C43C6">
        <w:rPr>
          <w:i/>
          <w:iCs/>
          <w:kern w:val="2"/>
          <w:sz w:val="28"/>
          <w:szCs w:val="28"/>
          <w:lang w:val="uk-UA" w:eastAsia="en-US"/>
        </w:rPr>
        <w:t>Юридичний науковий електронний журнал.</w:t>
      </w:r>
      <w:r w:rsidRPr="002C43C6">
        <w:rPr>
          <w:kern w:val="2"/>
          <w:sz w:val="28"/>
          <w:szCs w:val="28"/>
          <w:lang w:val="uk-UA" w:eastAsia="en-US"/>
        </w:rPr>
        <w:t xml:space="preserve"> 2025. № 4. С. 28–30. DOI: https://doi.org/10.32782/2524-0374/2025-4/4</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Захаров О. І. Побудова комплексної системи забезпечення економічної безпеки підприємства. </w:t>
      </w:r>
      <w:r w:rsidRPr="002C43C6">
        <w:rPr>
          <w:i/>
          <w:iCs/>
          <w:kern w:val="2"/>
          <w:sz w:val="28"/>
          <w:szCs w:val="28"/>
          <w:lang w:val="uk-UA" w:eastAsia="en-US"/>
        </w:rPr>
        <w:t>Виклики та потреби бізнесу XXI століття</w:t>
      </w:r>
      <w:r w:rsidRPr="002C43C6">
        <w:rPr>
          <w:kern w:val="2"/>
          <w:sz w:val="28"/>
          <w:szCs w:val="28"/>
          <w:lang w:val="uk-UA" w:eastAsia="en-US"/>
        </w:rPr>
        <w:t xml:space="preserve"> : матеріали наук.-практ. конф. (Київ, 28 листоп. 2008 р.). </w:t>
      </w:r>
      <w:r w:rsidRPr="002C43C6">
        <w:rPr>
          <w:i/>
          <w:iCs/>
          <w:kern w:val="2"/>
          <w:sz w:val="28"/>
          <w:szCs w:val="28"/>
          <w:lang w:val="uk-UA" w:eastAsia="en-US"/>
        </w:rPr>
        <w:t>Вчені записки</w:t>
      </w:r>
      <w:r w:rsidRPr="002C43C6">
        <w:rPr>
          <w:kern w:val="2"/>
          <w:sz w:val="28"/>
          <w:szCs w:val="28"/>
          <w:lang w:val="uk-UA" w:eastAsia="en-US"/>
        </w:rPr>
        <w:t xml:space="preserve"> / Ун-т економіки та права «КРОК». 2008. Вип. 18, т. 4. С. 44–53. URL: </w:t>
      </w:r>
      <w:hyperlink r:id="rId84" w:history="1">
        <w:r w:rsidRPr="002C43C6">
          <w:rPr>
            <w:kern w:val="2"/>
            <w:sz w:val="28"/>
            <w:szCs w:val="28"/>
            <w:u w:val="single"/>
            <w:lang w:val="uk-UA" w:eastAsia="en-US"/>
          </w:rPr>
          <w:t>https://library.krok.edu.ua/media/library/category/statti/zakharov_0012.pdf</w:t>
        </w:r>
      </w:hyperlink>
      <w:r w:rsidRPr="002C43C6">
        <w:rPr>
          <w:kern w:val="2"/>
          <w:sz w:val="28"/>
          <w:szCs w:val="28"/>
          <w:lang w:val="uk-UA" w:eastAsia="en-US"/>
        </w:rPr>
        <w:t xml:space="preserve"> (дата звернення: 30.08.2025).</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Карпенко В. В. Комплексний підхід – основа емпіричного психологічного дослідження творчого мислення юриста. </w:t>
      </w:r>
      <w:r w:rsidRPr="002C43C6">
        <w:rPr>
          <w:i/>
          <w:iCs/>
          <w:kern w:val="2"/>
          <w:sz w:val="28"/>
          <w:szCs w:val="28"/>
          <w:lang w:val="uk-UA" w:eastAsia="en-US"/>
        </w:rPr>
        <w:t>Науковий вісник Львівського держ. ун-ту внутр. справ</w:t>
      </w:r>
      <w:r w:rsidRPr="002C43C6">
        <w:rPr>
          <w:kern w:val="2"/>
          <w:sz w:val="28"/>
          <w:szCs w:val="28"/>
          <w:lang w:val="uk-UA" w:eastAsia="en-US"/>
        </w:rPr>
        <w:t xml:space="preserve">. 2009. № 2. С. 1–12. URL: </w:t>
      </w:r>
      <w:hyperlink r:id="rId85" w:history="1">
        <w:r w:rsidRPr="002C43C6">
          <w:rPr>
            <w:kern w:val="2"/>
            <w:sz w:val="28"/>
            <w:szCs w:val="28"/>
            <w:u w:val="single"/>
            <w:lang w:val="uk-UA" w:eastAsia="en-US"/>
          </w:rPr>
          <w:t>https://dspace.lvduvs.edu.ua/bitstream/1234567890/1398/1/2-2009kvvtmy.pdf</w:t>
        </w:r>
      </w:hyperlink>
      <w:r w:rsidRPr="002C43C6">
        <w:rPr>
          <w:kern w:val="2"/>
          <w:sz w:val="28"/>
          <w:szCs w:val="28"/>
          <w:lang w:val="uk-UA" w:eastAsia="en-US"/>
        </w:rPr>
        <w:t xml:space="preserve"> (дата звернення: 30.08.2025).</w:t>
      </w:r>
    </w:p>
    <w:p w:rsidR="00076275" w:rsidRPr="002C43C6" w:rsidRDefault="00076275" w:rsidP="00076275">
      <w:pPr>
        <w:numPr>
          <w:ilvl w:val="0"/>
          <w:numId w:val="29"/>
        </w:numPr>
        <w:spacing w:line="360" w:lineRule="auto"/>
        <w:ind w:left="0" w:firstLine="709"/>
        <w:jc w:val="both"/>
        <w:rPr>
          <w:kern w:val="2"/>
          <w:sz w:val="28"/>
          <w:szCs w:val="28"/>
          <w:lang w:val="uk-UA" w:eastAsia="en-US"/>
        </w:rPr>
      </w:pPr>
      <w:r w:rsidRPr="002C43C6">
        <w:rPr>
          <w:kern w:val="2"/>
          <w:sz w:val="28"/>
          <w:szCs w:val="28"/>
          <w:lang w:val="uk-UA" w:eastAsia="en-US"/>
        </w:rPr>
        <w:t xml:space="preserve">Огнев’юк Г. Принцип правової визначеності в працях зарубіжних учених. </w:t>
      </w:r>
      <w:r w:rsidRPr="002C43C6">
        <w:rPr>
          <w:i/>
          <w:iCs/>
          <w:kern w:val="2"/>
          <w:sz w:val="28"/>
          <w:szCs w:val="28"/>
          <w:lang w:val="uk-UA" w:eastAsia="en-US"/>
        </w:rPr>
        <w:t>In: Jurnalul juridic national: teorie şi practică</w:t>
      </w:r>
      <w:r w:rsidRPr="002C43C6">
        <w:rPr>
          <w:kern w:val="2"/>
          <w:sz w:val="28"/>
          <w:szCs w:val="28"/>
          <w:lang w:val="uk-UA" w:eastAsia="en-US"/>
        </w:rPr>
        <w:t xml:space="preserve">. 2020. № 1 (41). С. 23–26. URL: </w:t>
      </w:r>
      <w:hyperlink r:id="rId86" w:history="1">
        <w:r w:rsidRPr="002C43C6">
          <w:rPr>
            <w:kern w:val="2"/>
            <w:sz w:val="28"/>
            <w:szCs w:val="28"/>
            <w:u w:val="single"/>
            <w:lang w:val="uk-UA" w:eastAsia="en-US"/>
          </w:rPr>
          <w:t>https://ibn.idsi.md/sites/default/files/imag_file/23-26_25.pdf</w:t>
        </w:r>
      </w:hyperlink>
      <w:r w:rsidRPr="002C43C6">
        <w:rPr>
          <w:kern w:val="2"/>
          <w:sz w:val="28"/>
          <w:szCs w:val="28"/>
          <w:lang w:val="uk-UA" w:eastAsia="en-US"/>
        </w:rPr>
        <w:t xml:space="preserve"> (дата звернення: 30.08.2025).</w:t>
      </w:r>
    </w:p>
    <w:p w:rsidR="00076275" w:rsidRDefault="00076275" w:rsidP="00076275">
      <w:pPr>
        <w:spacing w:line="360" w:lineRule="auto"/>
        <w:ind w:firstLine="709"/>
        <w:jc w:val="both"/>
        <w:rPr>
          <w:sz w:val="28"/>
          <w:szCs w:val="28"/>
          <w:lang w:val="uk-UA"/>
        </w:rPr>
      </w:pPr>
    </w:p>
    <w:p w:rsidR="00076275" w:rsidRPr="00FD38BE" w:rsidRDefault="00076275" w:rsidP="00076275">
      <w:pPr>
        <w:spacing w:line="360" w:lineRule="auto"/>
        <w:ind w:firstLine="709"/>
        <w:jc w:val="both"/>
        <w:rPr>
          <w:sz w:val="28"/>
          <w:szCs w:val="28"/>
          <w:lang w:val="uk-UA"/>
        </w:rPr>
      </w:pPr>
    </w:p>
    <w:p w:rsidR="00076275" w:rsidRPr="00FD38BE" w:rsidRDefault="00076275" w:rsidP="00076275">
      <w:pPr>
        <w:spacing w:line="360" w:lineRule="auto"/>
        <w:ind w:firstLine="709"/>
        <w:jc w:val="center"/>
        <w:rPr>
          <w:b/>
          <w:i/>
          <w:kern w:val="2"/>
          <w:sz w:val="28"/>
          <w:szCs w:val="28"/>
          <w:lang w:val="uk-UA" w:eastAsia="en-US"/>
        </w:rPr>
      </w:pPr>
      <w:r w:rsidRPr="00FD38BE">
        <w:rPr>
          <w:rFonts w:eastAsiaTheme="minorHAnsi"/>
          <w:b/>
          <w:iCs/>
          <w:kern w:val="2"/>
          <w:sz w:val="28"/>
          <w:szCs w:val="28"/>
          <w:lang w:val="uk-UA" w:eastAsia="en-US"/>
        </w:rPr>
        <w:t>РИЗИКИ ЗАСТОСУВАННЯ ІНФОРМАЦІЙНО-КОМУНІКАЦІЙНИХ ТЕХНОЛОГІЙ В ДІЯЛЬНОСТІ У СФЕРІ ДЕРЖАВНОГО УПРАВЛІННЯ ТА АДМІНІСТРУВАННЯ</w:t>
      </w:r>
    </w:p>
    <w:p w:rsidR="00076275" w:rsidRPr="00FD38BE" w:rsidRDefault="00076275" w:rsidP="00076275">
      <w:pPr>
        <w:spacing w:line="360" w:lineRule="auto"/>
        <w:ind w:firstLine="709"/>
        <w:jc w:val="center"/>
        <w:rPr>
          <w:b/>
          <w:i/>
          <w:kern w:val="2"/>
          <w:sz w:val="28"/>
          <w:szCs w:val="28"/>
          <w:lang w:val="uk-UA" w:eastAsia="en-US"/>
        </w:rPr>
      </w:pPr>
      <w:r w:rsidRPr="00FD38BE">
        <w:rPr>
          <w:b/>
          <w:i/>
          <w:kern w:val="2"/>
          <w:sz w:val="28"/>
          <w:szCs w:val="28"/>
          <w:lang w:val="uk-UA" w:eastAsia="en-US"/>
        </w:rPr>
        <w:t>Цховребов Р. Т.,</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аспірант кафедри державно-правових дисциплін,</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Міжнародний університет,</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 Одеса, Україна</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 xml:space="preserve">У сучасному світі, особливої актуальності набувають етичні та правові аспекти впровадження інновацій у юридичну діяльність, адже автоматизація правових процесів може впливати на принципи справедливості, неупередженості, конфіденційності та відповідальності суб’єктів права. Недостатня врегульованість використання новітніх технологій, відсутність єдиних стандартів їх застосування та ризик помилок алгоритмічного характеру створюють потенційні загрози для правової визначеності та довіри до правової системи загалом. У цьому контексті особливо важливим є комплексний аналіз можливих негативних наслідків цифровізації юридичної сфери, а також формування збалансованих підходів до правового регулювання та етичного </w:t>
      </w:r>
      <w:r w:rsidRPr="00FD38BE">
        <w:rPr>
          <w:rFonts w:eastAsiaTheme="minorHAnsi"/>
          <w:bCs/>
          <w:iCs/>
          <w:kern w:val="2"/>
          <w:sz w:val="28"/>
          <w:szCs w:val="28"/>
          <w:lang w:val="uk-UA" w:eastAsia="en-US"/>
        </w:rPr>
        <w:lastRenderedPageBreak/>
        <w:t>контролю застосування інноваційних технологій у професійній діяльності юриста.</w:t>
      </w:r>
    </w:p>
    <w:p w:rsidR="00076275" w:rsidRPr="00FD38BE" w:rsidRDefault="00076275" w:rsidP="00076275">
      <w:pPr>
        <w:spacing w:line="360" w:lineRule="auto"/>
        <w:ind w:firstLine="709"/>
        <w:jc w:val="both"/>
        <w:rPr>
          <w:rFonts w:eastAsiaTheme="minorHAnsi"/>
          <w:bCs/>
          <w:iCs/>
          <w:kern w:val="2"/>
          <w:sz w:val="28"/>
          <w:szCs w:val="28"/>
          <w:lang w:val="uk-UA" w:eastAsia="en-US"/>
        </w:rPr>
      </w:pPr>
      <w:r w:rsidRPr="00FD38BE">
        <w:rPr>
          <w:rFonts w:eastAsiaTheme="minorHAnsi"/>
          <w:bCs/>
          <w:iCs/>
          <w:kern w:val="2"/>
          <w:sz w:val="28"/>
          <w:szCs w:val="28"/>
          <w:lang w:val="uk-UA" w:eastAsia="en-US"/>
        </w:rPr>
        <w:t>З огляду на багатогранність юридичної діяльності, ризики та етичні виклики застосування інноваційних технологій не можуть розглядатися у відриві від її конкретних сфер. Особливості впровадження цифрових рішень суттєво відрізняються залежно від характеру функцій, що виконуються відповідними суб’єктами, рівня владних повноважень та ступеня впливу на права і свободи людини.</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Зазначене, у свою чергу актуалізує необхідність дослідження ризиків застосування інформаційно-комунікаційних технологій у сфері державного управління та адміністрування. Так, на початку ХХІ століття державне управління та публічне адміністрування перебувають у фазі глибокої трансформації, зумовленої стрімким розвитком цифрових технологій і, передусім, штучного інтелекту.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Традиційні адміністративні моделі, засновані на ієрархічних процедурах, паперовому документообігу та обмеженій аналітичній спроможності, поступово поступаються місцем новим формам управління, орієнтованим на дані, прогнозування та адаптивне прийняття рішень.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Штучний інтелект дедалі активніше інтегрується в діяльність органів державної влади як інструмент підвищення ефективності, прозорості та результативності управлінських процесів. Його застосування охоплює аналіз великих масивів управлінської інформації, автоматизацію адміністративних процедур, підтримку прийняття управлінських рішень, удосконалення регуляторної політики та підвищення якості надання публічних послуг. У цьому контексті штучний інтелект виступає не лише технологічним нововведенням, а й чинником переосмислення самої природи державного управління. Використання інтелектуальних систем у сфері публічного адміністрування актуалізує низку фундаментальних наукових і практичних питань, пов’язаних із межами автоматизації владних повноважень, відповідальністю за управлінські рішення, дотриманням принципів верховенства права, підзвітності та захисту прав людини. Саме тому дослідження ролі штучного інтелекту в діяльності </w:t>
      </w:r>
      <w:r w:rsidRPr="00FD38BE">
        <w:rPr>
          <w:rFonts w:eastAsiaTheme="minorHAnsi"/>
          <w:kern w:val="2"/>
          <w:sz w:val="28"/>
          <w:szCs w:val="28"/>
          <w:lang w:val="uk-UA" w:eastAsia="en-US"/>
        </w:rPr>
        <w:lastRenderedPageBreak/>
        <w:t>органів державного управління набуває особливої значущості та потребує комплексного міждисциплінарного аналізу.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Нам імпонує позиція Н. Коротченко, яка зазначає, що «… окремої уваги заслуговує дефіцит цифрових компетентностей серед державних службовців. Відсутність розуміння базових принципів роботи алгоритмів призводить до їх некритичного застосування або ігнорування потенційних ризиків. Для України важливо закласти системну модель підготовки публічних управлінців нового покоління – із міждисциплінарною орієнтацією на ІТ, етику та управління даними. Впровадження ШІ не повинно зводитися до поверхневої «цифровізації», а має супроводжуватись зміною управлінської культури» [ 1, с.97].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Науковиця також визначає, що «… крім того, етичні дилеми делегування владних повноважень автономним системам потребують концептуального осмислення. Рішення, які ухвалює ШІ, не завжди мають прозоре логічне обґрунтування (так званий ефект «чорної скриньки»), що може підривати довіру до державних інституцій. Особливо небезпечним є зменшення ролі людини в прийнятті рішень, що стосуються життєво важливих прав, соціального захисту або доступу до послуг» [1, с.97].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Актуальність такої позиції підтверджується великою кількістю досліджень. Так, наприклад, є приклади алгоритмів, механізми відбору яких, як було виявлено, працюють дискримінаційно. До них належать алгоритми, розроблені для перевірки кредитоспроможності, права на отримання водійських посвідчень чи заявок на роботу, для прогнозної поліції, в освіті або для реклами чи інших послуг.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Було виявлено, що система розпізнавання голосу Google має значні проблеми з розпізнаванням жіночих голосів [6]. Реклама Google частіше показувала чоловікам високооплачувані посади генеральних директорів, ніж жінкам [4]. Пошук реклами частіше виводив оголошення зі словом «арешт» для імен, що ідентифікують чорношкірих, ніж для імен, що ідентифікують білих [5]. Було виявлено, що технологія розпізнавання обличь упереджена до </w:t>
      </w:r>
      <w:r w:rsidRPr="00FD38BE">
        <w:rPr>
          <w:rFonts w:eastAsiaTheme="minorHAnsi"/>
          <w:kern w:val="2"/>
          <w:sz w:val="28"/>
          <w:szCs w:val="28"/>
          <w:lang w:val="uk-UA" w:eastAsia="en-US"/>
        </w:rPr>
        <w:lastRenderedPageBreak/>
        <w:t>розпізнавання білих людей [3]. Алгоритмічні оцінки ризику рецидиву для окремих осіб виявилися упередженими за расовою ознакою [2].</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8" w:name="_Hlk220072532"/>
      <w:r w:rsidRPr="00FD38BE">
        <w:rPr>
          <w:rFonts w:eastAsiaTheme="minorHAnsi"/>
          <w:kern w:val="2"/>
          <w:sz w:val="28"/>
          <w:szCs w:val="28"/>
          <w:lang w:val="uk-UA" w:eastAsia="en-US"/>
        </w:rPr>
        <w:t>Інтеграція ШІ в управлінські процеси створює загрозу втрати гуманістичного виміру публічної влади, коли рішення, що безпосередньо впливають на права, свободи та соціальний статус особи, ухвалюються на основі алгоритмічних моделей, позбавлених моральної інтуїції, емпатії та соціальної відповідальності.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Етично проблематичним є перенесення дискреційних повноважень держави на автономні алгоритми, особливо у сферах соціального захисту, безпеки, доступу до публічних послуг. Це підриває фундаментальний принцип, за яким влада здійснюється людиною і від імені людини.</w:t>
      </w:r>
    </w:p>
    <w:bookmarkEnd w:id="8"/>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Непрозорість логіки ухвалення рішень інтелектуальними системами (ефект «black box») створює етичну проблему неможливості пояснення управлінського рішення громадянину, що знижує довіру до державних інституцій і суперечить принципам відкритості та підзвітності влади.</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Практичні приклади упередженості алгоритмів (за статевою, расовою, соціальною ознакою) демонструють загрозу відтворення та посилення соціальної нерівності у процесі надання адміністративних послуг або ухвалення управлінських рішень. Відтак, дефіцит цифрових компетентностей серед державних службовців сприяє некритичному використанню ІКТ, що призводить до ігнорування етичних наслідків автоматизації та підміни управлінської культури формальною «цифровізацією».</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9" w:name="_Hlk220072563"/>
      <w:r w:rsidRPr="00FD38BE">
        <w:rPr>
          <w:rFonts w:eastAsiaTheme="minorHAnsi"/>
          <w:kern w:val="2"/>
          <w:sz w:val="28"/>
          <w:szCs w:val="28"/>
          <w:lang w:val="uk-UA" w:eastAsia="en-US"/>
        </w:rPr>
        <w:t xml:space="preserve">Правові виміри ризиків застосування ІКТ у державному управлінні пов’язані із тим, що алгоритмічні рішення, які ґрунтуються на статистичних або ймовірнісних моделях, можуть не відповідати вимогам законності, правової визначеності та передбачуваності, що є ключовими складовими верховенства права. </w:t>
      </w:r>
      <w:bookmarkEnd w:id="9"/>
      <w:r w:rsidRPr="00FD38BE">
        <w:rPr>
          <w:rFonts w:eastAsiaTheme="minorHAnsi"/>
          <w:kern w:val="2"/>
          <w:sz w:val="28"/>
          <w:szCs w:val="28"/>
          <w:lang w:val="uk-UA" w:eastAsia="en-US"/>
        </w:rPr>
        <w:t>У разі використання ШІ постає складне питання: хто несе відповідальність за управлінське рішення: орган влади, конкретний посадовець, розробник алгоритму чи постачальник даних. Відсутність чіткого нормативного розмежування створює правову невизначеність.</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Застосування алгоритмів у сферах соціального забезпечення, доступу до адміністративних послуг, безпеки або правосуддя може призводити до непропорційного обмеження прав і свобод, зокрема права на рівність, недискримінацію та ефективний засіб правового захисту. Таким чином, «тотально автоматизовані» управлінські процеси ускладнюють реалізацію права особи на отримання мотивованого рішення, його оскарження та перевірку законності, що є ключовим елементом адміністративного права. Якщо рішення фактично формуються або істотно модифікуються алгоритмами, виникає загроза формального характеру політичної та юридичної відповідальності посадових осіб, що суперечить засадам демократичного врядування.</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Ключовою умовою мінімізації цих ризиків є збереження людиноцентричного характеру публічної влади, нормативне визначення меж застосування ІКТ, розвиток цифрових і етичних компетентностей державних службовців, а також впровадження механізмів прозорості, підзвітності та ефективного правового контролю за алгоритмічними управлінськими рішеннями</w:t>
      </w:r>
      <w:bookmarkStart w:id="10" w:name="_heading=h.a0bvj4p4aru2" w:colFirst="0" w:colLast="0"/>
      <w:bookmarkEnd w:id="10"/>
      <w:r w:rsidRPr="00FD38BE">
        <w:rPr>
          <w:rFonts w:eastAsiaTheme="minorHAnsi"/>
          <w:kern w:val="2"/>
          <w:sz w:val="28"/>
          <w:szCs w:val="28"/>
          <w:lang w:val="uk-UA" w:eastAsia="en-US"/>
        </w:rPr>
        <w:t>.</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Підсумовуючи, слід зазначити, що застосування інформаційно-комунікаційних технологій у сфері юридичної діяльності є об’єктивно неминучим етапом її модернізації, однак супроводжується комплексом системних етичних і правових ризиків. З одного боку, ІКТ, зокрема технології штучного інтелекту, великих даних, автоматизованих реєстрів і цифрових платформ, істотно підвищують ефективність юридичної діяльності, розширюють аналітичні можливості, сприяють доступності правових і публічних послуг та оптимізації процесів ухвалення рішень. З іншого боку, їх упровадження трансформує саму природу юридичної діяльності, змінюючи співвідношення між людським судженням і алгоритмічною раціональністю, що породжує нові виклики для принципів верховенства права, відповідальності та правосвідомості.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Етичний вимір ризиків полягає насамперед у загрозі втрати гуманістичного змісту юридичної діяльності. Делегування окремих аналітичних або управлінських функцій алгоритмам, які не володіють моральною інтуїцією, </w:t>
      </w:r>
      <w:r w:rsidRPr="00FD38BE">
        <w:rPr>
          <w:rFonts w:eastAsiaTheme="minorHAnsi"/>
          <w:kern w:val="2"/>
          <w:sz w:val="28"/>
          <w:szCs w:val="28"/>
          <w:lang w:val="uk-UA" w:eastAsia="en-US"/>
        </w:rPr>
        <w:lastRenderedPageBreak/>
        <w:t>емпатією та ціннісним мисленням, створює небезпеку формалізації юридичних рішень і зниження ролі особистої відповідальності правника. Алгоритмічна упередженість, зниження прозорості ухвалення рішень і ризик підміни професійного судження технічною зручністю підривають довіру до правових інститутів і суперечать етичній природі юридичної професії, незалежно від того, чи йдеться про законодавчу, управлінську, правоохоронну, адвокатську, нотаріальну або корпоративну правничу діяльність.</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Правовий вимір ризиків концентрується навколо проблеми правової визначеності та відповідальності. Використання ІКТ актуалізує питання: хто саме несе юридичну відповідальність за помилки, дискримінаційні наслідки або шкідливі рішення, сформовані із застосуванням алгоритмів. Відсутність чіткого нормативного розмежування ролей і меж використання ІКТ створює зону правової невизначеності, яка є несумісною з вимогами законності, передбачуваності та підзвітності. Особливо небезпечним є використання алгоритмічних рішень у сферах, що безпосередньо зачіпають права і свободи людини, де автоматизація може ускладнювати реалізацію права на мотивоване рішення, його оскарження та ефективний правовий захист.</w:t>
      </w:r>
    </w:p>
    <w:p w:rsidR="00076275" w:rsidRPr="00FD38BE" w:rsidRDefault="00076275" w:rsidP="00076275">
      <w:pPr>
        <w:spacing w:line="360" w:lineRule="auto"/>
        <w:ind w:firstLine="709"/>
        <w:jc w:val="both"/>
        <w:rPr>
          <w:rFonts w:eastAsiaTheme="minorHAnsi"/>
          <w:b/>
          <w:bCs/>
          <w:kern w:val="2"/>
          <w:sz w:val="28"/>
          <w:szCs w:val="28"/>
          <w:lang w:val="uk-UA" w:eastAsia="en-US"/>
        </w:rPr>
      </w:pPr>
      <w:r w:rsidRPr="00FD38BE">
        <w:rPr>
          <w:rFonts w:eastAsiaTheme="minorHAnsi"/>
          <w:kern w:val="2"/>
          <w:sz w:val="28"/>
          <w:szCs w:val="28"/>
          <w:lang w:val="uk-UA" w:eastAsia="en-US"/>
        </w:rPr>
        <w:t>Узагальнюючи, слід констатувати, що мінімізація етичних і правових ризиків застосування ІКТ у юридичній діяльності можлива лише за умови збереження її людиноцентричної моделі. Інформаційно-комунікаційні технології мають розглядатися виключно як допоміжний інструмент, покликаний підсилювати, а не заміщати професійне судження юриста.</w:t>
      </w:r>
    </w:p>
    <w:p w:rsidR="00076275" w:rsidRPr="00FD38BE" w:rsidRDefault="00076275" w:rsidP="00076275">
      <w:pPr>
        <w:spacing w:line="360" w:lineRule="auto"/>
        <w:ind w:firstLine="709"/>
        <w:jc w:val="center"/>
        <w:rPr>
          <w:rFonts w:eastAsiaTheme="minorHAnsi"/>
          <w:b/>
          <w:bCs/>
          <w:kern w:val="2"/>
          <w:sz w:val="28"/>
          <w:szCs w:val="28"/>
          <w:lang w:val="uk-UA" w:eastAsia="en-US"/>
        </w:rPr>
      </w:pPr>
    </w:p>
    <w:p w:rsidR="00076275" w:rsidRPr="00FD38BE" w:rsidRDefault="00076275" w:rsidP="00076275">
      <w:pPr>
        <w:spacing w:line="360" w:lineRule="auto"/>
        <w:ind w:firstLine="709"/>
        <w:jc w:val="center"/>
        <w:rPr>
          <w:rFonts w:eastAsiaTheme="minorHAnsi"/>
          <w:b/>
          <w:bCs/>
          <w:kern w:val="2"/>
          <w:sz w:val="28"/>
          <w:szCs w:val="28"/>
          <w:lang w:val="uk-UA" w:eastAsia="en-US"/>
        </w:rPr>
      </w:pPr>
      <w:r w:rsidRPr="00FD38BE">
        <w:rPr>
          <w:rFonts w:eastAsiaTheme="minorHAnsi"/>
          <w:b/>
          <w:bCs/>
          <w:kern w:val="2"/>
          <w:sz w:val="28"/>
          <w:szCs w:val="28"/>
          <w:lang w:val="uk-UA" w:eastAsia="en-US"/>
        </w:rPr>
        <w:t>СПИСОК ВИКОРИСТАНИХ ДЖЕРЕЛ</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uk-UA" w:eastAsia="en-US"/>
        </w:rPr>
      </w:pPr>
      <w:r w:rsidRPr="00FD38BE">
        <w:rPr>
          <w:rFonts w:eastAsiaTheme="minorHAnsi"/>
          <w:kern w:val="2"/>
          <w:sz w:val="28"/>
          <w:szCs w:val="28"/>
          <w:lang w:val="uk-UA" w:eastAsia="en-US"/>
        </w:rPr>
        <w:t xml:space="preserve">Коротченко Н. Штучний інтелект як чинник модернізації публічного управління в умовах діджиталізації суспільних відносин. Державне будівництво. №1. 2025. С. 93-102. </w:t>
      </w:r>
      <w:r w:rsidRPr="00FD38BE">
        <w:rPr>
          <w:rFonts w:eastAsiaTheme="minorHAnsi"/>
          <w:kern w:val="2"/>
          <w:sz w:val="28"/>
          <w:szCs w:val="28"/>
          <w:lang w:val="en-US" w:eastAsia="en-US"/>
        </w:rPr>
        <w:t>DOI</w:t>
      </w:r>
      <w:r w:rsidRPr="00FD38BE">
        <w:rPr>
          <w:rFonts w:eastAsiaTheme="minorHAnsi"/>
          <w:kern w:val="2"/>
          <w:sz w:val="28"/>
          <w:szCs w:val="28"/>
          <w:lang w:val="uk-UA" w:eastAsia="en-US"/>
        </w:rPr>
        <w:t xml:space="preserve">: </w:t>
      </w:r>
      <w:r w:rsidRPr="00FD38BE">
        <w:rPr>
          <w:rFonts w:eastAsiaTheme="minorHAnsi"/>
          <w:kern w:val="2"/>
          <w:sz w:val="28"/>
          <w:szCs w:val="28"/>
          <w:lang w:val="en-US" w:eastAsia="en-US"/>
        </w:rPr>
        <w:t>https</w:t>
      </w:r>
      <w:r w:rsidRPr="00FD38BE">
        <w:rPr>
          <w:rFonts w:eastAsiaTheme="minorHAnsi"/>
          <w:kern w:val="2"/>
          <w:sz w:val="28"/>
          <w:szCs w:val="28"/>
          <w:lang w:val="uk-UA" w:eastAsia="en-US"/>
        </w:rPr>
        <w:t>://</w:t>
      </w:r>
      <w:r w:rsidRPr="00FD38BE">
        <w:rPr>
          <w:rFonts w:eastAsiaTheme="minorHAnsi"/>
          <w:kern w:val="2"/>
          <w:sz w:val="28"/>
          <w:szCs w:val="28"/>
          <w:lang w:val="en-US" w:eastAsia="en-US"/>
        </w:rPr>
        <w:t>doi</w:t>
      </w:r>
      <w:r w:rsidRPr="00FD38BE">
        <w:rPr>
          <w:rFonts w:eastAsiaTheme="minorHAnsi"/>
          <w:kern w:val="2"/>
          <w:sz w:val="28"/>
          <w:szCs w:val="28"/>
          <w:lang w:val="uk-UA" w:eastAsia="en-US"/>
        </w:rPr>
        <w:t>.</w:t>
      </w:r>
      <w:r w:rsidRPr="00FD38BE">
        <w:rPr>
          <w:rFonts w:eastAsiaTheme="minorHAnsi"/>
          <w:kern w:val="2"/>
          <w:sz w:val="28"/>
          <w:szCs w:val="28"/>
          <w:lang w:val="en-US" w:eastAsia="en-US"/>
        </w:rPr>
        <w:t>org</w:t>
      </w:r>
      <w:r w:rsidRPr="00FD38BE">
        <w:rPr>
          <w:rFonts w:eastAsiaTheme="minorHAnsi"/>
          <w:kern w:val="2"/>
          <w:sz w:val="28"/>
          <w:szCs w:val="28"/>
          <w:lang w:val="uk-UA" w:eastAsia="en-US"/>
        </w:rPr>
        <w:t xml:space="preserve">/10.26565/1992-2337-2025-1-06 </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uk-UA" w:eastAsia="en-US"/>
        </w:rPr>
      </w:pPr>
      <w:r w:rsidRPr="00FD38BE">
        <w:rPr>
          <w:rFonts w:eastAsiaTheme="minorHAnsi"/>
          <w:kern w:val="2"/>
          <w:sz w:val="28"/>
          <w:szCs w:val="28"/>
          <w:lang w:val="en-US" w:eastAsia="en-US"/>
        </w:rPr>
        <w:t xml:space="preserve">Angwin, J. (2016). Make algorithms accountable. New York Times, 1 August. URL: </w:t>
      </w:r>
      <w:hyperlink r:id="rId87">
        <w:r w:rsidRPr="00FD38BE">
          <w:rPr>
            <w:rFonts w:eastAsiaTheme="minorHAnsi"/>
            <w:kern w:val="2"/>
            <w:sz w:val="28"/>
            <w:szCs w:val="28"/>
            <w:lang w:val="en-US" w:eastAsia="en-US"/>
          </w:rPr>
          <w:t>https://www.nytimes.com/2016/08/01/opinion/make-algorithms-accountable.html?referer=&amp;amp;_r=0</w:t>
        </w:r>
      </w:hyperlink>
      <w:r w:rsidRPr="00FD38BE">
        <w:rPr>
          <w:rFonts w:eastAsiaTheme="minorHAnsi"/>
          <w:kern w:val="2"/>
          <w:sz w:val="28"/>
          <w:szCs w:val="28"/>
          <w:lang w:val="en-US" w:eastAsia="en-US"/>
        </w:rPr>
        <w:t xml:space="preserve"> </w:t>
      </w:r>
      <w:r w:rsidRPr="00FD38BE">
        <w:rPr>
          <w:rFonts w:eastAsiaTheme="minorHAnsi"/>
          <w:kern w:val="2"/>
          <w:sz w:val="28"/>
          <w:szCs w:val="28"/>
          <w:lang w:val="uk-UA" w:eastAsia="en-US"/>
        </w:rPr>
        <w:t>(дата звернення: 12.07.2025)</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uk-UA" w:eastAsia="en-US"/>
        </w:rPr>
      </w:pPr>
      <w:r w:rsidRPr="00FD38BE">
        <w:rPr>
          <w:rFonts w:eastAsiaTheme="minorHAnsi"/>
          <w:kern w:val="2"/>
          <w:sz w:val="28"/>
          <w:szCs w:val="28"/>
          <w:lang w:val="en-US" w:eastAsia="en-US"/>
        </w:rPr>
        <w:lastRenderedPageBreak/>
        <w:t xml:space="preserve">Buolamwini, J. (2017) When algorithms are racist. Observer, 28 May. URL: </w:t>
      </w:r>
      <w:hyperlink r:id="rId88">
        <w:r w:rsidRPr="00FD38BE">
          <w:rPr>
            <w:rFonts w:eastAsiaTheme="minorHAnsi"/>
            <w:kern w:val="2"/>
            <w:sz w:val="28"/>
            <w:szCs w:val="28"/>
            <w:lang w:val="en-US" w:eastAsia="en-US"/>
          </w:rPr>
          <w:t>https://www.theguardian.com/technology/2017/may/28/joy-buolamwini-when-algorithms-are-racist-facial-recognition-bias</w:t>
        </w:r>
      </w:hyperlink>
      <w:r w:rsidRPr="00FD38BE">
        <w:rPr>
          <w:rFonts w:eastAsiaTheme="minorHAnsi"/>
          <w:kern w:val="2"/>
          <w:sz w:val="28"/>
          <w:szCs w:val="28"/>
          <w:lang w:val="en-US" w:eastAsia="en-US"/>
        </w:rPr>
        <w:t xml:space="preserve"> </w:t>
      </w:r>
      <w:r w:rsidRPr="00FD38BE">
        <w:rPr>
          <w:rFonts w:eastAsiaTheme="minorHAnsi"/>
          <w:kern w:val="2"/>
          <w:sz w:val="28"/>
          <w:szCs w:val="28"/>
          <w:lang w:val="uk-UA" w:eastAsia="en-US"/>
        </w:rPr>
        <w:t>(дата звернення: 12.07.2025)</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en-US" w:eastAsia="en-US"/>
        </w:rPr>
      </w:pPr>
      <w:r w:rsidRPr="00FD38BE">
        <w:rPr>
          <w:rFonts w:eastAsiaTheme="minorHAnsi"/>
          <w:kern w:val="2"/>
          <w:sz w:val="28"/>
          <w:szCs w:val="28"/>
          <w:lang w:val="en-US" w:eastAsia="en-US"/>
        </w:rPr>
        <w:t>Datta, A., Tschantz, M. C., &amp; Datta, A. (2015). Automated experiments on ad privacy settings. Proceedings on Privacy Enhancing Technologies, 2015, 92–112.</w:t>
      </w:r>
      <w:r w:rsidRPr="00FD38BE">
        <w:rPr>
          <w:rFonts w:eastAsiaTheme="minorHAnsi"/>
          <w:kern w:val="2"/>
          <w:sz w:val="28"/>
          <w:szCs w:val="28"/>
          <w:lang w:val="uk-UA" w:eastAsia="en-US"/>
        </w:rPr>
        <w:t xml:space="preserve"> (дата звернення: 12.07.2025)</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uk-UA" w:eastAsia="en-US"/>
        </w:rPr>
      </w:pPr>
      <w:r w:rsidRPr="00FD38BE">
        <w:rPr>
          <w:rFonts w:eastAsiaTheme="minorHAnsi"/>
          <w:kern w:val="2"/>
          <w:sz w:val="28"/>
          <w:szCs w:val="28"/>
          <w:lang w:val="en-US" w:eastAsia="en-US"/>
        </w:rPr>
        <w:t xml:space="preserve">Sweeney, L. (2013). Discrimination in online ad delivery. </w:t>
      </w:r>
      <w:r w:rsidRPr="00FD38BE">
        <w:rPr>
          <w:rFonts w:eastAsiaTheme="minorHAnsi"/>
          <w:kern w:val="2"/>
          <w:sz w:val="28"/>
          <w:szCs w:val="28"/>
          <w:lang w:val="uk-UA" w:eastAsia="en-US"/>
        </w:rPr>
        <w:t xml:space="preserve">Queue, 11, 3. </w:t>
      </w:r>
      <w:r w:rsidRPr="00FD38BE">
        <w:rPr>
          <w:rFonts w:eastAsiaTheme="minorHAnsi"/>
          <w:kern w:val="2"/>
          <w:sz w:val="28"/>
          <w:szCs w:val="28"/>
          <w:lang w:val="en-US" w:eastAsia="en-US"/>
        </w:rPr>
        <w:t>URL</w:t>
      </w:r>
      <w:r w:rsidRPr="00FD38BE">
        <w:rPr>
          <w:rFonts w:eastAsiaTheme="minorHAnsi"/>
          <w:kern w:val="2"/>
          <w:sz w:val="28"/>
          <w:szCs w:val="28"/>
          <w:lang w:val="uk-UA" w:eastAsia="en-US"/>
        </w:rPr>
        <w:t xml:space="preserve">: </w:t>
      </w:r>
      <w:hyperlink r:id="rId89" w:history="1">
        <w:r w:rsidRPr="00FD38BE">
          <w:rPr>
            <w:rFonts w:eastAsiaTheme="minorHAnsi"/>
            <w:kern w:val="2"/>
            <w:sz w:val="28"/>
            <w:szCs w:val="28"/>
            <w:u w:val="single"/>
            <w:lang w:val="uk-UA" w:eastAsia="en-US"/>
          </w:rPr>
          <w:t>https://spawn-queue.acm.org/doi/10.1145/2460276.2460278</w:t>
        </w:r>
      </w:hyperlink>
      <w:r w:rsidRPr="00FD38BE">
        <w:rPr>
          <w:rFonts w:eastAsiaTheme="minorHAnsi"/>
          <w:kern w:val="2"/>
          <w:sz w:val="28"/>
          <w:szCs w:val="28"/>
          <w:lang w:val="uk-UA" w:eastAsia="en-US"/>
        </w:rPr>
        <w:t xml:space="preserve"> (дата звернення: 12.07.2025)</w:t>
      </w:r>
    </w:p>
    <w:p w:rsidR="00076275" w:rsidRPr="00FD38BE" w:rsidRDefault="00076275" w:rsidP="00076275">
      <w:pPr>
        <w:numPr>
          <w:ilvl w:val="0"/>
          <w:numId w:val="30"/>
        </w:numPr>
        <w:spacing w:line="360" w:lineRule="auto"/>
        <w:ind w:left="0" w:firstLine="709"/>
        <w:contextualSpacing/>
        <w:jc w:val="both"/>
        <w:rPr>
          <w:rFonts w:eastAsiaTheme="minorHAnsi"/>
          <w:kern w:val="2"/>
          <w:sz w:val="28"/>
          <w:szCs w:val="28"/>
          <w:lang w:val="uk-UA" w:eastAsia="en-US"/>
        </w:rPr>
      </w:pPr>
      <w:r w:rsidRPr="00FD38BE">
        <w:rPr>
          <w:rFonts w:eastAsiaTheme="minorHAnsi"/>
          <w:kern w:val="2"/>
          <w:sz w:val="28"/>
          <w:szCs w:val="28"/>
          <w:lang w:val="uk-UA" w:eastAsia="en-US"/>
        </w:rPr>
        <w:t>Т</w:t>
      </w:r>
      <w:r w:rsidRPr="00FD38BE">
        <w:rPr>
          <w:rFonts w:eastAsiaTheme="minorHAnsi"/>
          <w:kern w:val="2"/>
          <w:sz w:val="28"/>
          <w:szCs w:val="28"/>
          <w:lang w:val="en-US" w:eastAsia="en-US"/>
        </w:rPr>
        <w:t>atman, R. (2016). Google’s speech recognition has a gender bia. URL</w:t>
      </w:r>
      <w:r w:rsidRPr="00FD38BE">
        <w:rPr>
          <w:rFonts w:eastAsiaTheme="minorHAnsi"/>
          <w:kern w:val="2"/>
          <w:sz w:val="28"/>
          <w:szCs w:val="28"/>
          <w:lang w:val="uk-UA" w:eastAsia="en-US"/>
        </w:rPr>
        <w:t xml:space="preserve">: </w:t>
      </w:r>
      <w:hyperlink r:id="rId90" w:history="1">
        <w:r w:rsidRPr="00FD38BE">
          <w:rPr>
            <w:rFonts w:eastAsiaTheme="minorHAnsi"/>
            <w:kern w:val="2"/>
            <w:sz w:val="28"/>
            <w:szCs w:val="28"/>
            <w:u w:val="single"/>
            <w:lang w:val="uk-UA" w:eastAsia="en-US"/>
          </w:rPr>
          <w:t>https://makingnoiseandhearingthings.com/2016/07/12/googles-speech-recognition-has-a-gender-bias/</w:t>
        </w:r>
      </w:hyperlink>
      <w:r w:rsidRPr="00FD38BE">
        <w:rPr>
          <w:rFonts w:eastAsiaTheme="minorHAnsi"/>
          <w:kern w:val="2"/>
          <w:sz w:val="28"/>
          <w:szCs w:val="28"/>
          <w:lang w:val="uk-UA" w:eastAsia="en-US"/>
        </w:rPr>
        <w:t xml:space="preserve"> (дата звернення: 12.07.2025)</w:t>
      </w:r>
    </w:p>
    <w:p w:rsidR="00076275" w:rsidRDefault="00076275" w:rsidP="00076275">
      <w:pPr>
        <w:spacing w:line="360" w:lineRule="auto"/>
        <w:jc w:val="both"/>
        <w:rPr>
          <w:rFonts w:eastAsiaTheme="minorHAnsi"/>
          <w:kern w:val="2"/>
          <w:sz w:val="28"/>
          <w:szCs w:val="28"/>
          <w:lang w:val="uk-UA" w:eastAsia="en-US"/>
        </w:rPr>
      </w:pPr>
    </w:p>
    <w:p w:rsidR="00076275" w:rsidRPr="00FD38BE" w:rsidRDefault="00076275" w:rsidP="00076275">
      <w:pPr>
        <w:spacing w:line="360" w:lineRule="auto"/>
        <w:jc w:val="both"/>
        <w:rPr>
          <w:sz w:val="28"/>
          <w:szCs w:val="28"/>
          <w:lang w:val="uk-UA"/>
        </w:rPr>
      </w:pPr>
    </w:p>
    <w:p w:rsidR="00076275" w:rsidRPr="00FD38BE" w:rsidRDefault="00076275" w:rsidP="00076275">
      <w:pPr>
        <w:spacing w:line="360" w:lineRule="auto"/>
        <w:ind w:firstLine="709"/>
        <w:jc w:val="center"/>
        <w:rPr>
          <w:rFonts w:eastAsiaTheme="minorHAnsi"/>
          <w:b/>
          <w:iCs/>
          <w:kern w:val="2"/>
          <w:sz w:val="28"/>
          <w:szCs w:val="28"/>
          <w:lang w:val="uk-UA" w:eastAsia="en-US"/>
        </w:rPr>
      </w:pPr>
      <w:r w:rsidRPr="00FD38BE">
        <w:rPr>
          <w:rFonts w:eastAsiaTheme="minorHAnsi"/>
          <w:b/>
          <w:iCs/>
          <w:kern w:val="2"/>
          <w:sz w:val="28"/>
          <w:szCs w:val="28"/>
          <w:lang w:val="uk-UA" w:eastAsia="en-US"/>
        </w:rPr>
        <w:t xml:space="preserve">ВИМОГИ ДО ЮРИДИЧНОЇ КОМПОЗИЦІЇ ПРАВОВОЇ ПОЗИЦІЇ </w:t>
      </w:r>
    </w:p>
    <w:p w:rsidR="00076275" w:rsidRPr="006B5DF2" w:rsidRDefault="00076275" w:rsidP="00076275">
      <w:pPr>
        <w:spacing w:line="360" w:lineRule="auto"/>
        <w:ind w:firstLine="709"/>
        <w:jc w:val="center"/>
        <w:rPr>
          <w:rFonts w:eastAsiaTheme="minorHAnsi"/>
          <w:b/>
          <w:iCs/>
          <w:kern w:val="2"/>
          <w:sz w:val="28"/>
          <w:szCs w:val="28"/>
          <w:lang w:val="uk-UA" w:eastAsia="en-US"/>
        </w:rPr>
      </w:pPr>
      <w:r w:rsidRPr="00FD38BE">
        <w:rPr>
          <w:rFonts w:eastAsiaTheme="minorHAnsi"/>
          <w:b/>
          <w:iCs/>
          <w:kern w:val="2"/>
          <w:sz w:val="28"/>
          <w:szCs w:val="28"/>
          <w:lang w:val="uk-UA" w:eastAsia="en-US"/>
        </w:rPr>
        <w:t>В РІШЕННІ АДМІНІСТРАТИВНОГО СУДУ</w:t>
      </w:r>
    </w:p>
    <w:p w:rsidR="00076275" w:rsidRPr="00FD38BE" w:rsidRDefault="00076275" w:rsidP="00076275">
      <w:pPr>
        <w:spacing w:line="360" w:lineRule="auto"/>
        <w:ind w:firstLine="709"/>
        <w:jc w:val="center"/>
        <w:rPr>
          <w:b/>
          <w:i/>
          <w:kern w:val="2"/>
          <w:sz w:val="28"/>
          <w:szCs w:val="28"/>
          <w:lang w:val="uk-UA" w:eastAsia="en-US"/>
        </w:rPr>
      </w:pPr>
      <w:r w:rsidRPr="00FD38BE">
        <w:rPr>
          <w:b/>
          <w:i/>
          <w:kern w:val="2"/>
          <w:sz w:val="28"/>
          <w:szCs w:val="28"/>
          <w:lang w:val="uk-UA" w:eastAsia="en-US"/>
        </w:rPr>
        <w:t>Цховребова М. Г.,</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Аспірантка кафедри державно-правових дисциплін,</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Міжнародний університет,</w:t>
      </w:r>
    </w:p>
    <w:p w:rsidR="00076275" w:rsidRPr="00FD38BE" w:rsidRDefault="00076275" w:rsidP="00076275">
      <w:pPr>
        <w:spacing w:line="360" w:lineRule="auto"/>
        <w:ind w:firstLine="709"/>
        <w:jc w:val="center"/>
        <w:rPr>
          <w:i/>
          <w:kern w:val="2"/>
          <w:sz w:val="28"/>
          <w:szCs w:val="28"/>
          <w:lang w:val="uk-UA" w:eastAsia="en-US"/>
        </w:rPr>
      </w:pPr>
      <w:r w:rsidRPr="00FD38BE">
        <w:rPr>
          <w:i/>
          <w:kern w:val="2"/>
          <w:sz w:val="28"/>
          <w:szCs w:val="28"/>
          <w:lang w:val="uk-UA" w:eastAsia="en-US"/>
        </w:rPr>
        <w:t>м. Одеса, Україна</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11" w:name="_Hlk204368724"/>
      <w:r w:rsidRPr="00FD38BE">
        <w:rPr>
          <w:rFonts w:eastAsiaTheme="minorHAnsi"/>
          <w:kern w:val="2"/>
          <w:sz w:val="28"/>
          <w:szCs w:val="28"/>
          <w:lang w:val="uk-UA" w:eastAsia="en-US"/>
        </w:rPr>
        <w:t>Формування правової позиції адміністративного суду є складним процесом, що поєднує аналітичну, правозастосовну й оціночну діяльність суду. З урахуванням значення мотивувальної частини рішення для обґрунтування правових висновків все більшої актуальності набуває питання дотримання вимог до юридичної композиції правової позиції. Зміст і форма викладення правової позиції не лише засвідчують якість судового рішення, а й забезпечують реалізацію принципу верховенства права, зокрема таких його складників, як правова визначеність, справедливість і послідовність судової практики.</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12" w:name="_Hlk204368301"/>
      <w:r w:rsidRPr="00FD38BE">
        <w:rPr>
          <w:rFonts w:eastAsiaTheme="minorHAnsi"/>
          <w:kern w:val="2"/>
          <w:sz w:val="28"/>
          <w:szCs w:val="28"/>
          <w:lang w:val="uk-UA" w:eastAsia="en-US"/>
        </w:rPr>
        <w:t xml:space="preserve">У сучасному адміністративному судочинстві правова позиція розглядається як інтегральний елемент судової діяльності, що виходить за межі </w:t>
      </w:r>
      <w:r w:rsidRPr="00FD38BE">
        <w:rPr>
          <w:rFonts w:eastAsiaTheme="minorHAnsi"/>
          <w:kern w:val="2"/>
          <w:sz w:val="28"/>
          <w:szCs w:val="28"/>
          <w:lang w:val="uk-UA" w:eastAsia="en-US"/>
        </w:rPr>
        <w:lastRenderedPageBreak/>
        <w:t>суто інтерпретаційної функції та охоплює формування узагальнених підходів до розуміння й практичного застосування адміністративно-правових норм, забезпечуючи єдність судової практики та передбачуваність правозастосування.</w:t>
      </w:r>
    </w:p>
    <w:bookmarkEnd w:id="12"/>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З’ясування сутності юридичної композиції правової позиції адміністративного суду, виокремлення вимог до її змісту, форми, мови та функціональності, а також визначення проблемних аспектів формулювання мотивувальної частини рішень суду, потребує використання системного, логіко-семантичного, структурно-функціонального і формально-юридичного методів.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Юридична композиція, за обґрунтуванням Д. Г. Манька, «відображає стиль викладення матеріалу та юридичні конструкції, які використовувалися при цьому. Юридична композиція правового акту</w:t>
      </w:r>
      <w:r w:rsidRPr="00FD38BE">
        <w:rPr>
          <w:rFonts w:eastAsiaTheme="minorHAnsi"/>
          <w:b/>
          <w:kern w:val="2"/>
          <w:sz w:val="28"/>
          <w:szCs w:val="28"/>
          <w:lang w:val="uk-UA" w:eastAsia="en-US"/>
        </w:rPr>
        <w:t xml:space="preserve"> </w:t>
      </w:r>
      <w:r w:rsidRPr="00FD38BE">
        <w:rPr>
          <w:rFonts w:eastAsiaTheme="minorHAnsi"/>
          <w:kern w:val="2"/>
          <w:sz w:val="28"/>
          <w:szCs w:val="28"/>
          <w:lang w:val="uk-UA" w:eastAsia="en-US"/>
        </w:rPr>
        <w:t>– це особливості конструювання, викладення та ролі в правовому регулюванні соціально-значущого припису, який отримує вираз у правовому акті» [6, с. 92].</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Формування правової позиції адміністративного суду вимагає дотримання як загально юридичних, так і спеціально-композиційних вимог, які забезпечують структурну цілісність, нормативну обґрунтованість, функціональну доцільність і доступність правового висновку.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Першу групу складають вимоги до змісту. Правова позиція має ґрунтуватися на ретельному аналізі обставин справи, відповідному тлумаченні норм права та внутрішньо узгодженому правовому висновку. До основних змістових вимог належать: науковість, єдність, логічність.</w:t>
      </w:r>
    </w:p>
    <w:bookmarkEnd w:id="11"/>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З цього приводу О. Пасенюк підкреслює: «…мотивувальна частина рішення містить судовий аналіз фактичних обставин справи, доказів, у ній визначається їх доказова сила. У цій частині відбито пізнавальну діяльність суду та учасників процесу. Мотивувальна частина включає фактичне і правове обґрунтування судового рішення та закінчується правовою кваліфікацією матеріального правовідношення, що є предметом процесу» [4, с. 467].</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13" w:name="_Hlk204368763"/>
      <w:r w:rsidRPr="00FD38BE">
        <w:rPr>
          <w:rFonts w:eastAsiaTheme="minorHAnsi"/>
          <w:kern w:val="2"/>
          <w:sz w:val="28"/>
          <w:szCs w:val="28"/>
          <w:lang w:val="uk-UA" w:eastAsia="en-US"/>
        </w:rPr>
        <w:t>Науковість зумовлює, що правова позиція має бути побудована на основі узагальнених теоретичних положень, правових доктрин і принципів, з урахуванням судової практики, зокрема практики Верховного Суду.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Єдність правової позиції має розкривати наскрізну логіку оцінювання обставин справи та їх юридичну кваліфікацію, відображаючи чітко визначений причинно-наслідковий зв’язок.</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Відповідність формальній логіці забезпечує належну послідовність, відсутність протирічь, структурованість отримання висновків, які повинні логічно випливати з наведених аргументів і доказів.</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Правова позиція має бути сформульована з урахуванням професійних стандартів суддівської діяльності та належної правової аргументації, відповідати суспільній потребі в ефективному вирішенні публічно-правового спору, а не лише бути формальною відповіддю на вимоги позову.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Другу групу складають формальні вимоги. Форма викладення правової позиції є не менш важливою, ніж її зміст. Вона визначає зрозумілість і придатність правової позиції до застосування у правозастосовній практиці. Основні вимоги визначені у КАС України, окрім них слід звертати увагу на чіткість посилань на нормативні акти, судову практику, обставини справи й аргументи сторін, відповідність формату мотивувальної частини. Правова позиція має бути інтегрована в мотивувальну частину без відступів у форматі або термінології.</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Суттєве значення має мовно-стилістичне оформлення правової позиції, бо саме завдяки цьому забезпечується її зрозумілість, правова визначеність і точність регулятивного впливу. Правова позиція має бути викладена державною мовою з дотриманням офіційно-ділової форми, необхідно уникати двозначностей, нечіткості, зайвої термінологічної складності.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Виклад змісту правової позиції має бути об’єктивним, неемоційним, виваженим, позбавленим оцінних суджень. Текст має бути цілісним і послідовним, без суперечностей, із чітким завершальним висновком.</w:t>
      </w:r>
    </w:p>
    <w:p w:rsidR="00076275" w:rsidRPr="00FD38BE" w:rsidRDefault="00076275" w:rsidP="00076275">
      <w:pPr>
        <w:spacing w:line="360" w:lineRule="auto"/>
        <w:ind w:firstLine="709"/>
        <w:jc w:val="both"/>
        <w:rPr>
          <w:rFonts w:eastAsiaTheme="minorHAnsi"/>
          <w:kern w:val="2"/>
          <w:sz w:val="28"/>
          <w:szCs w:val="28"/>
          <w:lang w:val="uk-UA" w:eastAsia="en-US"/>
        </w:rPr>
      </w:pPr>
      <w:bookmarkStart w:id="14" w:name="_Hlk202543915"/>
      <w:bookmarkEnd w:id="13"/>
      <w:r w:rsidRPr="00FD38BE">
        <w:rPr>
          <w:rFonts w:eastAsiaTheme="minorHAnsi"/>
          <w:kern w:val="2"/>
          <w:sz w:val="28"/>
          <w:szCs w:val="28"/>
          <w:lang w:val="uk-UA" w:eastAsia="en-US"/>
        </w:rPr>
        <w:t>Враховуючи наведені вимоги, ми можемо сформулювати певні базові принципи, на яких має засновуватися моделювання юридичної композиції правової позиції в рішенні адміністративного суду.</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Перш за все слід назвати принцип аргументативної цілісності. Цей принцип означає обов’язковість цілісного, логічно узгодженого, </w:t>
      </w:r>
      <w:r w:rsidRPr="00FD38BE">
        <w:rPr>
          <w:rFonts w:eastAsiaTheme="minorHAnsi"/>
          <w:kern w:val="2"/>
          <w:sz w:val="28"/>
          <w:szCs w:val="28"/>
          <w:lang w:val="uk-UA" w:eastAsia="en-US"/>
        </w:rPr>
        <w:lastRenderedPageBreak/>
        <w:t xml:space="preserve">структурованого та змістовно завершеного викладу правової позиції суду, яка формується у процесі розгляду і вирішення адміністративної справи, з урахуванням єдності фактичної, правової та логіко-оціночної основи позиції, структурної інтегрованості всіх елементів правової позиції в рамках юридичної композиції рішення та послідовного обґрунтування, що виключає фрагментарність, суперечності чи декларативність судових висновків. </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З цього приводу В. А. Орел слушно зауважує: «…юридична аргументація у судових рішеннях є їх домінантою, адже вона є ключем до досягнення істини в праві та встановлення справедливості. Нерідко до судового процесу з метою розширення аргументації та доказової бази залучаються “знаючі особи”, які є носіями спеціальних знань (судові експерти). Висновки судових експертів повинні відповідати вимогам обґрунтованості та неупередженості» [7, с. 405].</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При моделюванні правової позиції цей принцип реалізується через логіко-доказову послідовність, використання юридико-технічних інструментів і узгодження внутрішньої структури.</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Наступним виступає принцип юридичної транслятивності. Його застосування означає орієнтацію моделювання правової позиції на її належну юридичну трансляцію, зрозумілість іншими суб’єктами права (учасниками справи, іншими судами, адміністративними органами, науковою спільнотою) шляхом формалізованого передання змісту правової позиції через логічну та змістову структуру судового рішення, що потенційно уможливлює відтворюваність правових висновків у схожих справах.</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Слід погодитися з І. В. Завальнюком, що «…вимоги, які пред’являються до судового рішення, служать конституційною гарантією вирішення проблеми в рамках закону, захисту прав і законних інтересів людини і громадянина, відновлення порушеного права і законності, гарантією здійснення правосуддя, тобто однією з найважливіших гарантій становлення правової держави. Тільки при дотриманні судом всіх вимог, встановлених в законі щодо правомірності винесеного судового рішення, можна говорити про виконання конституційно закріплених завдань судочинства і правосуддя» [3, с. 69].</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З одного боку, правова позиція має бути не лише результатом внутрішнього судового переконання, а й таким конструктивом, який дозволяє юридично точно передати суть прийнятого рішення іншим суб’єктам, а з іншого – має бути придатною до використання в аналогічних кейсах і в посиланнях правових висновків інших рішень, включення до узагальнень, аналітичних довідок тощо.</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Принцип презумптивного переконання передбачає, що юридична композиція правової позиції суду має бути побудована так, щоб у рамках свого логіко-структурного оформлення містила внутрішню презумпцію переконливості, тобто має бути сформульована таким чином, щоб з точки зору обізнаного суб’єкта правозастосування вона апріорно сприймалась як обґрунтована, логічна і законна, а відповідно – чітко визначена.</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Розмірковуючи про визначеність як складову розвитку правової держави, В. В. Заборовський зазначає: «…будь-яка правова держава, у свою чергу, розуміючи необхідність фундаментального розвитку ідеї верховенства права як основи не лише розвитку такої держави, а й оптимального функціонування державної влади та особистості. Одним із визначальних механізмів, які підкреслюють довіру суспільства до правових інститутів у державі, є можливість кожного отримати доступ до правосуддя, а також впевненість у визначеності свого становища» [2, с. 384].</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Побудова правової позиції має ґрунтуватися на такій структурі доводів, яка породжує переконання в її правильності без потреби в додатковому доказуванні та демонструвати, що вона створена в рамках загальних презумпцій: законності, добросовісності, об’єктивності та неупередженості.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Наступним є принцип моделювання через фокусний критерій, який означає, що при формуванні юридичної композиції правової позиції суду необхідно виокремлювати ключовий, домінантний орієнтир (критерій), навколо якого будується вся структура правової аргументації, оцінювання фактів, вибору норм, їх тлумачення і способу застосування (наприклад, «втрата довіри» як критерій звільнення держслужбовця).</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lastRenderedPageBreak/>
        <w:t>О. В. Джафарова обгрунтовує, що «значущість судових рішень в адміністративному судочинстві полягає в тому, що останні не тільки вирішують спір про право у публічно-правовій сфері, а й формують уявлення і довіру громадянського суспільства до судової гілки влади в цілому» [1, с. 3].</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По суті, це інтелектуально-юридичне відцентрування правової позиції, що визначає її цільову спрямованість, основний вектор тлумачення норм і визначальну логіку судового мислення в конкретній справі.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Суд повинен визначити, який саме критерій у цій справі є домінантним для справедливого, законного та ефективного вирішення: законність, співмірність, дотримання процедурних гарантій, захист прав, публічний інтерес, судовий контроль дискреції тощо. Цей критерій визначає, як будуть інтерпретуватися факти, які норми вважатимуться релевантними, яка модель тлумачення застосовуватиметься, що саме є доказовим ядром. Правова позиція повинна демонструвати, що всі аргументи – це не випадковий набір, а послідовно зосереджені доводи, вибудовані під певну правову цінність чи принцип.</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Насамкінець доцільно назвати принцип експліцитності правових висновків, який передбачає, що у структурі правової позиції адміністративного суду кожен правовий висновок має бути чітко виокремлений, аргументовано сформульований, семантично прозорий і такий, що не містить прихованих чи неявних значень.</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Аналізуючи роль визначеності в процесі формування текстів рішень суду, науковці зазначають: «…визначеність висуває до судового рішення вимогу щодо надання судом чіткої і конкретної відповіді на усі поставлені перед судом питання із зазначенням: висновку суду про задоволення позову або відмову в задоволенні позову повністю чи частково» [5, с. 25].</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Експліцитність вимагає того, щоб зміст кожного правового висновку був логічно виведений із попередніх аргументів і позбавлений двозначності чи підвищеної інтерпретаційної навантаженості.</w:t>
      </w:r>
    </w:p>
    <w:p w:rsidR="00076275" w:rsidRPr="00FD38BE" w:rsidRDefault="00076275" w:rsidP="00076275">
      <w:pPr>
        <w:spacing w:line="360" w:lineRule="auto"/>
        <w:ind w:firstLine="709"/>
        <w:jc w:val="both"/>
        <w:rPr>
          <w:rFonts w:eastAsiaTheme="minorHAnsi"/>
          <w:kern w:val="2"/>
          <w:sz w:val="28"/>
          <w:szCs w:val="28"/>
          <w:lang w:val="uk-UA" w:eastAsia="en-US"/>
        </w:rPr>
      </w:pPr>
      <w:r w:rsidRPr="00FD38BE">
        <w:rPr>
          <w:rFonts w:eastAsiaTheme="minorHAnsi"/>
          <w:kern w:val="2"/>
          <w:sz w:val="28"/>
          <w:szCs w:val="28"/>
          <w:lang w:val="uk-UA" w:eastAsia="en-US"/>
        </w:rPr>
        <w:t xml:space="preserve">Принцип експліцитності виступає як певний стандарт ясності й відкритості юридичного мислення суду. У рамках юридичної композиції </w:t>
      </w:r>
      <w:r w:rsidRPr="00FD38BE">
        <w:rPr>
          <w:rFonts w:eastAsiaTheme="minorHAnsi"/>
          <w:kern w:val="2"/>
          <w:sz w:val="28"/>
          <w:szCs w:val="28"/>
          <w:lang w:val="uk-UA" w:eastAsia="en-US"/>
        </w:rPr>
        <w:lastRenderedPageBreak/>
        <w:t>правової позиції він гарантує, що жодна ключова теза не залишиться недомовленою, знеособленою або позбавленою чіткого вираження. На відміну від принципу аргументативної цілісності, який зосереджується на єдності структури, і від принципу транслятивності, який акцентує на комунікативній передаваності, принцип експліцитності зосереджений на семантичній і логічній вивіреності кожного правового висновку як завершеного елемента композиції.</w:t>
      </w:r>
    </w:p>
    <w:p w:rsidR="00076275" w:rsidRDefault="00076275" w:rsidP="00076275">
      <w:pPr>
        <w:spacing w:line="360" w:lineRule="auto"/>
        <w:ind w:firstLine="709"/>
        <w:jc w:val="both"/>
        <w:rPr>
          <w:rFonts w:eastAsiaTheme="minorHAnsi"/>
          <w:kern w:val="2"/>
          <w:sz w:val="28"/>
          <w:szCs w:val="28"/>
          <w:lang w:val="uk-UA" w:eastAsia="en-US"/>
        </w:rPr>
      </w:pPr>
      <w:bookmarkStart w:id="15" w:name="_Hlk204368888"/>
      <w:bookmarkEnd w:id="14"/>
      <w:r w:rsidRPr="00FD38BE">
        <w:rPr>
          <w:rFonts w:eastAsiaTheme="minorHAnsi"/>
          <w:kern w:val="2"/>
          <w:sz w:val="28"/>
          <w:szCs w:val="28"/>
          <w:lang w:val="uk-UA" w:eastAsia="en-US"/>
        </w:rPr>
        <w:t>Юридична композиція правової позиції виступає показником не лише професійного рівня судді, а й інституційної спроможності адміністративної юстиції ефективно реалізовувати принцип верховенства права. Дотримання наведених вимог є необхідною умовою якості рішення суду, довіри до суду та стабільності публічно-правового регулювання.</w:t>
      </w:r>
      <w:bookmarkEnd w:id="15"/>
    </w:p>
    <w:p w:rsidR="00076275" w:rsidRPr="006B5DF2" w:rsidRDefault="00076275" w:rsidP="00076275">
      <w:pPr>
        <w:spacing w:line="360" w:lineRule="auto"/>
        <w:ind w:firstLine="709"/>
        <w:jc w:val="both"/>
        <w:rPr>
          <w:rFonts w:eastAsiaTheme="minorHAnsi"/>
          <w:kern w:val="2"/>
          <w:sz w:val="28"/>
          <w:szCs w:val="28"/>
          <w:lang w:val="uk-UA" w:eastAsia="en-US"/>
        </w:rPr>
      </w:pPr>
    </w:p>
    <w:p w:rsidR="00076275" w:rsidRPr="006B5DF2" w:rsidRDefault="00076275" w:rsidP="00076275">
      <w:pPr>
        <w:spacing w:line="360" w:lineRule="auto"/>
        <w:ind w:firstLine="709"/>
        <w:jc w:val="center"/>
        <w:rPr>
          <w:rFonts w:eastAsiaTheme="minorHAnsi"/>
          <w:b/>
          <w:bCs/>
          <w:kern w:val="2"/>
          <w:sz w:val="28"/>
          <w:szCs w:val="28"/>
          <w:lang w:val="uk-UA" w:eastAsia="en-US"/>
        </w:rPr>
      </w:pPr>
      <w:r w:rsidRPr="00FD38BE">
        <w:rPr>
          <w:rFonts w:eastAsiaTheme="minorHAnsi"/>
          <w:b/>
          <w:bCs/>
          <w:kern w:val="2"/>
          <w:sz w:val="28"/>
          <w:szCs w:val="28"/>
          <w:lang w:val="uk-UA" w:eastAsia="en-US"/>
        </w:rPr>
        <w:t>СПИСОК ВИКОРИСТАНИХ ДЖЕРЕЛ</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Джафарова О. В. Судові рішення в адміністративному судочинстві : питання теорії та практики : монографія. Харків : Вид-во ХНУВС, 2014. 260 с.</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 xml:space="preserve">Заборовський В. В., Манзюк В. В., Стойка А. В. Перегляд судових рішень: теоретико-правове дослідження практики Європейського суду з прав людини щодо доступу до правосуддя. </w:t>
      </w:r>
      <w:r w:rsidRPr="00FD38BE">
        <w:rPr>
          <w:i/>
          <w:kern w:val="2"/>
          <w:sz w:val="28"/>
          <w:szCs w:val="28"/>
          <w:lang w:val="uk-UA" w:eastAsia="en-US"/>
        </w:rPr>
        <w:t>Електронне наукове видання «Аналітично-порівняльне правознавство». Розділ Х: судоустрій; прокуратура та адвокатура</w:t>
      </w:r>
      <w:r w:rsidRPr="00FD38BE">
        <w:rPr>
          <w:kern w:val="2"/>
          <w:sz w:val="28"/>
          <w:szCs w:val="28"/>
          <w:lang w:val="uk-UA" w:eastAsia="en-US"/>
        </w:rPr>
        <w:t>. 2022. С. 383–389. URL: https://app-journal.in.ua/wp-content/uploads/2022/12/73.pdf</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 xml:space="preserve">Завальнюк І. В. Законність та обґрунтованість судового рішення як гарантія реалізації засад справедливості судового розгляду. </w:t>
      </w:r>
      <w:r w:rsidRPr="00FD38BE">
        <w:rPr>
          <w:i/>
          <w:kern w:val="2"/>
          <w:sz w:val="28"/>
          <w:szCs w:val="28"/>
          <w:lang w:val="uk-UA" w:eastAsia="en-US"/>
        </w:rPr>
        <w:t>Вісник Львівського торг.-економ. ун-ту. Юридичні науки.</w:t>
      </w:r>
      <w:r w:rsidRPr="00FD38BE">
        <w:rPr>
          <w:kern w:val="2"/>
          <w:sz w:val="28"/>
          <w:szCs w:val="28"/>
          <w:lang w:val="uk-UA" w:eastAsia="en-US"/>
        </w:rPr>
        <w:t xml:space="preserve"> 2021. № 10. С. 62–71.</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Кодекс адміністративного судочинства України : наук.-практ. коментар / О. М. Пасенюк (кер. авт. кол.), О. Н. Панченко, В. Б. Авер’янов [та ін.] ; за заг. ред. О. М. Пасенюка. Київ : Юрінком Інтер, 2009. 704 с.</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 xml:space="preserve">Котелевець А. Окремі питання щодо якості судових рішень. </w:t>
      </w:r>
      <w:r w:rsidRPr="00FD38BE">
        <w:rPr>
          <w:i/>
          <w:kern w:val="2"/>
          <w:sz w:val="28"/>
          <w:szCs w:val="28"/>
          <w:lang w:val="uk-UA" w:eastAsia="en-US"/>
        </w:rPr>
        <w:t>Слово Національної школи суддів України.</w:t>
      </w:r>
      <w:r w:rsidRPr="00FD38BE">
        <w:rPr>
          <w:kern w:val="2"/>
          <w:sz w:val="28"/>
          <w:szCs w:val="28"/>
          <w:lang w:val="uk-UA" w:eastAsia="en-US"/>
        </w:rPr>
        <w:t xml:space="preserve"> 2015. № 3 (12). С. 18–26.</w:t>
      </w:r>
    </w:p>
    <w:p w:rsidR="00076275" w:rsidRPr="00FD38BE"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t>Манько Д. Г. Юридичні технології та алгоритми формалізації права у вимірі юридичної діяльності : монографія. Одеса : Фенікс, 2019. 320 с.</w:t>
      </w:r>
    </w:p>
    <w:p w:rsidR="00076275" w:rsidRDefault="00076275" w:rsidP="00076275">
      <w:pPr>
        <w:numPr>
          <w:ilvl w:val="0"/>
          <w:numId w:val="31"/>
        </w:numPr>
        <w:spacing w:line="360" w:lineRule="auto"/>
        <w:ind w:left="0" w:firstLine="709"/>
        <w:jc w:val="both"/>
        <w:rPr>
          <w:kern w:val="2"/>
          <w:sz w:val="28"/>
          <w:szCs w:val="28"/>
          <w:lang w:val="uk-UA" w:eastAsia="en-US"/>
        </w:rPr>
      </w:pPr>
      <w:r w:rsidRPr="00FD38BE">
        <w:rPr>
          <w:kern w:val="2"/>
          <w:sz w:val="28"/>
          <w:szCs w:val="28"/>
          <w:lang w:val="uk-UA" w:eastAsia="en-US"/>
        </w:rPr>
        <w:lastRenderedPageBreak/>
        <w:t xml:space="preserve">Орел В. А. Юридична аргументація в судовому процесі: вітчизняний досвід та зарубіжна практика. </w:t>
      </w:r>
      <w:r w:rsidRPr="00FD38BE">
        <w:rPr>
          <w:i/>
          <w:kern w:val="2"/>
          <w:sz w:val="28"/>
          <w:szCs w:val="28"/>
          <w:lang w:val="uk-UA" w:eastAsia="en-US"/>
        </w:rPr>
        <w:t>Наук. вісник Ужгород. нац. ун-ту, Серія «Право».</w:t>
      </w:r>
      <w:r w:rsidRPr="00FD38BE">
        <w:rPr>
          <w:kern w:val="2"/>
          <w:sz w:val="28"/>
          <w:szCs w:val="28"/>
          <w:lang w:val="uk-UA" w:eastAsia="en-US"/>
        </w:rPr>
        <w:t xml:space="preserve"> 2023. Вип. 78, ч. 2. С. 401–406.</w:t>
      </w:r>
    </w:p>
    <w:p w:rsidR="00076275" w:rsidRDefault="00076275" w:rsidP="00076275">
      <w:pPr>
        <w:spacing w:line="360" w:lineRule="auto"/>
        <w:ind w:left="709"/>
        <w:jc w:val="center"/>
        <w:rPr>
          <w:kern w:val="2"/>
          <w:sz w:val="28"/>
          <w:szCs w:val="28"/>
          <w:lang w:val="uk-UA" w:eastAsia="en-US"/>
        </w:rPr>
      </w:pPr>
    </w:p>
    <w:p w:rsidR="00076275" w:rsidRDefault="00076275" w:rsidP="00076275">
      <w:pPr>
        <w:spacing w:line="360" w:lineRule="auto"/>
        <w:ind w:left="709"/>
        <w:jc w:val="center"/>
        <w:rPr>
          <w:kern w:val="2"/>
          <w:sz w:val="28"/>
          <w:szCs w:val="28"/>
          <w:lang w:val="uk-UA" w:eastAsia="en-US"/>
        </w:rPr>
      </w:pPr>
    </w:p>
    <w:p w:rsidR="00076275" w:rsidRPr="00C51B36" w:rsidRDefault="00076275" w:rsidP="00076275">
      <w:pPr>
        <w:spacing w:line="360" w:lineRule="auto"/>
        <w:ind w:right="1134"/>
        <w:jc w:val="center"/>
        <w:rPr>
          <w:b/>
          <w:bCs/>
          <w:sz w:val="28"/>
          <w:szCs w:val="28"/>
          <w:lang w:eastAsia="uk-UA"/>
        </w:rPr>
      </w:pPr>
      <w:r w:rsidRPr="00C51B36">
        <w:rPr>
          <w:b/>
          <w:bCs/>
          <w:sz w:val="28"/>
          <w:szCs w:val="28"/>
          <w:lang w:eastAsia="uk-UA"/>
        </w:rPr>
        <w:t>ПРАВОВЕ РЕГУЛЮВАННЯ  ВВЕЗЕННЯ БПЛА В УКРАЇНУ</w:t>
      </w:r>
    </w:p>
    <w:p w:rsidR="00076275" w:rsidRDefault="00076275" w:rsidP="00076275">
      <w:pPr>
        <w:spacing w:line="360" w:lineRule="auto"/>
        <w:ind w:right="1134"/>
        <w:jc w:val="center"/>
        <w:rPr>
          <w:b/>
          <w:bCs/>
          <w:sz w:val="28"/>
          <w:szCs w:val="28"/>
          <w:lang w:eastAsia="uk-UA"/>
        </w:rPr>
      </w:pPr>
      <w:r>
        <w:rPr>
          <w:b/>
          <w:bCs/>
          <w:sz w:val="28"/>
          <w:szCs w:val="28"/>
          <w:lang w:eastAsia="uk-UA"/>
        </w:rPr>
        <w:t>Шпак Нікіта Сергійович</w:t>
      </w:r>
    </w:p>
    <w:p w:rsidR="00076275" w:rsidRPr="00C51B36" w:rsidRDefault="00076275" w:rsidP="00076275">
      <w:pPr>
        <w:spacing w:line="360" w:lineRule="auto"/>
        <w:ind w:right="1134"/>
        <w:jc w:val="center"/>
        <w:rPr>
          <w:sz w:val="28"/>
          <w:szCs w:val="28"/>
          <w:lang w:eastAsia="uk-UA"/>
        </w:rPr>
      </w:pPr>
      <w:r w:rsidRPr="00C51B36">
        <w:rPr>
          <w:sz w:val="28"/>
          <w:szCs w:val="28"/>
          <w:lang w:eastAsia="uk-UA"/>
        </w:rPr>
        <w:t>Здобувач першого (бакалаврського) рівня освіти</w:t>
      </w:r>
    </w:p>
    <w:p w:rsidR="00076275" w:rsidRPr="00C51B36" w:rsidRDefault="00076275" w:rsidP="00076275">
      <w:pPr>
        <w:spacing w:line="360" w:lineRule="auto"/>
        <w:ind w:right="1134"/>
        <w:jc w:val="center"/>
        <w:rPr>
          <w:sz w:val="28"/>
          <w:szCs w:val="28"/>
          <w:lang w:eastAsia="uk-UA"/>
        </w:rPr>
      </w:pPr>
      <w:r w:rsidRPr="00C51B36">
        <w:rPr>
          <w:sz w:val="28"/>
          <w:szCs w:val="28"/>
          <w:lang w:eastAsia="uk-UA"/>
        </w:rPr>
        <w:t>2 курсу спеціальності D9 Міжнародне право</w:t>
      </w:r>
    </w:p>
    <w:p w:rsidR="00076275" w:rsidRPr="00C51B36" w:rsidRDefault="00076275" w:rsidP="00076275">
      <w:pPr>
        <w:spacing w:line="360" w:lineRule="auto"/>
        <w:ind w:right="1134"/>
        <w:jc w:val="center"/>
        <w:rPr>
          <w:sz w:val="28"/>
          <w:szCs w:val="28"/>
          <w:lang w:eastAsia="uk-UA"/>
        </w:rPr>
      </w:pPr>
      <w:r w:rsidRPr="00C51B36">
        <w:rPr>
          <w:sz w:val="28"/>
          <w:szCs w:val="28"/>
          <w:lang w:eastAsia="uk-UA"/>
        </w:rPr>
        <w:t>Міжнародного університету</w:t>
      </w:r>
    </w:p>
    <w:p w:rsidR="00076275" w:rsidRPr="00C51B36" w:rsidRDefault="00076275" w:rsidP="00076275">
      <w:pPr>
        <w:spacing w:line="360" w:lineRule="auto"/>
        <w:ind w:right="1134"/>
        <w:jc w:val="center"/>
        <w:rPr>
          <w:sz w:val="28"/>
          <w:szCs w:val="28"/>
          <w:lang w:eastAsia="uk-UA"/>
        </w:rPr>
      </w:pPr>
      <w:r w:rsidRPr="00C51B36">
        <w:rPr>
          <w:sz w:val="28"/>
          <w:szCs w:val="28"/>
          <w:lang w:eastAsia="uk-UA"/>
        </w:rPr>
        <w:t xml:space="preserve">Науковий керівник: </w:t>
      </w:r>
    </w:p>
    <w:p w:rsidR="00076275" w:rsidRPr="00C51B36" w:rsidRDefault="00076275" w:rsidP="00076275">
      <w:pPr>
        <w:spacing w:line="360" w:lineRule="auto"/>
        <w:ind w:right="1134"/>
        <w:jc w:val="center"/>
        <w:rPr>
          <w:sz w:val="28"/>
          <w:szCs w:val="28"/>
          <w:lang w:eastAsia="uk-UA"/>
        </w:rPr>
      </w:pPr>
      <w:r w:rsidRPr="00C51B36">
        <w:rPr>
          <w:sz w:val="28"/>
          <w:szCs w:val="28"/>
          <w:lang w:eastAsia="uk-UA"/>
        </w:rPr>
        <w:t xml:space="preserve">к.ю.н., доцент кафедри державно-правових дисциплін </w:t>
      </w:r>
    </w:p>
    <w:p w:rsidR="00076275" w:rsidRDefault="00076275" w:rsidP="00076275">
      <w:pPr>
        <w:spacing w:line="360" w:lineRule="auto"/>
        <w:ind w:right="1134"/>
        <w:jc w:val="center"/>
        <w:rPr>
          <w:b/>
          <w:bCs/>
          <w:sz w:val="28"/>
          <w:szCs w:val="28"/>
          <w:lang w:eastAsia="uk-UA"/>
        </w:rPr>
      </w:pPr>
      <w:r>
        <w:rPr>
          <w:b/>
          <w:bCs/>
          <w:sz w:val="28"/>
          <w:szCs w:val="28"/>
          <w:lang w:eastAsia="uk-UA"/>
        </w:rPr>
        <w:t xml:space="preserve">Боксгорн </w:t>
      </w:r>
      <w:r w:rsidRPr="00C51B36">
        <w:rPr>
          <w:b/>
          <w:bCs/>
          <w:sz w:val="28"/>
          <w:szCs w:val="28"/>
          <w:lang w:eastAsia="uk-UA"/>
        </w:rPr>
        <w:t>Анастасія Вікторівна</w:t>
      </w:r>
    </w:p>
    <w:p w:rsidR="00076275" w:rsidRPr="00C51B36" w:rsidRDefault="00076275" w:rsidP="00076275">
      <w:pPr>
        <w:spacing w:line="360" w:lineRule="auto"/>
        <w:ind w:right="1134"/>
        <w:jc w:val="center"/>
        <w:rPr>
          <w:sz w:val="28"/>
          <w:szCs w:val="28"/>
          <w:lang w:eastAsia="uk-UA"/>
        </w:rPr>
      </w:pPr>
      <w:r w:rsidRPr="00B74C91">
        <w:rPr>
          <w:sz w:val="28"/>
          <w:szCs w:val="28"/>
          <w:lang w:eastAsia="uk-UA"/>
        </w:rPr>
        <w:t>Одеса, Україна</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В умовах динамічної трансформації сучасного правового простору, зумовленої інтенсивним розвитком інноваційних технологій та зростанням ролі безпекового чинника у функціонуванні держави, питання правового регулювання ввезення безпілотних літальних апаратів (БПЛА) в Україну набуває особливої науково-практичної значущості. БПЛА, як складні технічні засоби подвійного призначення, дедалі ширше інтегруються у різні сфери суспільного життя — від цивільного використання до забезпечення обороноздатності держави, що об’єктивно потребує належного нормативного супроводу їх переміщення через митний кордон.</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Зазначена проблематика характеризується міжгалузевим характером і охоплює норми митного, адміністративного, повітряного та безпекового законодавства, що зумовлює необхідність їх системного узгодження та вдосконалення. Особливої актуальності це питання набуває в умовах воєнного стану, коли контроль за ввезенням БПЛА виходить за межі суто економічного регулювання та трансформується у важливий інструмент забезпечення національної безпеки, оборони та публічного порядку.</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lastRenderedPageBreak/>
        <w:t>Водночас існуюча нормативно-правова база у цій сфері перебуває у стані становлення та адаптації до сучасних викликів, що супроводжується наявністю колізій, прогалин та необхідністю гармонізації з міжнародними стандартами. У зв’язку з цим наукове осмислення правових засад ввезення БПЛА в Україну, визначення проблемних аспектів правозастосування та окреслення перспектив подальшого розвитку відповідного регулювання становлять важливе завдання сучасної юридичної науки.</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Основоположні правові засади переміщення БПЛА через митний кордон України визначаються нормами Митного кодексу України, який встановлює загальні правила переміщення через митний кордон</w:t>
      </w:r>
      <w:proofErr w:type="gramStart"/>
      <w:r w:rsidRPr="00C51B36">
        <w:rPr>
          <w:sz w:val="28"/>
          <w:szCs w:val="28"/>
          <w:lang w:eastAsia="uk-UA"/>
        </w:rPr>
        <w:t>,м</w:t>
      </w:r>
      <w:proofErr w:type="gramEnd"/>
      <w:r w:rsidRPr="00C51B36">
        <w:rPr>
          <w:sz w:val="28"/>
          <w:szCs w:val="28"/>
          <w:lang w:eastAsia="uk-UA"/>
        </w:rPr>
        <w:t>итного контролю та оформлення товарів що перетинають митний кордон [1]. Зокрема, відповідно до положень кодексу, будь-які товари, що переміщуються через митний кордон, підлягають обов’язковому декларуванню, що включає подання митної декларації та підтверджувальних документів в процесі логістики.</w:t>
      </w:r>
    </w:p>
    <w:p w:rsidR="00076275" w:rsidRPr="00C51B36" w:rsidRDefault="00076275" w:rsidP="00076275">
      <w:pPr>
        <w:spacing w:line="360" w:lineRule="auto"/>
        <w:jc w:val="both"/>
        <w:rPr>
          <w:sz w:val="28"/>
          <w:szCs w:val="28"/>
          <w:lang w:eastAsia="uk-UA"/>
        </w:rPr>
      </w:pPr>
      <w:r w:rsidRPr="00C51B36">
        <w:rPr>
          <w:sz w:val="28"/>
          <w:szCs w:val="28"/>
          <w:lang w:eastAsia="uk-UA"/>
        </w:rPr>
        <w:t xml:space="preserve">   Особливу увагу слід приділити класифікації БПЛА як об’єктів митного регулювання. У залежності від технічних характеристик, функціонального призначення та можливостей використання, БПЛА можуть бути віднесені до товарів подвійного використання або навіть до товарів військового призначення. Це, у свою чергу, тягне за собою застосування спеціального режиму державного митного контролю [3]. </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 xml:space="preserve">Відповідно до Закону України «Про державний контроль за міжнародними передачами товарів військового призначення та подвійного використання», імпорт таких товарів потребує отримання відповідного дозволу від уповноваженого органу. Відсутність такого дозволу може призвести до притягнення до правової відповідальності та конфіскації або товару [3]. </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 xml:space="preserve">Крім того, важливим аспектом є визначення суб’єктів, які мають право здійснювати ввезення БПЛА. Це можуть бути як фізичні особи (у тому числі волонтери), так і юридичні особи, включаючи підприємства та організації. Для кожної категорії суб’єктів встановлюються свої особливості декларування та митного оформлення, що випливають із положень митного законодавства [2].  </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lastRenderedPageBreak/>
        <w:t>В умовах воєнного стану законодавець передбачив низку спрощень щодо ввезення БПЛА, особливо для потреб сектору безпеки і оборони України. Так, було запроваджено податкові та митні пільги, які передбачають звільнення від сплати ввізного мита та податку на додану вартість за умови дотримання встановлених вимог [4]. Це значно спростило процедуру імпорту для військових формувань та волонтерських організацій.</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 xml:space="preserve">Окремо слід звернути увагу на процедури митного контролю, які включають перевірку документів, огляд товарів, а також застосування системи управління ризиками. У випадку з БПЛА митні органи можуть приділяти підвищену увагу їх характеристикам та можливому використанню, що обумовлено питаннями національної безпеки [5]. </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Не менш важливим є питання правильного визначення коду товару згідно з УКТ ЗЕД, оскільки саме від цього залежить застосування відповідних ставок мита та заходів нетарифного регулювання. Помилки у класифікації можуть призвести до затримок у митному оформленні або застосування штрафних санкцій передбачених чинним законодавством [5].</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 xml:space="preserve">Також слід зазначити, що окремі аспекти використання БПЛА </w:t>
      </w:r>
      <w:proofErr w:type="gramStart"/>
      <w:r w:rsidRPr="00C51B36">
        <w:rPr>
          <w:sz w:val="28"/>
          <w:szCs w:val="28"/>
          <w:lang w:eastAsia="uk-UA"/>
        </w:rPr>
        <w:t>п</w:t>
      </w:r>
      <w:proofErr w:type="gramEnd"/>
      <w:r w:rsidRPr="00C51B36">
        <w:rPr>
          <w:sz w:val="28"/>
          <w:szCs w:val="28"/>
          <w:lang w:eastAsia="uk-UA"/>
        </w:rPr>
        <w:t>ісля їх  ввезення регулюються авіаційним законодавством України, зокрема актами, що визначають порядок використання повітряного простору. Це створює комплексний правовий режим, який охоплює як митні, так і адміністративні норми [6]. Важливим аспектом правового регулювання ввезення БПЛА так само є питання документального підтвердження їх характеристик та походження. Зокрема, митні органи можуть вимагати технічну документацію, інвойси, сертифікати відповідності або іншу документацію, що дозволяють ідентифікувати товар. Наявність повного пакету документів сприяє швидшому проходженню митного контролю та зменшує ризик затримок під час оформлення.</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 xml:space="preserve">Окремої уваги заслуговує роль волонтерських організацій у процесі ввезення БПЛА на митну територію України. В умовах воєнного стану саме волонтери стали одним із головних суб’єктів постачання безпілотних систем для потреб оборони. Цеспричинилопотребуадаптації митних процедур до їхньої </w:t>
      </w:r>
      <w:r w:rsidRPr="00C51B36">
        <w:rPr>
          <w:sz w:val="28"/>
          <w:szCs w:val="28"/>
          <w:lang w:eastAsia="uk-UA"/>
        </w:rPr>
        <w:lastRenderedPageBreak/>
        <w:t>діяльності, зокрема шляхом спрощення оформлення та зведення до мінімуму бюрократичних перешкод.</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Окрім того,слід зважати,що розвиток технологій у сфері безпілотних літальних апаратів відбувається надзвичайно стрімкими темпами, що ускладнює їхнє правове впорядкування</w:t>
      </w:r>
      <w:proofErr w:type="gramStart"/>
      <w:r w:rsidRPr="00C51B36">
        <w:rPr>
          <w:sz w:val="28"/>
          <w:szCs w:val="28"/>
          <w:lang w:eastAsia="uk-UA"/>
        </w:rPr>
        <w:t>.З</w:t>
      </w:r>
      <w:proofErr w:type="gramEnd"/>
      <w:r w:rsidRPr="00C51B36">
        <w:rPr>
          <w:sz w:val="28"/>
          <w:szCs w:val="28"/>
          <w:lang w:eastAsia="uk-UA"/>
        </w:rPr>
        <w:t>аконодавство не завжди встигає оперативно реагувати на виникнення нових типів БПЛА та методів їх застосування. У зв’язку з цим актуальним є питання постійного оновлення нормативно-правової бази та гармонізації українського законодавства з міжнародними стандартами у сфері обігу та контролю безпілотних систем.</w:t>
      </w:r>
    </w:p>
    <w:p w:rsidR="00076275" w:rsidRPr="00C51B36" w:rsidRDefault="00076275" w:rsidP="00076275">
      <w:pPr>
        <w:spacing w:line="360" w:lineRule="auto"/>
        <w:ind w:firstLine="720"/>
        <w:jc w:val="both"/>
        <w:rPr>
          <w:sz w:val="28"/>
          <w:szCs w:val="28"/>
          <w:lang w:eastAsia="uk-UA"/>
        </w:rPr>
      </w:pPr>
      <w:r w:rsidRPr="00C51B36">
        <w:rPr>
          <w:sz w:val="28"/>
          <w:szCs w:val="28"/>
          <w:lang w:eastAsia="uk-UA"/>
        </w:rPr>
        <w:t>Отже, правове регулювання ввезення безпілотних літальних апаратів в Україну постає як складна, динамічна та міжгалузева система, що поєднує інструменти митного, адміністративного, авіаційного та безпекового права. Його ефективність визначається здатністю держави забезпечити належний баланс між оперативністю імпортних процедур, що є критично важливим в умовах воєнного стану, та необхідністю здійснення дієвого контролю за обігом технологій, потенційно чутливих для національної безпеки. Водночас подальший розвиток цієї сфери потребує не лише вдосконалення нормативно-правової бази, а й її гнучкої адаптації до стрімких технологічних змін і практичних потреб держави та суспільства. Особливої ваги набуває гармонізація національного законодавства з міжнародними стандартами, а також формування прозорих і передбачуваних процедур для всіх суб’єктів правовідносин. Таким чином, удосконалення правового механізму ввезення БПЛА має здійснюватися в напрямі підвищення його ефективності, правової визначеності та адаптивності, що у підсумку сприятиме як зміцненню обороноздатності держави, так і розвитку інноваційного середовища в Україні.</w:t>
      </w:r>
    </w:p>
    <w:p w:rsidR="00076275" w:rsidRPr="00B74C91" w:rsidRDefault="00076275" w:rsidP="00076275">
      <w:pPr>
        <w:spacing w:before="240" w:line="360" w:lineRule="auto"/>
        <w:jc w:val="center"/>
        <w:rPr>
          <w:sz w:val="28"/>
          <w:szCs w:val="28"/>
          <w:lang w:eastAsia="uk-UA"/>
        </w:rPr>
      </w:pPr>
      <w:r>
        <w:rPr>
          <w:b/>
          <w:bCs/>
          <w:sz w:val="28"/>
          <w:szCs w:val="28"/>
          <w:lang w:eastAsia="uk-UA"/>
        </w:rPr>
        <w:t>СПИСОК ВИКОРИСТАНИХ ДЖЕРЕЛ</w:t>
      </w:r>
    </w:p>
    <w:p w:rsidR="00076275" w:rsidRPr="00C51B36" w:rsidRDefault="00076275" w:rsidP="00076275">
      <w:pPr>
        <w:numPr>
          <w:ilvl w:val="0"/>
          <w:numId w:val="33"/>
        </w:numPr>
        <w:spacing w:before="240" w:line="360" w:lineRule="auto"/>
        <w:jc w:val="both"/>
        <w:rPr>
          <w:sz w:val="28"/>
          <w:szCs w:val="28"/>
          <w:lang w:eastAsia="uk-UA"/>
        </w:rPr>
      </w:pPr>
      <w:r w:rsidRPr="00C51B36">
        <w:rPr>
          <w:sz w:val="28"/>
          <w:szCs w:val="28"/>
          <w:lang w:eastAsia="uk-UA"/>
        </w:rPr>
        <w:t>Митний кодекс України від 13.03.2012 № 4495-VI. URL:</w:t>
      </w:r>
      <w:r w:rsidRPr="00C51B36">
        <w:rPr>
          <w:color w:val="4A86E8"/>
          <w:sz w:val="28"/>
          <w:szCs w:val="28"/>
          <w:lang w:eastAsia="uk-UA"/>
        </w:rPr>
        <w:t>https://zakon.rada.gov.ua/laws/show/4495-17#Text</w:t>
      </w:r>
    </w:p>
    <w:p w:rsidR="00076275" w:rsidRPr="00C51B36" w:rsidRDefault="00076275" w:rsidP="00076275">
      <w:pPr>
        <w:numPr>
          <w:ilvl w:val="0"/>
          <w:numId w:val="33"/>
        </w:numPr>
        <w:spacing w:line="360" w:lineRule="auto"/>
        <w:jc w:val="both"/>
        <w:rPr>
          <w:sz w:val="28"/>
          <w:szCs w:val="28"/>
          <w:lang w:eastAsia="uk-UA"/>
        </w:rPr>
      </w:pPr>
      <w:r w:rsidRPr="00C51B36">
        <w:rPr>
          <w:sz w:val="28"/>
          <w:szCs w:val="28"/>
          <w:lang w:eastAsia="uk-UA"/>
        </w:rPr>
        <w:t>Податковий кодекс України від 02.12.2010 № 2755-VI. URL:</w:t>
      </w:r>
      <w:r w:rsidRPr="00C51B36">
        <w:rPr>
          <w:color w:val="4A86E8"/>
          <w:sz w:val="28"/>
          <w:szCs w:val="28"/>
          <w:lang w:eastAsia="uk-UA"/>
        </w:rPr>
        <w:t>https://zakon.rada.gov.ua/laws/show/2755-17#Text</w:t>
      </w:r>
    </w:p>
    <w:p w:rsidR="00076275" w:rsidRPr="00C51B36" w:rsidRDefault="00076275" w:rsidP="00076275">
      <w:pPr>
        <w:numPr>
          <w:ilvl w:val="0"/>
          <w:numId w:val="33"/>
        </w:numPr>
        <w:spacing w:line="360" w:lineRule="auto"/>
        <w:jc w:val="both"/>
        <w:rPr>
          <w:sz w:val="28"/>
          <w:szCs w:val="28"/>
          <w:lang w:eastAsia="uk-UA"/>
        </w:rPr>
      </w:pPr>
      <w:r w:rsidRPr="00C51B36">
        <w:rPr>
          <w:sz w:val="28"/>
          <w:szCs w:val="28"/>
          <w:lang w:eastAsia="uk-UA"/>
        </w:rPr>
        <w:lastRenderedPageBreak/>
        <w:t>Закон України «Про державний контроль за міжнародними передачами товарів військового призначення та подвійного використання».</w:t>
      </w:r>
      <w:r w:rsidRPr="00C51B36">
        <w:rPr>
          <w:sz w:val="28"/>
          <w:szCs w:val="28"/>
          <w:lang w:eastAsia="uk-UA"/>
        </w:rPr>
        <w:br/>
        <w:t>URL:</w:t>
      </w:r>
      <w:r w:rsidRPr="00C51B36">
        <w:rPr>
          <w:color w:val="4A86E8"/>
          <w:sz w:val="28"/>
          <w:szCs w:val="28"/>
          <w:lang w:eastAsia="uk-UA"/>
        </w:rPr>
        <w:t>https://zakon.rada.gov.ua/laws/show/549-15#Text</w:t>
      </w:r>
    </w:p>
    <w:p w:rsidR="00076275" w:rsidRPr="00C51B36" w:rsidRDefault="00076275" w:rsidP="00076275">
      <w:pPr>
        <w:numPr>
          <w:ilvl w:val="0"/>
          <w:numId w:val="33"/>
        </w:numPr>
        <w:spacing w:line="360" w:lineRule="auto"/>
        <w:jc w:val="both"/>
        <w:rPr>
          <w:sz w:val="28"/>
          <w:szCs w:val="28"/>
          <w:lang w:eastAsia="uk-UA"/>
        </w:rPr>
      </w:pPr>
      <w:r w:rsidRPr="00C51B36">
        <w:rPr>
          <w:sz w:val="28"/>
          <w:szCs w:val="28"/>
          <w:lang w:eastAsia="uk-UA"/>
        </w:rPr>
        <w:t>Закон України «Про внесення змін до Податкового кодексу України щодо пільг під час воєнного стану». URL:</w:t>
      </w:r>
      <w:r w:rsidRPr="00C51B36">
        <w:rPr>
          <w:color w:val="4A86E8"/>
          <w:sz w:val="28"/>
          <w:szCs w:val="28"/>
          <w:lang w:eastAsia="uk-UA"/>
        </w:rPr>
        <w:t>https://zakon.rada.gov.ua/laws/show/2142-20#Text</w:t>
      </w:r>
    </w:p>
    <w:p w:rsidR="00076275" w:rsidRPr="00C51B36" w:rsidRDefault="00076275" w:rsidP="00076275">
      <w:pPr>
        <w:numPr>
          <w:ilvl w:val="0"/>
          <w:numId w:val="33"/>
        </w:numPr>
        <w:spacing w:line="360" w:lineRule="auto"/>
        <w:jc w:val="both"/>
        <w:rPr>
          <w:sz w:val="28"/>
          <w:szCs w:val="28"/>
          <w:lang w:eastAsia="uk-UA"/>
        </w:rPr>
      </w:pPr>
      <w:r w:rsidRPr="00C51B36">
        <w:rPr>
          <w:sz w:val="28"/>
          <w:szCs w:val="28"/>
          <w:lang w:eastAsia="uk-UA"/>
        </w:rPr>
        <w:t>Митний тариф України (УКТ ЗЕД): Закон України «Про Митний тариф України». URL:</w:t>
      </w:r>
      <w:r w:rsidRPr="00C51B36">
        <w:rPr>
          <w:color w:val="4A86E8"/>
          <w:sz w:val="28"/>
          <w:szCs w:val="28"/>
          <w:lang w:eastAsia="uk-UA"/>
        </w:rPr>
        <w:t>https://zakon.rada.gov.ua/laws/show/2697-20#Text</w:t>
      </w:r>
    </w:p>
    <w:p w:rsidR="00076275" w:rsidRPr="00C51B36" w:rsidRDefault="00076275" w:rsidP="00076275">
      <w:pPr>
        <w:numPr>
          <w:ilvl w:val="0"/>
          <w:numId w:val="33"/>
        </w:numPr>
        <w:spacing w:line="360" w:lineRule="auto"/>
        <w:jc w:val="both"/>
        <w:rPr>
          <w:sz w:val="28"/>
          <w:szCs w:val="28"/>
          <w:lang w:eastAsia="uk-UA"/>
        </w:rPr>
      </w:pPr>
      <w:r w:rsidRPr="00C51B36">
        <w:rPr>
          <w:sz w:val="28"/>
          <w:szCs w:val="28"/>
          <w:lang w:eastAsia="uk-UA"/>
        </w:rPr>
        <w:t>Повітряний кодекс України від 19.05.2011 № 3393-VI. URL:</w:t>
      </w:r>
      <w:r w:rsidRPr="00C51B36">
        <w:rPr>
          <w:color w:val="4A86E8"/>
          <w:sz w:val="28"/>
          <w:szCs w:val="28"/>
          <w:lang w:eastAsia="uk-UA"/>
        </w:rPr>
        <w:t>https://zakon.rada.gov.ua/laws/show/3393-17#Text</w:t>
      </w:r>
    </w:p>
    <w:p w:rsidR="00076275" w:rsidRPr="00C51B36" w:rsidRDefault="00076275" w:rsidP="00076275">
      <w:pPr>
        <w:numPr>
          <w:ilvl w:val="0"/>
          <w:numId w:val="33"/>
        </w:numPr>
        <w:spacing w:after="240" w:line="360" w:lineRule="auto"/>
        <w:jc w:val="both"/>
        <w:rPr>
          <w:sz w:val="28"/>
          <w:szCs w:val="28"/>
          <w:lang w:eastAsia="uk-UA"/>
        </w:rPr>
      </w:pPr>
      <w:r w:rsidRPr="00C51B36">
        <w:rPr>
          <w:sz w:val="28"/>
          <w:szCs w:val="28"/>
          <w:lang w:eastAsia="uk-UA"/>
        </w:rPr>
        <w:t>Постанова Кабінету Міністрів України щодо спрощення імпорту товарів оборонного призначення в умовах воєнного стану. URL:</w:t>
      </w:r>
      <w:r w:rsidRPr="00C51B36">
        <w:rPr>
          <w:color w:val="4A86E8"/>
          <w:sz w:val="28"/>
          <w:szCs w:val="28"/>
          <w:lang w:eastAsia="uk-UA"/>
        </w:rPr>
        <w:t>https://zakon.rada.gov.ua/laws/show/1378-2022-п#Text</w:t>
      </w:r>
    </w:p>
    <w:p w:rsidR="00076275" w:rsidRPr="00C51B36" w:rsidRDefault="00076275" w:rsidP="00076275">
      <w:pPr>
        <w:spacing w:line="276" w:lineRule="auto"/>
        <w:rPr>
          <w:rFonts w:ascii="Arial" w:eastAsia="Arial" w:hAnsi="Arial" w:cs="Arial"/>
          <w:sz w:val="22"/>
          <w:szCs w:val="22"/>
          <w:lang w:eastAsia="uk-UA"/>
        </w:rPr>
      </w:pPr>
    </w:p>
    <w:p w:rsidR="00076275" w:rsidRPr="00FD38BE" w:rsidRDefault="00076275" w:rsidP="00076275">
      <w:pPr>
        <w:spacing w:line="360" w:lineRule="auto"/>
        <w:ind w:left="709"/>
        <w:jc w:val="both"/>
        <w:rPr>
          <w:kern w:val="2"/>
          <w:sz w:val="28"/>
          <w:szCs w:val="28"/>
          <w:lang w:val="uk-UA" w:eastAsia="en-US"/>
        </w:rPr>
      </w:pPr>
    </w:p>
    <w:p w:rsidR="00076275" w:rsidRPr="00FD38BE" w:rsidRDefault="00076275" w:rsidP="00076275">
      <w:pPr>
        <w:spacing w:line="360" w:lineRule="auto"/>
        <w:ind w:firstLine="709"/>
        <w:rPr>
          <w:rFonts w:eastAsiaTheme="minorHAnsi"/>
          <w:kern w:val="2"/>
          <w:sz w:val="28"/>
          <w:szCs w:val="28"/>
          <w:lang w:val="uk-UA" w:eastAsia="en-US"/>
        </w:rPr>
      </w:pPr>
    </w:p>
    <w:p w:rsidR="00076275" w:rsidRPr="00FD38BE" w:rsidRDefault="00076275" w:rsidP="00076275">
      <w:pPr>
        <w:spacing w:line="360" w:lineRule="auto"/>
        <w:ind w:firstLine="709"/>
        <w:jc w:val="both"/>
        <w:rPr>
          <w:sz w:val="28"/>
          <w:szCs w:val="28"/>
          <w:lang w:val="uk-UA"/>
        </w:rPr>
      </w:pPr>
    </w:p>
    <w:p w:rsidR="00076275" w:rsidRPr="00177935" w:rsidRDefault="00076275" w:rsidP="00076275">
      <w:pPr>
        <w:spacing w:line="360" w:lineRule="auto"/>
        <w:ind w:firstLine="709"/>
        <w:jc w:val="both"/>
        <w:rPr>
          <w:sz w:val="28"/>
          <w:szCs w:val="28"/>
          <w:lang w:val="uk-UA"/>
        </w:rPr>
      </w:pPr>
    </w:p>
    <w:p w:rsidR="00076275" w:rsidRPr="00FD38BE" w:rsidRDefault="00076275" w:rsidP="00076275">
      <w:pPr>
        <w:spacing w:line="360" w:lineRule="auto"/>
        <w:ind w:firstLine="709"/>
        <w:rPr>
          <w:sz w:val="28"/>
          <w:szCs w:val="28"/>
          <w:lang w:val="uk-UA"/>
        </w:rPr>
      </w:pPr>
    </w:p>
    <w:p w:rsidR="00076275" w:rsidRPr="00FD38BE" w:rsidRDefault="00076275" w:rsidP="00076275">
      <w:pPr>
        <w:spacing w:line="360" w:lineRule="auto"/>
        <w:ind w:firstLine="709"/>
        <w:rPr>
          <w:sz w:val="28"/>
          <w:szCs w:val="28"/>
          <w:lang w:val="uk-UA"/>
        </w:rPr>
      </w:pPr>
    </w:p>
    <w:p w:rsidR="00076275" w:rsidRPr="00FD38BE" w:rsidRDefault="00076275" w:rsidP="00076275">
      <w:pPr>
        <w:spacing w:line="360" w:lineRule="auto"/>
        <w:ind w:firstLine="709"/>
        <w:rPr>
          <w:sz w:val="28"/>
          <w:szCs w:val="28"/>
        </w:rPr>
      </w:pPr>
    </w:p>
    <w:p w:rsidR="00076275" w:rsidRPr="00FD38BE" w:rsidRDefault="00076275" w:rsidP="00076275">
      <w:pPr>
        <w:spacing w:line="360" w:lineRule="auto"/>
        <w:ind w:firstLine="709"/>
        <w:rPr>
          <w:sz w:val="28"/>
          <w:szCs w:val="28"/>
        </w:rPr>
      </w:pPr>
    </w:p>
    <w:p w:rsidR="003610DE" w:rsidRDefault="003610DE"/>
    <w:sectPr w:rsidR="003610DE" w:rsidSect="00076275">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D2FC8" w:rsidRDefault="006D2FC8" w:rsidP="00076275">
      <w:r>
        <w:separator/>
      </w:r>
    </w:p>
  </w:endnote>
  <w:endnote w:type="continuationSeparator" w:id="0">
    <w:p w:rsidR="006D2FC8" w:rsidRDefault="006D2FC8" w:rsidP="000762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Aptos">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D2FC8" w:rsidRDefault="006D2FC8" w:rsidP="00076275">
      <w:r>
        <w:separator/>
      </w:r>
    </w:p>
  </w:footnote>
  <w:footnote w:type="continuationSeparator" w:id="0">
    <w:p w:rsidR="006D2FC8" w:rsidRDefault="006D2FC8" w:rsidP="00076275">
      <w:r>
        <w:continuationSeparator/>
      </w:r>
    </w:p>
  </w:footnote>
  <w:footnote w:id="1">
    <w:p w:rsidR="00076275" w:rsidRDefault="00076275" w:rsidP="00076275">
      <w:pPr>
        <w:pStyle w:val="ae"/>
        <w:jc w:val="both"/>
      </w:pPr>
      <w:r w:rsidRPr="00CB3AAB">
        <w:rPr>
          <w:rStyle w:val="af3"/>
        </w:rPr>
        <w:footnoteRef/>
      </w:r>
      <w:r w:rsidRPr="00CB3AAB">
        <w:t xml:space="preserve"> Див.: Про схвалення Концепції розвитку електронного урядування в Україні : розпорядження КМУ від 20 вересня 2017 р. № 649-р. URL: https://zakon.rada.gov.ua/laws/show/649-2017-р.; Про затвердження плану заходів з реалізації Концепції розвитку електронного урядування в Україні : розпорядження КМУ від 22 серпня 2018 р. № 617-р. URL: https://zakon.rada.gov.ua/laws/main/617-2018-р.; Про схвалення Концепції розвитку електронної демократії в Україні та плану заходів щодо її реалізації : розпорядження КМУ від 8 листопада 2017 р. № 797-р. URL: https://zakon.rada.gov.ua/laws/main/797-2017-р.</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85106"/>
    <w:multiLevelType w:val="hybridMultilevel"/>
    <w:tmpl w:val="3E6E92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1F703E4"/>
    <w:multiLevelType w:val="hybridMultilevel"/>
    <w:tmpl w:val="FCD048D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3B974AE"/>
    <w:multiLevelType w:val="hybridMultilevel"/>
    <w:tmpl w:val="164CE0CC"/>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A6E4E4F"/>
    <w:multiLevelType w:val="hybridMultilevel"/>
    <w:tmpl w:val="E0C21AE0"/>
    <w:lvl w:ilvl="0" w:tplc="C744F8C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nsid w:val="10E00B87"/>
    <w:multiLevelType w:val="multilevel"/>
    <w:tmpl w:val="D0142A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644"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15574CB7"/>
    <w:multiLevelType w:val="hybridMultilevel"/>
    <w:tmpl w:val="BD2CDD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9284E96"/>
    <w:multiLevelType w:val="multilevel"/>
    <w:tmpl w:val="4050B97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nsid w:val="1B4B3E6E"/>
    <w:multiLevelType w:val="hybridMultilevel"/>
    <w:tmpl w:val="004477E0"/>
    <w:lvl w:ilvl="0" w:tplc="BA9EE1CC">
      <w:start w:val="1"/>
      <w:numFmt w:val="decimal"/>
      <w:suff w:val="space"/>
      <w:lvlText w:val="(%1)"/>
      <w:lvlJc w:val="left"/>
      <w:pPr>
        <w:ind w:left="1785" w:hanging="650"/>
      </w:pPr>
      <w:rPr>
        <w:rFonts w:hint="default"/>
      </w:rPr>
    </w:lvl>
    <w:lvl w:ilvl="1" w:tplc="04190019" w:tentative="1">
      <w:start w:val="1"/>
      <w:numFmt w:val="lowerLetter"/>
      <w:lvlText w:val="%2."/>
      <w:lvlJc w:val="left"/>
      <w:pPr>
        <w:ind w:left="2215" w:hanging="360"/>
      </w:pPr>
    </w:lvl>
    <w:lvl w:ilvl="2" w:tplc="0419001B" w:tentative="1">
      <w:start w:val="1"/>
      <w:numFmt w:val="lowerRoman"/>
      <w:lvlText w:val="%3."/>
      <w:lvlJc w:val="right"/>
      <w:pPr>
        <w:ind w:left="2935" w:hanging="180"/>
      </w:pPr>
    </w:lvl>
    <w:lvl w:ilvl="3" w:tplc="0419000F" w:tentative="1">
      <w:start w:val="1"/>
      <w:numFmt w:val="decimal"/>
      <w:lvlText w:val="%4."/>
      <w:lvlJc w:val="left"/>
      <w:pPr>
        <w:ind w:left="3655" w:hanging="360"/>
      </w:pPr>
    </w:lvl>
    <w:lvl w:ilvl="4" w:tplc="04190019" w:tentative="1">
      <w:start w:val="1"/>
      <w:numFmt w:val="lowerLetter"/>
      <w:lvlText w:val="%5."/>
      <w:lvlJc w:val="left"/>
      <w:pPr>
        <w:ind w:left="4375" w:hanging="360"/>
      </w:pPr>
    </w:lvl>
    <w:lvl w:ilvl="5" w:tplc="0419001B" w:tentative="1">
      <w:start w:val="1"/>
      <w:numFmt w:val="lowerRoman"/>
      <w:lvlText w:val="%6."/>
      <w:lvlJc w:val="right"/>
      <w:pPr>
        <w:ind w:left="5095" w:hanging="180"/>
      </w:pPr>
    </w:lvl>
    <w:lvl w:ilvl="6" w:tplc="0419000F" w:tentative="1">
      <w:start w:val="1"/>
      <w:numFmt w:val="decimal"/>
      <w:lvlText w:val="%7."/>
      <w:lvlJc w:val="left"/>
      <w:pPr>
        <w:ind w:left="5815" w:hanging="360"/>
      </w:pPr>
    </w:lvl>
    <w:lvl w:ilvl="7" w:tplc="04190019" w:tentative="1">
      <w:start w:val="1"/>
      <w:numFmt w:val="lowerLetter"/>
      <w:lvlText w:val="%8."/>
      <w:lvlJc w:val="left"/>
      <w:pPr>
        <w:ind w:left="6535" w:hanging="360"/>
      </w:pPr>
    </w:lvl>
    <w:lvl w:ilvl="8" w:tplc="0419001B" w:tentative="1">
      <w:start w:val="1"/>
      <w:numFmt w:val="lowerRoman"/>
      <w:lvlText w:val="%9."/>
      <w:lvlJc w:val="right"/>
      <w:pPr>
        <w:ind w:left="7255" w:hanging="180"/>
      </w:pPr>
    </w:lvl>
  </w:abstractNum>
  <w:abstractNum w:abstractNumId="8">
    <w:nsid w:val="207E32D4"/>
    <w:multiLevelType w:val="hybridMultilevel"/>
    <w:tmpl w:val="6CE6167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2137702E"/>
    <w:multiLevelType w:val="hybridMultilevel"/>
    <w:tmpl w:val="B5A2B01C"/>
    <w:lvl w:ilvl="0" w:tplc="DF86A2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224C6493"/>
    <w:multiLevelType w:val="hybridMultilevel"/>
    <w:tmpl w:val="49FA6098"/>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nsid w:val="23D96523"/>
    <w:multiLevelType w:val="hybridMultilevel"/>
    <w:tmpl w:val="61CAF14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75B7BD7"/>
    <w:multiLevelType w:val="multilevel"/>
    <w:tmpl w:val="8180A3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nsid w:val="27E47D9D"/>
    <w:multiLevelType w:val="hybridMultilevel"/>
    <w:tmpl w:val="1A00EB42"/>
    <w:lvl w:ilvl="0" w:tplc="C71C05E0">
      <w:start w:val="1"/>
      <w:numFmt w:val="decimal"/>
      <w:lvlText w:val="%1."/>
      <w:lvlJc w:val="left"/>
      <w:pPr>
        <w:ind w:left="72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A2178EA"/>
    <w:multiLevelType w:val="hybridMultilevel"/>
    <w:tmpl w:val="F334AA7E"/>
    <w:lvl w:ilvl="0" w:tplc="DF86A2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2AD8588A"/>
    <w:multiLevelType w:val="hybridMultilevel"/>
    <w:tmpl w:val="FFFFFFFF"/>
    <w:lvl w:ilvl="0" w:tplc="009242AA">
      <w:start w:val="1"/>
      <w:numFmt w:val="decimal"/>
      <w:lvlText w:val="%1."/>
      <w:lvlJc w:val="left"/>
      <w:pPr>
        <w:ind w:left="720" w:hanging="360"/>
      </w:pPr>
      <w:rPr>
        <w:rFonts w:cs="Times New Roman"/>
        <w:b w:val="0"/>
        <w:bCs w:val="0"/>
        <w:i w:val="0"/>
        <w:iCs/>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nsid w:val="2DDD2A6F"/>
    <w:multiLevelType w:val="hybridMultilevel"/>
    <w:tmpl w:val="54E428D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7">
    <w:nsid w:val="2F016E00"/>
    <w:multiLevelType w:val="hybridMultilevel"/>
    <w:tmpl w:val="AD0A08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F556525"/>
    <w:multiLevelType w:val="multilevel"/>
    <w:tmpl w:val="F3FA65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nsid w:val="41EF2D77"/>
    <w:multiLevelType w:val="hybridMultilevel"/>
    <w:tmpl w:val="EAF8D36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49A047A5"/>
    <w:multiLevelType w:val="hybridMultilevel"/>
    <w:tmpl w:val="9D30B7E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4D586410"/>
    <w:multiLevelType w:val="multilevel"/>
    <w:tmpl w:val="FFFFFFFF"/>
    <w:lvl w:ilvl="0">
      <w:start w:val="1"/>
      <w:numFmt w:val="decimal"/>
      <w:lvlText w:val="%1."/>
      <w:lvlJc w:val="left"/>
      <w:pPr>
        <w:ind w:left="720" w:hanging="360"/>
      </w:pPr>
    </w:lvl>
    <w:lvl w:ilvl="1">
      <w:start w:val="1"/>
      <w:numFmt w:val="decimal"/>
      <w:lvlText w:val="%2."/>
      <w:lvlJc w:val="left"/>
      <w:pPr>
        <w:ind w:left="502"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nsid w:val="531508CC"/>
    <w:multiLevelType w:val="hybridMultilevel"/>
    <w:tmpl w:val="4AA646D4"/>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78C6E3D"/>
    <w:multiLevelType w:val="multilevel"/>
    <w:tmpl w:val="EF3A2A7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5B9F3539"/>
    <w:multiLevelType w:val="multilevel"/>
    <w:tmpl w:val="1A6CF5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nsid w:val="5C6D125C"/>
    <w:multiLevelType w:val="hybridMultilevel"/>
    <w:tmpl w:val="F5A8D6E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5CAE3A77"/>
    <w:multiLevelType w:val="hybridMultilevel"/>
    <w:tmpl w:val="33EE8976"/>
    <w:lvl w:ilvl="0" w:tplc="DF86A27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nsid w:val="60137AC0"/>
    <w:multiLevelType w:val="hybridMultilevel"/>
    <w:tmpl w:val="C6CAAA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nsid w:val="669667FB"/>
    <w:multiLevelType w:val="hybridMultilevel"/>
    <w:tmpl w:val="E6C84C5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ACF6783"/>
    <w:multiLevelType w:val="hybridMultilevel"/>
    <w:tmpl w:val="A9A464F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DCF73DF"/>
    <w:multiLevelType w:val="multilevel"/>
    <w:tmpl w:val="0FA486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nsid w:val="70CA588F"/>
    <w:multiLevelType w:val="hybridMultilevel"/>
    <w:tmpl w:val="5AA03F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76CD5A92"/>
    <w:multiLevelType w:val="hybridMultilevel"/>
    <w:tmpl w:val="85C2D16E"/>
    <w:lvl w:ilvl="0" w:tplc="088E9B26">
      <w:start w:val="1"/>
      <w:numFmt w:val="decimal"/>
      <w:lvlText w:val="%1."/>
      <w:lvlJc w:val="left"/>
      <w:pPr>
        <w:ind w:left="1420" w:hanging="710"/>
      </w:pPr>
      <w:rPr>
        <w:rFonts w:ascii="Times New Roman" w:hAnsi="Times New Roman" w:cs="Times New Roman" w:hint="default"/>
        <w:sz w:val="28"/>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33">
    <w:nsid w:val="796A189D"/>
    <w:multiLevelType w:val="hybridMultilevel"/>
    <w:tmpl w:val="0E94C17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7AEE466D"/>
    <w:multiLevelType w:val="hybridMultilevel"/>
    <w:tmpl w:val="F7086F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nsid w:val="7C4B11BA"/>
    <w:multiLevelType w:val="hybridMultilevel"/>
    <w:tmpl w:val="A2229F3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7E3102D6"/>
    <w:multiLevelType w:val="hybridMultilevel"/>
    <w:tmpl w:val="DE7CF7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7FDF6100"/>
    <w:multiLevelType w:val="hybridMultilevel"/>
    <w:tmpl w:val="164CE0C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5"/>
  </w:num>
  <w:num w:numId="4">
    <w:abstractNumId w:val="33"/>
  </w:num>
  <w:num w:numId="5">
    <w:abstractNumId w:val="27"/>
  </w:num>
  <w:num w:numId="6">
    <w:abstractNumId w:val="14"/>
  </w:num>
  <w:num w:numId="7">
    <w:abstractNumId w:val="11"/>
  </w:num>
  <w:num w:numId="8">
    <w:abstractNumId w:val="9"/>
  </w:num>
  <w:num w:numId="9">
    <w:abstractNumId w:val="5"/>
  </w:num>
  <w:num w:numId="10">
    <w:abstractNumId w:val="13"/>
  </w:num>
  <w:num w:numId="11">
    <w:abstractNumId w:val="34"/>
  </w:num>
  <w:num w:numId="12">
    <w:abstractNumId w:val="17"/>
  </w:num>
  <w:num w:numId="13">
    <w:abstractNumId w:val="21"/>
  </w:num>
  <w:num w:numId="14">
    <w:abstractNumId w:val="10"/>
  </w:num>
  <w:num w:numId="15">
    <w:abstractNumId w:val="4"/>
  </w:num>
  <w:num w:numId="16">
    <w:abstractNumId w:val="37"/>
  </w:num>
  <w:num w:numId="17">
    <w:abstractNumId w:val="29"/>
  </w:num>
  <w:num w:numId="18">
    <w:abstractNumId w:val="19"/>
  </w:num>
  <w:num w:numId="19">
    <w:abstractNumId w:val="25"/>
  </w:num>
  <w:num w:numId="20">
    <w:abstractNumId w:val="32"/>
  </w:num>
  <w:num w:numId="21">
    <w:abstractNumId w:val="16"/>
  </w:num>
  <w:num w:numId="22">
    <w:abstractNumId w:val="7"/>
  </w:num>
  <w:num w:numId="23">
    <w:abstractNumId w:val="8"/>
  </w:num>
  <w:num w:numId="24">
    <w:abstractNumId w:val="20"/>
  </w:num>
  <w:num w:numId="25">
    <w:abstractNumId w:val="26"/>
  </w:num>
  <w:num w:numId="26">
    <w:abstractNumId w:val="22"/>
  </w:num>
  <w:num w:numId="27">
    <w:abstractNumId w:val="31"/>
  </w:num>
  <w:num w:numId="28">
    <w:abstractNumId w:val="1"/>
  </w:num>
  <w:num w:numId="29">
    <w:abstractNumId w:val="15"/>
  </w:num>
  <w:num w:numId="30">
    <w:abstractNumId w:val="36"/>
  </w:num>
  <w:num w:numId="31">
    <w:abstractNumId w:val="28"/>
  </w:num>
  <w:num w:numId="32">
    <w:abstractNumId w:val="3"/>
  </w:num>
  <w:num w:numId="33">
    <w:abstractNumId w:val="24"/>
  </w:num>
  <w:num w:numId="34">
    <w:abstractNumId w:val="23"/>
  </w:num>
  <w:num w:numId="35">
    <w:abstractNumId w:val="12"/>
  </w:num>
  <w:num w:numId="36">
    <w:abstractNumId w:val="30"/>
  </w:num>
  <w:num w:numId="37">
    <w:abstractNumId w:val="6"/>
  </w:num>
  <w:num w:numId="38">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defaultTabStop w:val="708"/>
  <w:hyphenationZone w:val="425"/>
  <w:characterSpacingControl w:val="doNotCompress"/>
  <w:footnotePr>
    <w:footnote w:id="-1"/>
    <w:footnote w:id="0"/>
  </w:footnotePr>
  <w:endnotePr>
    <w:endnote w:id="-1"/>
    <w:endnote w:id="0"/>
  </w:endnotePr>
  <w:compat/>
  <w:rsids>
    <w:rsidRoot w:val="00076275"/>
    <w:rsid w:val="00076275"/>
    <w:rsid w:val="00283A8A"/>
    <w:rsid w:val="002F1977"/>
    <w:rsid w:val="003610DE"/>
    <w:rsid w:val="003E2FDE"/>
    <w:rsid w:val="00403709"/>
    <w:rsid w:val="006D2FC8"/>
    <w:rsid w:val="00832093"/>
    <w:rsid w:val="008B1F13"/>
    <w:rsid w:val="00E575C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6275"/>
    <w:pPr>
      <w:spacing w:after="0" w:line="240" w:lineRule="auto"/>
    </w:pPr>
    <w:rPr>
      <w:rFonts w:ascii="Times New Roman" w:eastAsia="Times New Roman" w:hAnsi="Times New Roman" w:cs="Times New Roman"/>
      <w:kern w:val="0"/>
      <w:sz w:val="24"/>
      <w:szCs w:val="24"/>
      <w:lang w:val="ru-RU" w:eastAsia="ru-RU"/>
    </w:rPr>
  </w:style>
  <w:style w:type="paragraph" w:styleId="1">
    <w:name w:val="heading 1"/>
    <w:basedOn w:val="a"/>
    <w:next w:val="a"/>
    <w:link w:val="10"/>
    <w:uiPriority w:val="9"/>
    <w:qFormat/>
    <w:rsid w:val="0007627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07627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076275"/>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076275"/>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076275"/>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076275"/>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76275"/>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76275"/>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76275"/>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76275"/>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076275"/>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076275"/>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076275"/>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076275"/>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076275"/>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76275"/>
    <w:rPr>
      <w:rFonts w:eastAsiaTheme="majorEastAsia" w:cstheme="majorBidi"/>
      <w:color w:val="595959" w:themeColor="text1" w:themeTint="A6"/>
    </w:rPr>
  </w:style>
  <w:style w:type="character" w:customStyle="1" w:styleId="80">
    <w:name w:val="Заголовок 8 Знак"/>
    <w:basedOn w:val="a0"/>
    <w:link w:val="8"/>
    <w:uiPriority w:val="9"/>
    <w:semiHidden/>
    <w:rsid w:val="00076275"/>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76275"/>
    <w:rPr>
      <w:rFonts w:eastAsiaTheme="majorEastAsia" w:cstheme="majorBidi"/>
      <w:color w:val="272727" w:themeColor="text1" w:themeTint="D8"/>
    </w:rPr>
  </w:style>
  <w:style w:type="paragraph" w:styleId="a3">
    <w:name w:val="Title"/>
    <w:basedOn w:val="a"/>
    <w:next w:val="a"/>
    <w:link w:val="a4"/>
    <w:uiPriority w:val="10"/>
    <w:qFormat/>
    <w:rsid w:val="00076275"/>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07627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76275"/>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76275"/>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76275"/>
    <w:pPr>
      <w:spacing w:before="160"/>
      <w:jc w:val="center"/>
    </w:pPr>
    <w:rPr>
      <w:i/>
      <w:iCs/>
      <w:color w:val="404040" w:themeColor="text1" w:themeTint="BF"/>
    </w:rPr>
  </w:style>
  <w:style w:type="character" w:customStyle="1" w:styleId="22">
    <w:name w:val="Цитата 2 Знак"/>
    <w:basedOn w:val="a0"/>
    <w:link w:val="21"/>
    <w:uiPriority w:val="29"/>
    <w:rsid w:val="00076275"/>
    <w:rPr>
      <w:i/>
      <w:iCs/>
      <w:color w:val="404040" w:themeColor="text1" w:themeTint="BF"/>
    </w:rPr>
  </w:style>
  <w:style w:type="paragraph" w:styleId="a7">
    <w:name w:val="List Paragraph"/>
    <w:basedOn w:val="a"/>
    <w:uiPriority w:val="34"/>
    <w:qFormat/>
    <w:rsid w:val="00076275"/>
    <w:pPr>
      <w:ind w:left="720"/>
      <w:contextualSpacing/>
    </w:pPr>
  </w:style>
  <w:style w:type="character" w:styleId="a8">
    <w:name w:val="Intense Emphasis"/>
    <w:basedOn w:val="a0"/>
    <w:uiPriority w:val="21"/>
    <w:qFormat/>
    <w:rsid w:val="00076275"/>
    <w:rPr>
      <w:i/>
      <w:iCs/>
      <w:color w:val="2F5496" w:themeColor="accent1" w:themeShade="BF"/>
    </w:rPr>
  </w:style>
  <w:style w:type="paragraph" w:styleId="a9">
    <w:name w:val="Intense Quote"/>
    <w:basedOn w:val="a"/>
    <w:next w:val="a"/>
    <w:link w:val="aa"/>
    <w:uiPriority w:val="30"/>
    <w:qFormat/>
    <w:rsid w:val="0007627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076275"/>
    <w:rPr>
      <w:i/>
      <w:iCs/>
      <w:color w:val="2F5496" w:themeColor="accent1" w:themeShade="BF"/>
    </w:rPr>
  </w:style>
  <w:style w:type="character" w:styleId="ab">
    <w:name w:val="Intense Reference"/>
    <w:basedOn w:val="a0"/>
    <w:uiPriority w:val="32"/>
    <w:qFormat/>
    <w:rsid w:val="00076275"/>
    <w:rPr>
      <w:b/>
      <w:bCs/>
      <w:smallCaps/>
      <w:color w:val="2F5496" w:themeColor="accent1" w:themeShade="BF"/>
      <w:spacing w:val="5"/>
    </w:rPr>
  </w:style>
  <w:style w:type="paragraph" w:styleId="ac">
    <w:name w:val="Normal (Web)"/>
    <w:aliases w:val="Знак,Знак Знак4, Знак Знак4"/>
    <w:basedOn w:val="a"/>
    <w:link w:val="ad"/>
    <w:uiPriority w:val="99"/>
    <w:unhideWhenUsed/>
    <w:rsid w:val="00076275"/>
    <w:pPr>
      <w:spacing w:before="100" w:beforeAutospacing="1" w:after="100" w:afterAutospacing="1"/>
    </w:pPr>
  </w:style>
  <w:style w:type="paragraph" w:styleId="ae">
    <w:name w:val="footnote text"/>
    <w:basedOn w:val="a"/>
    <w:link w:val="af"/>
    <w:uiPriority w:val="99"/>
    <w:unhideWhenUsed/>
    <w:rsid w:val="00076275"/>
    <w:rPr>
      <w:sz w:val="20"/>
      <w:szCs w:val="20"/>
    </w:rPr>
  </w:style>
  <w:style w:type="character" w:customStyle="1" w:styleId="af">
    <w:name w:val="Текст сноски Знак"/>
    <w:basedOn w:val="a0"/>
    <w:link w:val="ae"/>
    <w:uiPriority w:val="99"/>
    <w:rsid w:val="00076275"/>
    <w:rPr>
      <w:rFonts w:ascii="Times New Roman" w:eastAsia="Times New Roman" w:hAnsi="Times New Roman" w:cs="Times New Roman"/>
      <w:kern w:val="0"/>
      <w:sz w:val="20"/>
      <w:szCs w:val="20"/>
      <w:lang w:val="ru-RU" w:eastAsia="ru-RU"/>
    </w:rPr>
  </w:style>
  <w:style w:type="character" w:styleId="af0">
    <w:name w:val="Hyperlink"/>
    <w:basedOn w:val="a0"/>
    <w:uiPriority w:val="99"/>
    <w:unhideWhenUsed/>
    <w:rsid w:val="00076275"/>
    <w:rPr>
      <w:color w:val="0563C1" w:themeColor="hyperlink"/>
      <w:u w:val="single"/>
    </w:rPr>
  </w:style>
  <w:style w:type="character" w:styleId="af1">
    <w:name w:val="Emphasis"/>
    <w:basedOn w:val="a0"/>
    <w:uiPriority w:val="20"/>
    <w:qFormat/>
    <w:rsid w:val="00076275"/>
    <w:rPr>
      <w:i/>
      <w:iCs/>
    </w:rPr>
  </w:style>
  <w:style w:type="paragraph" w:styleId="af2">
    <w:name w:val="No Spacing"/>
    <w:uiPriority w:val="1"/>
    <w:qFormat/>
    <w:rsid w:val="00076275"/>
    <w:pPr>
      <w:spacing w:after="0" w:line="240" w:lineRule="auto"/>
    </w:pPr>
    <w:rPr>
      <w:rFonts w:ascii="Times New Roman" w:hAnsi="Times New Roman"/>
      <w:sz w:val="28"/>
      <w:lang w:val="ru-RU"/>
    </w:rPr>
  </w:style>
  <w:style w:type="character" w:customStyle="1" w:styleId="ad">
    <w:name w:val="Обычный (веб) Знак"/>
    <w:aliases w:val="Знак Знак,Знак Знак4 Знак, Знак Знак4 Знак"/>
    <w:link w:val="ac"/>
    <w:uiPriority w:val="99"/>
    <w:locked/>
    <w:rsid w:val="00076275"/>
    <w:rPr>
      <w:rFonts w:ascii="Times New Roman" w:eastAsia="Times New Roman" w:hAnsi="Times New Roman" w:cs="Times New Roman"/>
      <w:kern w:val="0"/>
      <w:sz w:val="24"/>
      <w:szCs w:val="24"/>
      <w:lang w:val="ru-RU" w:eastAsia="ru-RU"/>
    </w:rPr>
  </w:style>
  <w:style w:type="character" w:customStyle="1" w:styleId="UnresolvedMention">
    <w:name w:val="Unresolved Mention"/>
    <w:basedOn w:val="a0"/>
    <w:uiPriority w:val="99"/>
    <w:semiHidden/>
    <w:unhideWhenUsed/>
    <w:rsid w:val="00076275"/>
    <w:rPr>
      <w:color w:val="605E5C"/>
      <w:shd w:val="clear" w:color="auto" w:fill="E1DFDD"/>
    </w:rPr>
  </w:style>
  <w:style w:type="character" w:styleId="af3">
    <w:name w:val="footnote reference"/>
    <w:basedOn w:val="a0"/>
    <w:uiPriority w:val="99"/>
    <w:semiHidden/>
    <w:unhideWhenUsed/>
    <w:rsid w:val="00076275"/>
    <w:rPr>
      <w:vertAlign w:val="superscript"/>
    </w:rPr>
  </w:style>
  <w:style w:type="table" w:styleId="af4">
    <w:name w:val="Table Grid"/>
    <w:basedOn w:val="a1"/>
    <w:uiPriority w:val="39"/>
    <w:rsid w:val="000762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zakon.rada.gov.ua/laws/show/3759-12" TargetMode="External"/><Relationship Id="rId18" Type="http://schemas.openxmlformats.org/officeDocument/2006/relationships/hyperlink" Target="https://cabinet.tax.gov.ua/news/4763A26B1E7B055EE0630A214220DAC6" TargetMode="External"/><Relationship Id="rId26" Type="http://schemas.openxmlformats.org/officeDocument/2006/relationships/hyperlink" Target="https://dspace.onu.edu.ua/items/e006fab0-8efd-4c94-af2b-f59af19ceac5" TargetMode="External"/><Relationship Id="rId39" Type="http://schemas.openxmlformats.org/officeDocument/2006/relationships/hyperlink" Target="https://lsej.org.ua/7_2024/49.pdf" TargetMode="External"/><Relationship Id="rId21" Type="http://schemas.openxmlformats.org/officeDocument/2006/relationships/hyperlink" Target="javascript:;" TargetMode="External"/><Relationship Id="rId34" Type="http://schemas.openxmlformats.org/officeDocument/2006/relationships/hyperlink" Target="https://www.misechko.law/read/publication/perspektivi_zakonu_pro_garantiyi_derzhavi" TargetMode="External"/><Relationship Id="rId42" Type="http://schemas.openxmlformats.org/officeDocument/2006/relationships/hyperlink" Target="https://doi.org/10.32782/392233" TargetMode="External"/><Relationship Id="rId47" Type="http://schemas.openxmlformats.org/officeDocument/2006/relationships/hyperlink" Target="https://zakon.rada.gov.ua/laws/show/2155-19" TargetMode="External"/><Relationship Id="rId50" Type="http://schemas.openxmlformats.org/officeDocument/2006/relationships/hyperlink" Target="https://zakon.rada.gov.ua/laws/show/1089-20" TargetMode="External"/><Relationship Id="rId55" Type="http://schemas.openxmlformats.org/officeDocument/2006/relationships/hyperlink" Target="https://zakon.rada.gov.ua/laws/show/649-2017-&#1088;" TargetMode="External"/><Relationship Id="rId63" Type="http://schemas.openxmlformats.org/officeDocument/2006/relationships/hyperlink" Target="https://ccu.gov.ua/docs/472" TargetMode="External"/><Relationship Id="rId68" Type="http://schemas.openxmlformats.org/officeDocument/2006/relationships/hyperlink" Target="https://supreme.court.gov.ua/" TargetMode="External"/><Relationship Id="rId76" Type="http://schemas.openxmlformats.org/officeDocument/2006/relationships/hyperlink" Target="https://zakon.rada.gov.ua/laws/show/984_016-14" TargetMode="External"/><Relationship Id="rId84" Type="http://schemas.openxmlformats.org/officeDocument/2006/relationships/hyperlink" Target="https://library.krok.edu.ua/media/library/category/statti/zakharov_0012.pdf" TargetMode="External"/><Relationship Id="rId89" Type="http://schemas.openxmlformats.org/officeDocument/2006/relationships/hyperlink" Target="https://spawn-queue.acm.org/doi/10.1145/2460276.2460278" TargetMode="External"/><Relationship Id="rId7" Type="http://schemas.openxmlformats.org/officeDocument/2006/relationships/hyperlink" Target="https://doi.org/10.31732/2708-339X-2025-17-C12" TargetMode="External"/><Relationship Id="rId71" Type="http://schemas.openxmlformats.org/officeDocument/2006/relationships/hyperlink" Target="https://zakon.rada.gov.ua/laws/show/994_325"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doi.org/10.32782/klj-2025-7.06" TargetMode="External"/><Relationship Id="rId29" Type="http://schemas.openxmlformats.org/officeDocument/2006/relationships/hyperlink" Target="https://zakon.rada.gov.ua/laws/show/980_045" TargetMode="External"/><Relationship Id="rId11" Type="http://schemas.openxmlformats.org/officeDocument/2006/relationships/hyperlink" Target="https://zakon.rada.gov.ua/laws/show/2657-12" TargetMode="External"/><Relationship Id="rId24" Type="http://schemas.openxmlformats.org/officeDocument/2006/relationships/hyperlink" Target="https://soclaw.idpnan.kyiv.ua/archive/2024/3-4/3-4_2024.pdf" TargetMode="External"/><Relationship Id="rId32" Type="http://schemas.openxmlformats.org/officeDocument/2006/relationships/hyperlink" Target="https://thepage.ua/ua/news/sudovi-rishennya-shodo-pensij-chomu-derzhava-zaborguvala-desyatki-milyardiv-i-sho-zminitsya" TargetMode="External"/><Relationship Id="rId37" Type="http://schemas.openxmlformats.org/officeDocument/2006/relationships/hyperlink" Target="http://zakon.rada.gov.ua/laws/show/2747-15" TargetMode="External"/><Relationship Id="rId40" Type="http://schemas.openxmlformats.org/officeDocument/2006/relationships/hyperlink" Target="https://zakon.rada.gov.ua/laws/show/254%D0%BA/96-%D0%B2%D1%80" TargetMode="External"/><Relationship Id="rId45" Type="http://schemas.openxmlformats.org/officeDocument/2006/relationships/hyperlink" Target="https://zakon.rada.gov.ua/laws/show/1467-2021-%D1%80" TargetMode="External"/><Relationship Id="rId53" Type="http://schemas.openxmlformats.org/officeDocument/2006/relationships/hyperlink" Target="https://zakon.rada.gov.ua/laws/show/712-2025-%D0%BF" TargetMode="External"/><Relationship Id="rId58" Type="http://schemas.openxmlformats.org/officeDocument/2006/relationships/hyperlink" Target="https://zakon.rada.gov.ua/laws/show/254&#1082;/96-&#1074;&#1088;" TargetMode="External"/><Relationship Id="rId66" Type="http://schemas.openxmlformats.org/officeDocument/2006/relationships/hyperlink" Target="http://www.lsej.org.ua/" TargetMode="External"/><Relationship Id="rId74" Type="http://schemas.openxmlformats.org/officeDocument/2006/relationships/hyperlink" Target="https://mof.gov.ua/storage/files/National%20Revenue%20Strategy_2030_.pdf" TargetMode="External"/><Relationship Id="rId79" Type="http://schemas.openxmlformats.org/officeDocument/2006/relationships/hyperlink" Target="https://ccl.org.ua/posts/2021/11/hartiya-osnovnyh-prav-yevropejskogo-soyuzu/" TargetMode="External"/><Relationship Id="rId87" Type="http://schemas.openxmlformats.org/officeDocument/2006/relationships/hyperlink" Target="https://www.nytimes.com/2016/08/01/opinion/make-algorithms-accountable.html?referer=&amp;amp;_r=0" TargetMode="External"/><Relationship Id="rId5" Type="http://schemas.openxmlformats.org/officeDocument/2006/relationships/footnotes" Target="footnotes.xml"/><Relationship Id="rId61" Type="http://schemas.openxmlformats.org/officeDocument/2006/relationships/hyperlink" Target="https://zakon.rada.gov.ua/laws/show/1618-15" TargetMode="External"/><Relationship Id="rId82" Type="http://schemas.openxmlformats.org/officeDocument/2006/relationships/hyperlink" Target="https://orcid.org/0009-0009-3529-6730" TargetMode="External"/><Relationship Id="rId90" Type="http://schemas.openxmlformats.org/officeDocument/2006/relationships/hyperlink" Target="https://makingnoiseandhearingthings.com/2016/07/12/googles-speech-recognition-has-a-gender-bias/" TargetMode="External"/><Relationship Id="rId19" Type="http://schemas.openxmlformats.org/officeDocument/2006/relationships/hyperlink" Target="https://zakon.rada.gov.ua/laws/show/2297-17" TargetMode="External"/><Relationship Id="rId14" Type="http://schemas.openxmlformats.org/officeDocument/2006/relationships/hyperlink" Target="https://zakon.rada.gov.ua/laws/show/2163-19" TargetMode="External"/><Relationship Id="rId22" Type="http://schemas.openxmlformats.org/officeDocument/2006/relationships/hyperlink" Target="https://lifestyle.sustainability-directory.com/author/sustainability_directory/" TargetMode="External"/><Relationship Id="rId27" Type="http://schemas.openxmlformats.org/officeDocument/2006/relationships/hyperlink" Target="https://zakon.rada.gov.ua/laws/show/980_079" TargetMode="External"/><Relationship Id="rId30" Type="http://schemas.openxmlformats.org/officeDocument/2006/relationships/hyperlink" Target="https://zakon.rada.gov.ua/laws/show/980_221" TargetMode="External"/><Relationship Id="rId35" Type="http://schemas.openxmlformats.org/officeDocument/2006/relationships/hyperlink" Target="https://zakon.rada.gov.ua/laws/show/821-2025-%D0%BF" TargetMode="External"/><Relationship Id="rId43" Type="http://schemas.openxmlformats.org/officeDocument/2006/relationships/hyperlink" Target="https://doi.org/10.32782/klj/2025.2.3" TargetMode="External"/><Relationship Id="rId48" Type="http://schemas.openxmlformats.org/officeDocument/2006/relationships/hyperlink" Target="https://zakon.rada.gov.ua/laws/show/1689-20" TargetMode="External"/><Relationship Id="rId56" Type="http://schemas.openxmlformats.org/officeDocument/2006/relationships/hyperlink" Target="https://eur-lex.europa.eu/legal-content/EN/TXT/HTML/?uri=LEGISSUM:l23021" TargetMode="External"/><Relationship Id="rId64" Type="http://schemas.openxmlformats.org/officeDocument/2006/relationships/hyperlink" Target="https://hudoc.echr.coe.int" TargetMode="External"/><Relationship Id="rId69" Type="http://schemas.openxmlformats.org/officeDocument/2006/relationships/hyperlink" Target="https://hudoc.echr.coe.int" TargetMode="External"/><Relationship Id="rId77" Type="http://schemas.openxmlformats.org/officeDocument/2006/relationships/hyperlink" Target="https://eur-lex.europa.eu/legal-content/en/TXT/?uri=celex:32016L1164" TargetMode="External"/><Relationship Id="rId8" Type="http://schemas.openxmlformats.org/officeDocument/2006/relationships/hyperlink" Target="https://zakon.rada.gov.ua/laws/show/254%D0%BA/96-%D0%B2%D1%80" TargetMode="External"/><Relationship Id="rId51" Type="http://schemas.openxmlformats.org/officeDocument/2006/relationships/hyperlink" Target="https://zakon.rada.gov.ua/laws/show/2075-20" TargetMode="External"/><Relationship Id="rId72" Type="http://schemas.openxmlformats.org/officeDocument/2006/relationships/hyperlink" Target="https://zakon.rada.gov.ua/laws/show/966_001-16" TargetMode="External"/><Relationship Id="rId80" Type="http://schemas.openxmlformats.org/officeDocument/2006/relationships/hyperlink" Target="https://doi.org/10.24144/2307-3322.2025.90.1.34" TargetMode="External"/><Relationship Id="rId85" Type="http://schemas.openxmlformats.org/officeDocument/2006/relationships/hyperlink" Target="https://dspace.lvduvs.edu.ua/bitstream/1234567890/1398/1/2-2009kvvtmy.pdf" TargetMode="External"/><Relationship Id="rId3" Type="http://schemas.openxmlformats.org/officeDocument/2006/relationships/settings" Target="settings.xml"/><Relationship Id="rId12" Type="http://schemas.openxmlformats.org/officeDocument/2006/relationships/hyperlink" Target="https://zakon.rada.gov.ua/laws/show/2939-17" TargetMode="External"/><Relationship Id="rId17" Type="http://schemas.openxmlformats.org/officeDocument/2006/relationships/hyperlink" Target="https://doi.org/10.24144/2788-6018.2025.03.2.37" TargetMode="External"/><Relationship Id="rId25" Type="http://schemas.openxmlformats.org/officeDocument/2006/relationships/hyperlink" Target="https://visnyk-pravo.uzhnu.edu.ua/article/view/339827" TargetMode="External"/><Relationship Id="rId33" Type="http://schemas.openxmlformats.org/officeDocument/2006/relationships/hyperlink" Target="https://zakon.rada.gov.ua/laws/show/4901-17" TargetMode="External"/><Relationship Id="rId38" Type="http://schemas.openxmlformats.org/officeDocument/2006/relationships/hyperlink" Target="https://zakon.rada.gov.ua/laws/show/984_011" TargetMode="External"/><Relationship Id="rId46" Type="http://schemas.openxmlformats.org/officeDocument/2006/relationships/hyperlink" Target="https://zakon.rada.gov.ua/laws/show/851-15" TargetMode="External"/><Relationship Id="rId59" Type="http://schemas.openxmlformats.org/officeDocument/2006/relationships/hyperlink" Target="https://www.coe.int/en/web/ccje/ccje-opinions" TargetMode="External"/><Relationship Id="rId67" Type="http://schemas.openxmlformats.org/officeDocument/2006/relationships/hyperlink" Target="https://yur-gazeta.com/golovna/verhovniy-sud-oprilyudniv-oglyadi-klyuchovih-pravovih-poziciy-za-2025-rik.html" TargetMode="External"/><Relationship Id="rId20" Type="http://schemas.openxmlformats.org/officeDocument/2006/relationships/hyperlink" Target="http://www.lsej.org.ua" TargetMode="External"/><Relationship Id="rId41" Type="http://schemas.openxmlformats.org/officeDocument/2006/relationships/hyperlink" Target="https://doi.org/10.32782/2524-0374/2025-9/33" TargetMode="External"/><Relationship Id="rId54" Type="http://schemas.openxmlformats.org/officeDocument/2006/relationships/hyperlink" Target="https://zakon.rada.gov.ua/laws/main/617-2018-&#1088;" TargetMode="External"/><Relationship Id="rId62" Type="http://schemas.openxmlformats.org/officeDocument/2006/relationships/hyperlink" Target="https://court.gov.ua/storage/portal/supreme/ogliady/Dajidgest_VP_01_02_2026.pdf" TargetMode="External"/><Relationship Id="rId70" Type="http://schemas.openxmlformats.org/officeDocument/2006/relationships/hyperlink" Target="https://zakon.rada.gov.ua/laws/show/966_001-14" TargetMode="External"/><Relationship Id="rId75" Type="http://schemas.openxmlformats.org/officeDocument/2006/relationships/hyperlink" Target="https://zakon.rada.gov.ua/laws/show/1218-2023-%D1%80" TargetMode="External"/><Relationship Id="rId83" Type="http://schemas.openxmlformats.org/officeDocument/2006/relationships/hyperlink" Target="https://zakon.rada.gov.ua/laws/show/254%D0%BA/96-%D0%B2%D1%80" TargetMode="External"/><Relationship Id="rId88" Type="http://schemas.openxmlformats.org/officeDocument/2006/relationships/hyperlink" Target="https://www.theguardian.com/technology/2017/may/28/joy-buolamwini-when-algorithms-are-racist-facial-recognition-bias"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zakon.rada.gov.ua/laws/show/2341-14" TargetMode="External"/><Relationship Id="rId23" Type="http://schemas.openxmlformats.org/officeDocument/2006/relationships/hyperlink" Target="https://www.consilium.europa.eu/en/press/press-releases/2025/06/26/european-council-conclusions-on-european-defence-and-security/" TargetMode="External"/><Relationship Id="rId28" Type="http://schemas.openxmlformats.org/officeDocument/2006/relationships/hyperlink" Target="https://zakon.rada.gov.ua/laws/show/974_479" TargetMode="External"/><Relationship Id="rId36" Type="http://schemas.openxmlformats.org/officeDocument/2006/relationships/hyperlink" Target="https://socportal.info/ua/news/borg-derzhavi-za-pensiinimi-rishennyami-sudiv-syagnuv-85-mlrd-grn-shcho-zminila-postanova-kabminu-821/" TargetMode="External"/><Relationship Id="rId49" Type="http://schemas.openxmlformats.org/officeDocument/2006/relationships/hyperlink" Target="https://zakon.rada.gov.ua/laws/show/1907-20" TargetMode="External"/><Relationship Id="rId57" Type="http://schemas.openxmlformats.org/officeDocument/2006/relationships/hyperlink" Target="https://eur-lex.europa.eu/legal-content/EN/TXT/?uri=LEGISSUM:c11065&amp;frontOfficeSuffix=%2F" TargetMode="External"/><Relationship Id="rId10" Type="http://schemas.openxmlformats.org/officeDocument/2006/relationships/hyperlink" Target="https://zakon.rada.gov.ua/laws/show/187/2021" TargetMode="External"/><Relationship Id="rId31" Type="http://schemas.openxmlformats.org/officeDocument/2006/relationships/hyperlink" Target="https://hudoc.echr.coe.int/fre" TargetMode="External"/><Relationship Id="rId44" Type="http://schemas.openxmlformats.org/officeDocument/2006/relationships/hyperlink" Target="https://zakon.rada.gov.ua/laws/show/2163-19" TargetMode="External"/><Relationship Id="rId52" Type="http://schemas.openxmlformats.org/officeDocument/2006/relationships/hyperlink" Target="https://zakon.rada.gov.ua/laws/show/80/94-%D0%B2%D1%80" TargetMode="External"/><Relationship Id="rId60" Type="http://schemas.openxmlformats.org/officeDocument/2006/relationships/hyperlink" Target="https://zakon.rada.gov.ua/laws/show/1402-19" TargetMode="External"/><Relationship Id="rId65" Type="http://schemas.openxmlformats.org/officeDocument/2006/relationships/hyperlink" Target="https://www.coe.int/en/web/ccje/ccje-opinions" TargetMode="External"/><Relationship Id="rId73" Type="http://schemas.openxmlformats.org/officeDocument/2006/relationships/hyperlink" Target="https://zakon.rada.gov.ua/laws/show/994_325" TargetMode="External"/><Relationship Id="rId78" Type="http://schemas.openxmlformats.org/officeDocument/2006/relationships/hyperlink" Target="https://zakon.rada.gov.ua/laws/show/984_024-11" TargetMode="External"/><Relationship Id="rId81" Type="http://schemas.openxmlformats.org/officeDocument/2006/relationships/hyperlink" Target="https://zakon.rada.gov.ua/laws/show/254%D0%BA/96-%D0%92%D0%A0" TargetMode="External"/><Relationship Id="rId86" Type="http://schemas.openxmlformats.org/officeDocument/2006/relationships/hyperlink" Target="https://ibn.idsi.md/sites/default/files/imag_file/23-26_25.pdf" TargetMode="External"/><Relationship Id="rId4" Type="http://schemas.openxmlformats.org/officeDocument/2006/relationships/webSettings" Target="webSettings.xml"/><Relationship Id="rId9" Type="http://schemas.openxmlformats.org/officeDocument/2006/relationships/hyperlink" Target="https://zakon.rada.gov.ua/laws/show/2469-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224</Pages>
  <Words>64572</Words>
  <Characters>368066</Characters>
  <Application>Microsoft Office Word</Application>
  <DocSecurity>0</DocSecurity>
  <Lines>3067</Lines>
  <Paragraphs>863</Paragraphs>
  <ScaleCrop>false</ScaleCrop>
  <Company/>
  <LinksUpToDate>false</LinksUpToDate>
  <CharactersWithSpaces>431775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user</dc:creator>
  <cp:keywords/>
  <dc:description/>
  <cp:lastModifiedBy>bibl</cp:lastModifiedBy>
  <cp:revision>4</cp:revision>
  <dcterms:created xsi:type="dcterms:W3CDTF">2026-04-15T07:10:00Z</dcterms:created>
  <dcterms:modified xsi:type="dcterms:W3CDTF">2026-04-15T08:30:00Z</dcterms:modified>
</cp:coreProperties>
</file>