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5D2D" w:rsidRPr="000D5D2D" w:rsidRDefault="000D5D2D" w:rsidP="00896EFB">
      <w:pPr>
        <w:spacing w:after="0" w:line="360" w:lineRule="auto"/>
        <w:ind w:firstLine="567"/>
        <w:jc w:val="both"/>
        <w:rPr>
          <w:rFonts w:ascii="Times New Roman" w:hAnsi="Times New Roman" w:cs="Times New Roman"/>
          <w:sz w:val="28"/>
          <w:szCs w:val="28"/>
        </w:rPr>
      </w:pPr>
      <w:r w:rsidRPr="006F2681">
        <w:rPr>
          <w:rFonts w:ascii="Times New Roman" w:hAnsi="Times New Roman" w:cs="Times New Roman"/>
          <w:b/>
          <w:sz w:val="28"/>
          <w:szCs w:val="28"/>
        </w:rPr>
        <w:t>Михайленко Дмитро Григорович,</w:t>
      </w:r>
      <w:r w:rsidR="006F2681">
        <w:rPr>
          <w:rFonts w:ascii="Times New Roman" w:hAnsi="Times New Roman" w:cs="Times New Roman"/>
          <w:b/>
          <w:sz w:val="28"/>
          <w:szCs w:val="28"/>
        </w:rPr>
        <w:t xml:space="preserve"> </w:t>
      </w:r>
      <w:r w:rsidRPr="000D5D2D">
        <w:rPr>
          <w:rFonts w:ascii="Times New Roman" w:hAnsi="Times New Roman" w:cs="Times New Roman"/>
          <w:sz w:val="28"/>
          <w:szCs w:val="28"/>
        </w:rPr>
        <w:t xml:space="preserve">кандидат юридичних наук, доцент, </w:t>
      </w:r>
      <w:r w:rsidR="00117579">
        <w:rPr>
          <w:rFonts w:ascii="Times New Roman" w:hAnsi="Times New Roman" w:cs="Times New Roman"/>
          <w:sz w:val="28"/>
          <w:szCs w:val="28"/>
        </w:rPr>
        <w:t>докторант</w:t>
      </w:r>
      <w:r>
        <w:rPr>
          <w:rFonts w:ascii="Times New Roman" w:hAnsi="Times New Roman" w:cs="Times New Roman"/>
          <w:sz w:val="28"/>
          <w:szCs w:val="28"/>
        </w:rPr>
        <w:t xml:space="preserve"> </w:t>
      </w:r>
      <w:r w:rsidRPr="000D5D2D">
        <w:rPr>
          <w:rFonts w:ascii="Times New Roman" w:hAnsi="Times New Roman" w:cs="Times New Roman"/>
          <w:sz w:val="28"/>
          <w:szCs w:val="28"/>
        </w:rPr>
        <w:t>кафедри кримінального права</w:t>
      </w:r>
      <w:r w:rsidR="00117579">
        <w:rPr>
          <w:rFonts w:ascii="Times New Roman" w:hAnsi="Times New Roman" w:cs="Times New Roman"/>
          <w:sz w:val="28"/>
          <w:szCs w:val="28"/>
        </w:rPr>
        <w:t xml:space="preserve"> Національного університету «Одеська юридична академія»</w:t>
      </w:r>
      <w:r w:rsidRPr="000D5D2D">
        <w:rPr>
          <w:rFonts w:ascii="Times New Roman" w:hAnsi="Times New Roman" w:cs="Times New Roman"/>
          <w:sz w:val="28"/>
          <w:szCs w:val="28"/>
        </w:rPr>
        <w:t xml:space="preserve">, </w:t>
      </w:r>
      <w:r w:rsidR="00117579">
        <w:rPr>
          <w:rFonts w:ascii="Times New Roman" w:hAnsi="Times New Roman" w:cs="Times New Roman"/>
          <w:sz w:val="28"/>
          <w:szCs w:val="28"/>
        </w:rPr>
        <w:t>Одеса</w:t>
      </w:r>
      <w:r w:rsidRPr="000D5D2D">
        <w:rPr>
          <w:rFonts w:ascii="Times New Roman" w:hAnsi="Times New Roman" w:cs="Times New Roman"/>
          <w:sz w:val="28"/>
          <w:szCs w:val="28"/>
        </w:rPr>
        <w:t>, Україна</w:t>
      </w:r>
    </w:p>
    <w:p w:rsidR="00A2170D" w:rsidRPr="00153D1E" w:rsidRDefault="00A2170D" w:rsidP="00896EFB">
      <w:pPr>
        <w:spacing w:after="0" w:line="360" w:lineRule="auto"/>
        <w:jc w:val="center"/>
        <w:rPr>
          <w:rFonts w:ascii="Times New Roman" w:hAnsi="Times New Roman" w:cs="Times New Roman"/>
          <w:b/>
          <w:caps/>
          <w:sz w:val="28"/>
          <w:szCs w:val="28"/>
        </w:rPr>
      </w:pPr>
      <w:r w:rsidRPr="00153D1E">
        <w:rPr>
          <w:rFonts w:ascii="Times New Roman" w:hAnsi="Times New Roman" w:cs="Times New Roman"/>
          <w:b/>
          <w:caps/>
          <w:sz w:val="28"/>
          <w:szCs w:val="28"/>
        </w:rPr>
        <w:t>Результат пошуку моделі норми про незаконне збагачення в Україні та його недоліки</w:t>
      </w:r>
    </w:p>
    <w:p w:rsidR="00175A38" w:rsidRPr="006F2681" w:rsidRDefault="00175A38" w:rsidP="00896EFB">
      <w:pPr>
        <w:spacing w:after="0" w:line="360" w:lineRule="auto"/>
        <w:jc w:val="center"/>
        <w:rPr>
          <w:rFonts w:ascii="Times New Roman" w:hAnsi="Times New Roman" w:cs="Times New Roman"/>
          <w:b/>
          <w:caps/>
          <w:sz w:val="28"/>
          <w:szCs w:val="28"/>
        </w:rPr>
      </w:pPr>
    </w:p>
    <w:p w:rsidR="00A2170D" w:rsidRPr="007B4D4C" w:rsidRDefault="00A2170D" w:rsidP="00896EFB">
      <w:pPr>
        <w:spacing w:after="0" w:line="360" w:lineRule="auto"/>
        <w:ind w:firstLine="567"/>
        <w:jc w:val="both"/>
        <w:rPr>
          <w:rFonts w:ascii="Times New Roman" w:hAnsi="Times New Roman" w:cs="Times New Roman"/>
          <w:sz w:val="28"/>
          <w:szCs w:val="28"/>
        </w:rPr>
      </w:pPr>
      <w:r w:rsidRPr="007B4D4C">
        <w:rPr>
          <w:rFonts w:ascii="Times New Roman" w:hAnsi="Times New Roman" w:cs="Times New Roman"/>
          <w:sz w:val="28"/>
          <w:szCs w:val="28"/>
        </w:rPr>
        <w:t xml:space="preserve">При вирішені проблеми конструювання формули складу незаконного збагачення у контексті її взаємодії із принципом презумпції невинуватості слід звернути особливу увагу, що при складанні остаточного варіанту нинішньої редакції ст.20 Конвенції ООН проти корупції </w:t>
      </w:r>
      <w:r w:rsidR="004A234A">
        <w:rPr>
          <w:rFonts w:ascii="Times New Roman" w:hAnsi="Times New Roman" w:cs="Times New Roman"/>
          <w:sz w:val="28"/>
          <w:szCs w:val="28"/>
        </w:rPr>
        <w:t xml:space="preserve">(далі – Конвенція) </w:t>
      </w:r>
      <w:r w:rsidRPr="007B4D4C">
        <w:rPr>
          <w:rFonts w:ascii="Times New Roman" w:hAnsi="Times New Roman" w:cs="Times New Roman"/>
          <w:sz w:val="28"/>
          <w:szCs w:val="28"/>
        </w:rPr>
        <w:t>зазначене питання мало декілька варіантів вирішення. Зокрема, Колумбія ще на першій сесії (Відень, 21 січня – 1 лютого 2002 року) міжурядового Спеціального комітету відкритого складу з розробки Конвенції проти корупції (заснований Генеральною Асамблеєю в її резолюції 55/61 від 4 грудня 2000 року) пропонувала викласти статтю про незаконне збагачення у редакції по суті аналогічній тій, що пізніше також була запропонована В.М. Борковим</w:t>
      </w:r>
      <w:r w:rsidR="001A27DE">
        <w:rPr>
          <w:rFonts w:ascii="Times New Roman" w:hAnsi="Times New Roman" w:cs="Times New Roman"/>
          <w:sz w:val="28"/>
          <w:szCs w:val="28"/>
        </w:rPr>
        <w:t xml:space="preserve"> </w:t>
      </w:r>
      <w:r w:rsidR="004A234A" w:rsidRPr="007B4D4C">
        <w:rPr>
          <w:rFonts w:ascii="Times New Roman" w:hAnsi="Times New Roman" w:cs="Times New Roman"/>
          <w:sz w:val="28"/>
          <w:szCs w:val="28"/>
        </w:rPr>
        <w:t>[1, с.31]</w:t>
      </w:r>
      <w:r w:rsidRPr="007B4D4C">
        <w:rPr>
          <w:rFonts w:ascii="Times New Roman" w:hAnsi="Times New Roman" w:cs="Times New Roman"/>
          <w:sz w:val="28"/>
          <w:szCs w:val="28"/>
        </w:rPr>
        <w:t>, а саме: «… визнати як кримінально каране, коли воно вчинюється умисно, невиправдане збільшення багатства державного службовця в період його перебування на державній службі або протягом двох років після завершення цього періоду» [</w:t>
      </w:r>
      <w:r w:rsidR="001A27DE">
        <w:rPr>
          <w:rFonts w:ascii="Times New Roman" w:hAnsi="Times New Roman" w:cs="Times New Roman"/>
          <w:sz w:val="28"/>
          <w:szCs w:val="28"/>
        </w:rPr>
        <w:t>2</w:t>
      </w:r>
      <w:r w:rsidRPr="007B4D4C">
        <w:rPr>
          <w:rFonts w:ascii="Times New Roman" w:hAnsi="Times New Roman" w:cs="Times New Roman"/>
          <w:sz w:val="28"/>
          <w:szCs w:val="28"/>
        </w:rPr>
        <w:t>, с.213]. Схожою у цьому контексті була пропозиція Алжиру, висловлена в рамках третьої сесії Спеціального комітету (Відень, 30 вересня – 11 жовтня 2002 року): «… визнати в якості кримінально караного незаконне збагачення або необґрунтоване збільшення майна, активів і доходів будь-якої публічної посадової особи, яке не відповідає її законному заробітку від виконання її обов'язків або з інших законних джерел» [</w:t>
      </w:r>
      <w:r w:rsidR="001A27DE">
        <w:rPr>
          <w:rFonts w:ascii="Times New Roman" w:hAnsi="Times New Roman" w:cs="Times New Roman"/>
          <w:sz w:val="28"/>
          <w:szCs w:val="28"/>
        </w:rPr>
        <w:t>2</w:t>
      </w:r>
      <w:r w:rsidRPr="007B4D4C">
        <w:rPr>
          <w:rFonts w:ascii="Times New Roman" w:hAnsi="Times New Roman" w:cs="Times New Roman"/>
          <w:sz w:val="28"/>
          <w:szCs w:val="28"/>
        </w:rPr>
        <w:t>, с.214].</w:t>
      </w:r>
    </w:p>
    <w:p w:rsidR="00A2170D" w:rsidRPr="007B4D4C" w:rsidRDefault="00A2170D" w:rsidP="00896EFB">
      <w:pPr>
        <w:spacing w:after="0" w:line="360" w:lineRule="auto"/>
        <w:ind w:firstLine="567"/>
        <w:jc w:val="both"/>
        <w:rPr>
          <w:rFonts w:ascii="Times New Roman" w:hAnsi="Times New Roman" w:cs="Times New Roman"/>
          <w:sz w:val="28"/>
          <w:szCs w:val="28"/>
        </w:rPr>
      </w:pPr>
      <w:r w:rsidRPr="007B4D4C">
        <w:rPr>
          <w:rFonts w:ascii="Times New Roman" w:hAnsi="Times New Roman" w:cs="Times New Roman"/>
          <w:sz w:val="28"/>
          <w:szCs w:val="28"/>
        </w:rPr>
        <w:t xml:space="preserve">У зв’язку із наведеними редакціями норми про незаконне збагачення, від яких відмовилися при формулюванні кінцевого варіанту ст.20 Конвенції, звертають на себе увагу законодавчі ініціативи щодо зміни діючої редакції ст.368-2 КК України, які у 2014 році виносилися на розгляд Верховної Ради України. Так, згідно із проектами Законів України № 4573 від 26.03.2014 року </w:t>
      </w:r>
      <w:r w:rsidRPr="007B4D4C">
        <w:rPr>
          <w:rFonts w:ascii="Times New Roman" w:hAnsi="Times New Roman" w:cs="Times New Roman"/>
          <w:sz w:val="28"/>
          <w:szCs w:val="28"/>
        </w:rPr>
        <w:lastRenderedPageBreak/>
        <w:t xml:space="preserve">(не включено у порядок денний 17.04.2014 року), № 4780 від 24.04.2014 року (відхилено </w:t>
      </w:r>
      <w:hyperlink r:id="rId6" w:tgtFrame="_blank" w:history="1">
        <w:r w:rsidRPr="007B4D4C">
          <w:rPr>
            <w:rFonts w:ascii="Times New Roman" w:hAnsi="Times New Roman" w:cs="Times New Roman"/>
            <w:sz w:val="28"/>
            <w:szCs w:val="28"/>
          </w:rPr>
          <w:t>16.09.2014</w:t>
        </w:r>
      </w:hyperlink>
      <w:r w:rsidRPr="007B4D4C">
        <w:rPr>
          <w:rFonts w:ascii="Times New Roman" w:hAnsi="Times New Roman" w:cs="Times New Roman"/>
          <w:sz w:val="28"/>
          <w:szCs w:val="28"/>
        </w:rPr>
        <w:t xml:space="preserve"> року), пропонувалося привести КК України у відповідність до ст.20 Конвенції шляхом викладення складу незаконного збагачення у такій редакції: «Набуття особою, уповноваженою на виконання функцій держави або місцевого самоврядування, у власність (користування) майна, вартість якого значно перевищує її доходи, отримання яких підтверджено законними джерелами, або передача нею такого майна близьким родичам…», а за проектом Закону України № 5085 від 16.09.2014 року наведену формулу доопрацьовано і запропоновану у такому вигляді: «Набуття особою, уповноваженою на виконання функцій держави або місцевого самоврядування, у власність майна, вартість якого значно перевищує доходи особи, отримані із законних джерел, або передача нею такого майна близьким родичам…». У такій же редакції була викладена ст.368-2 КК України згідно із Законом України від 14.10.2014 року.</w:t>
      </w:r>
      <w:r w:rsidR="00F92588">
        <w:rPr>
          <w:rFonts w:ascii="Times New Roman" w:hAnsi="Times New Roman" w:cs="Times New Roman"/>
          <w:sz w:val="28"/>
          <w:szCs w:val="28"/>
        </w:rPr>
        <w:t xml:space="preserve"> </w:t>
      </w:r>
      <w:r w:rsidRPr="007B4D4C">
        <w:rPr>
          <w:rFonts w:ascii="Times New Roman" w:hAnsi="Times New Roman" w:cs="Times New Roman"/>
          <w:sz w:val="28"/>
          <w:szCs w:val="28"/>
        </w:rPr>
        <w:t xml:space="preserve">У подальшому ч.1 ст.368-2 КК України було знову вкладено у новій редакції Законом України від 12.02.2015 року: </w:t>
      </w:r>
      <w:r w:rsidRPr="00D02862">
        <w:rPr>
          <w:rFonts w:ascii="Times New Roman" w:hAnsi="Times New Roman" w:cs="Times New Roman"/>
          <w:sz w:val="28"/>
          <w:szCs w:val="28"/>
        </w:rPr>
        <w:t>«Набуття особою, уповноваженою на виконання функцій держави або місцевого самоврядування, у власність активів у значному розмірі, законність підстав набуття яких не підтверджено доказами, а так само передача нею таких активів будь-якій іншій особі»</w:t>
      </w:r>
      <w:r w:rsidRPr="007B4D4C">
        <w:rPr>
          <w:rFonts w:ascii="Times New Roman" w:hAnsi="Times New Roman" w:cs="Times New Roman"/>
          <w:sz w:val="28"/>
          <w:szCs w:val="28"/>
        </w:rPr>
        <w:t>.</w:t>
      </w:r>
      <w:r w:rsidR="00F92588">
        <w:rPr>
          <w:rFonts w:ascii="Times New Roman" w:hAnsi="Times New Roman" w:cs="Times New Roman"/>
          <w:sz w:val="28"/>
          <w:szCs w:val="28"/>
        </w:rPr>
        <w:t xml:space="preserve"> Така </w:t>
      </w:r>
      <w:r w:rsidRPr="007B4D4C">
        <w:rPr>
          <w:rFonts w:ascii="Times New Roman" w:hAnsi="Times New Roman" w:cs="Times New Roman"/>
          <w:sz w:val="28"/>
          <w:szCs w:val="28"/>
        </w:rPr>
        <w:t>редакція ч.1 ст.368-2 КК України</w:t>
      </w:r>
      <w:r w:rsidR="00F92588">
        <w:rPr>
          <w:rFonts w:ascii="Times New Roman" w:hAnsi="Times New Roman" w:cs="Times New Roman"/>
          <w:sz w:val="28"/>
          <w:szCs w:val="28"/>
        </w:rPr>
        <w:t xml:space="preserve"> </w:t>
      </w:r>
      <w:r w:rsidRPr="007B4D4C">
        <w:rPr>
          <w:rFonts w:ascii="Times New Roman" w:hAnsi="Times New Roman" w:cs="Times New Roman"/>
          <w:sz w:val="28"/>
          <w:szCs w:val="28"/>
        </w:rPr>
        <w:t>набира</w:t>
      </w:r>
      <w:r w:rsidR="00F92588">
        <w:rPr>
          <w:rFonts w:ascii="Times New Roman" w:hAnsi="Times New Roman" w:cs="Times New Roman"/>
          <w:sz w:val="28"/>
          <w:szCs w:val="28"/>
        </w:rPr>
        <w:t>ла</w:t>
      </w:r>
      <w:r w:rsidRPr="007B4D4C">
        <w:rPr>
          <w:rFonts w:ascii="Times New Roman" w:hAnsi="Times New Roman" w:cs="Times New Roman"/>
          <w:sz w:val="28"/>
          <w:szCs w:val="28"/>
        </w:rPr>
        <w:t xml:space="preserve"> чинності з 05.03.2015 року та діє на цей момент.</w:t>
      </w:r>
    </w:p>
    <w:p w:rsidR="00A2170D" w:rsidRPr="007B4D4C" w:rsidRDefault="00A2170D" w:rsidP="00896EFB">
      <w:pPr>
        <w:spacing w:after="0" w:line="360" w:lineRule="auto"/>
        <w:ind w:firstLine="567"/>
        <w:jc w:val="both"/>
        <w:rPr>
          <w:rFonts w:ascii="Times New Roman" w:hAnsi="Times New Roman" w:cs="Times New Roman"/>
          <w:sz w:val="28"/>
          <w:szCs w:val="28"/>
        </w:rPr>
      </w:pPr>
      <w:r w:rsidRPr="007B4D4C">
        <w:rPr>
          <w:rFonts w:ascii="Times New Roman" w:hAnsi="Times New Roman" w:cs="Times New Roman"/>
          <w:sz w:val="28"/>
          <w:szCs w:val="28"/>
        </w:rPr>
        <w:t>Хоча наведені вище формулювання статті про незаконне збагачення не є аналогічними, проте спільним для них є те, що в їх основі лежить прагнення відсторонитися від прямої вказівки у конструкції норми на обов’язок суб’єкта раціонально обґрунтувати походження активів, які перевищують задекларовані ним легальні доходи, чим обійти чи завуалювати проблему перенесення тягаря доказування (обмеження принципу презумпції невинуватості) на суб’єкта корупційного злочину та порушення права не свідчити проти себе.</w:t>
      </w:r>
    </w:p>
    <w:p w:rsidR="00A2170D" w:rsidRPr="007B4D4C" w:rsidRDefault="00A2170D" w:rsidP="00896EFB">
      <w:pPr>
        <w:pStyle w:val="rvps2"/>
        <w:shd w:val="clear" w:color="auto" w:fill="FFFFFF"/>
        <w:spacing w:before="0" w:beforeAutospacing="0" w:after="0" w:afterAutospacing="0" w:line="360" w:lineRule="auto"/>
        <w:ind w:firstLine="450"/>
        <w:jc w:val="both"/>
        <w:textAlignment w:val="baseline"/>
        <w:rPr>
          <w:sz w:val="28"/>
          <w:szCs w:val="28"/>
          <w:lang w:val="uk-UA"/>
        </w:rPr>
      </w:pPr>
      <w:r w:rsidRPr="007B4D4C">
        <w:rPr>
          <w:sz w:val="28"/>
          <w:szCs w:val="28"/>
          <w:lang w:val="uk-UA"/>
        </w:rPr>
        <w:t xml:space="preserve">Таким чином, чинна редакція норми про незаконне збагачення зберегла основні недоліки, які були притаманні пропонованим </w:t>
      </w:r>
      <w:r w:rsidR="00946DC6" w:rsidRPr="007B4D4C">
        <w:rPr>
          <w:sz w:val="28"/>
          <w:szCs w:val="28"/>
          <w:lang w:val="uk-UA"/>
        </w:rPr>
        <w:t xml:space="preserve">варіантам ст.368-2 КК України </w:t>
      </w:r>
      <w:r w:rsidRPr="007B4D4C">
        <w:rPr>
          <w:sz w:val="28"/>
          <w:szCs w:val="28"/>
          <w:lang w:val="uk-UA"/>
        </w:rPr>
        <w:t xml:space="preserve">у законопроектах від 27.12.2015 року, від 09.01.2015 року та від </w:t>
      </w:r>
      <w:r w:rsidRPr="007B4D4C">
        <w:rPr>
          <w:sz w:val="28"/>
          <w:szCs w:val="28"/>
          <w:lang w:val="uk-UA"/>
        </w:rPr>
        <w:lastRenderedPageBreak/>
        <w:t>30.01.2015 року, а саме:</w:t>
      </w:r>
      <w:r w:rsidR="006A6214">
        <w:rPr>
          <w:sz w:val="28"/>
          <w:szCs w:val="28"/>
          <w:lang w:val="uk-UA"/>
        </w:rPr>
        <w:t xml:space="preserve"> </w:t>
      </w:r>
      <w:r w:rsidRPr="007B4D4C">
        <w:rPr>
          <w:sz w:val="28"/>
          <w:szCs w:val="28"/>
          <w:lang w:val="uk-UA"/>
        </w:rPr>
        <w:t>1) фактичне запровадження складом цього злочину обмеження дії принципу презумпції невинуватості без прямої нормативної регламентації цього як у КК України, так і в інших Законах України, а також без наукового обґрунтування такого обмеження та незважаючи на зауваження експертів Верховної Ради України;</w:t>
      </w:r>
      <w:r w:rsidR="006A6214">
        <w:rPr>
          <w:sz w:val="28"/>
          <w:szCs w:val="28"/>
          <w:lang w:val="uk-UA"/>
        </w:rPr>
        <w:t xml:space="preserve"> </w:t>
      </w:r>
      <w:r w:rsidRPr="007B4D4C">
        <w:rPr>
          <w:sz w:val="28"/>
          <w:szCs w:val="28"/>
          <w:lang w:val="uk-UA"/>
        </w:rPr>
        <w:t>2) виключення із суб’єктів, значне необґрунтоване збільшення активів яких утворюватиме склад незаконного збагачення, близьких осіб публічного службовця;</w:t>
      </w:r>
      <w:r w:rsidR="006A6214">
        <w:rPr>
          <w:sz w:val="28"/>
          <w:szCs w:val="28"/>
          <w:lang w:val="uk-UA"/>
        </w:rPr>
        <w:t xml:space="preserve"> </w:t>
      </w:r>
      <w:r w:rsidRPr="007B4D4C">
        <w:rPr>
          <w:sz w:val="28"/>
          <w:szCs w:val="28"/>
          <w:lang w:val="uk-UA"/>
        </w:rPr>
        <w:t>3) встановлення необхідності для обвинуваченого підтверджувати законність набуття своїх активів виключно доказами, що ставить його у значно жорсткіші рамки ніж це передбачається у ст.20 Конвенції, за якою достатнім є раціонально обґрунтувати суттєве збільшення активів без обов’язкового підтвердження цього доказами.</w:t>
      </w:r>
    </w:p>
    <w:p w:rsidR="00A2170D" w:rsidRPr="007B4D4C" w:rsidRDefault="00A2170D" w:rsidP="00896EFB">
      <w:pPr>
        <w:pStyle w:val="rvps2"/>
        <w:shd w:val="clear" w:color="auto" w:fill="FFFFFF"/>
        <w:spacing w:before="0" w:beforeAutospacing="0" w:after="0" w:afterAutospacing="0" w:line="360" w:lineRule="auto"/>
        <w:ind w:firstLine="450"/>
        <w:jc w:val="both"/>
        <w:textAlignment w:val="baseline"/>
        <w:rPr>
          <w:sz w:val="28"/>
          <w:szCs w:val="28"/>
          <w:lang w:val="uk-UA"/>
        </w:rPr>
      </w:pPr>
      <w:r w:rsidRPr="007B4D4C">
        <w:rPr>
          <w:sz w:val="28"/>
          <w:szCs w:val="28"/>
          <w:lang w:val="uk-UA"/>
        </w:rPr>
        <w:t>Крім того, незаконне збагачення за ст.20 Конвенції не передбачає як ст.368-2 КК України необхідності підтвердження саме законності походження майнових активів, які перевищують законні доходи. У Конвенції йдеться про необхідність надання публічним службовцем раціонального обґрунтування значного збільшення своїх активів, яке перевищує її законні доходи. Звичайно таке обґрунтування може будуватися на тому, що особа вчинила інший корисливий злочин, наприклад один із злочинів проти власності, що повинно також виключати дію норми про незаконне збагачення, оскільки остання призначена для боротьби із корупцією і характеризується відповідними об’єктами кримінально-правової охорони.</w:t>
      </w:r>
    </w:p>
    <w:p w:rsidR="00A2170D" w:rsidRPr="007B4D4C" w:rsidRDefault="00A2170D" w:rsidP="00896EFB">
      <w:pPr>
        <w:pStyle w:val="rvps2"/>
        <w:shd w:val="clear" w:color="auto" w:fill="FFFFFF"/>
        <w:spacing w:before="0" w:beforeAutospacing="0" w:after="0" w:afterAutospacing="0" w:line="360" w:lineRule="auto"/>
        <w:ind w:firstLine="450"/>
        <w:jc w:val="both"/>
        <w:textAlignment w:val="baseline"/>
        <w:rPr>
          <w:sz w:val="28"/>
          <w:szCs w:val="28"/>
          <w:lang w:val="uk-UA"/>
        </w:rPr>
      </w:pPr>
      <w:r w:rsidRPr="007B4D4C">
        <w:rPr>
          <w:sz w:val="28"/>
          <w:szCs w:val="28"/>
          <w:lang w:val="uk-UA"/>
        </w:rPr>
        <w:t>У зв’язку із цим, за чинною редакцією ст.368-2 КК України, якщо особа, уповноважена на виконання функцій держави або місцевого самоврядування, надасть докази отримання активів у значному розмірі від вчиненні злочину, який не є корупційним чи навіть корупційного злочину (наприклад, підкупу), то все одно слід буде застосовувати ст.368-2 КК України, оскільки не будуть надані докази саме законності підстав набуття зазначених активів. При цьому очевидно, що обвинуваченому вигідно надавати лише докази набуття майнових активів від злочину, санкція якого є більш м’якою ніж санкція незаконного збагачення.</w:t>
      </w:r>
    </w:p>
    <w:p w:rsidR="00A2170D" w:rsidRPr="007B4D4C" w:rsidRDefault="00A2170D" w:rsidP="00896EFB">
      <w:pPr>
        <w:pStyle w:val="rvps2"/>
        <w:shd w:val="clear" w:color="auto" w:fill="FFFFFF"/>
        <w:spacing w:before="0" w:beforeAutospacing="0" w:after="0" w:afterAutospacing="0" w:line="360" w:lineRule="auto"/>
        <w:ind w:firstLine="450"/>
        <w:jc w:val="both"/>
        <w:textAlignment w:val="baseline"/>
        <w:rPr>
          <w:sz w:val="28"/>
          <w:szCs w:val="28"/>
          <w:lang w:val="uk-UA"/>
        </w:rPr>
      </w:pPr>
      <w:r w:rsidRPr="007B4D4C">
        <w:rPr>
          <w:sz w:val="28"/>
          <w:szCs w:val="28"/>
          <w:lang w:val="uk-UA"/>
        </w:rPr>
        <w:lastRenderedPageBreak/>
        <w:t>Таким чином, норма про незаконне збагачення, передбачена у ст.368-2 КК України у порівнянні із однойменним інструментом, передбаченим ст.20 Конвенції, має ряд суттєвих недоліків, які підривають ефективність та справедливість її застосування в Україні і які слід усунути шляхом зміни КК України у цій частині.</w:t>
      </w:r>
    </w:p>
    <w:p w:rsidR="00A2170D" w:rsidRPr="007B4D4C" w:rsidRDefault="00B23611" w:rsidP="00896EF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 цьому в</w:t>
      </w:r>
      <w:r w:rsidR="00A2170D" w:rsidRPr="007B4D4C">
        <w:rPr>
          <w:rFonts w:ascii="Times New Roman" w:hAnsi="Times New Roman" w:cs="Times New Roman"/>
          <w:sz w:val="28"/>
          <w:szCs w:val="28"/>
        </w:rPr>
        <w:t xml:space="preserve">ажливо звернути увагу, що щодо перерахованих вище законопроектів подавалося обґрунтування, за яким пряма вимога у пропонованій редакції ст.368-2 КК України надати пояснення з тим, щоб спростувати встановлене органом досудового розслідування припущення щодо незаконності майна, яке не відповідає законним джерелам доходів не передбачена свідомо, а особа при цьому зберігає право, але не зобов’язана надати пояснення щодо джерел таких нез’ясованих доходів та їхньої законності. При цьому відсутність такого пояснення може враховуватися судом при прийнятті рішення як одна з обставин, яка має значення для прийняття рішення по суті. </w:t>
      </w:r>
      <w:r w:rsidR="00A45EDA">
        <w:rPr>
          <w:rFonts w:ascii="Times New Roman" w:hAnsi="Times New Roman" w:cs="Times New Roman"/>
          <w:sz w:val="28"/>
          <w:szCs w:val="28"/>
        </w:rPr>
        <w:t xml:space="preserve">Така можливість у пояснювальній записці до законопроекту обґрунтовувалася посиланням на </w:t>
      </w:r>
      <w:r w:rsidR="003D1D4B">
        <w:rPr>
          <w:rFonts w:ascii="Times New Roman" w:hAnsi="Times New Roman" w:cs="Times New Roman"/>
          <w:sz w:val="28"/>
          <w:szCs w:val="28"/>
        </w:rPr>
        <w:t>рішення</w:t>
      </w:r>
      <w:r w:rsidR="00A2170D" w:rsidRPr="007B4D4C">
        <w:rPr>
          <w:rFonts w:ascii="Times New Roman" w:hAnsi="Times New Roman" w:cs="Times New Roman"/>
          <w:sz w:val="28"/>
          <w:szCs w:val="28"/>
        </w:rPr>
        <w:t xml:space="preserve"> </w:t>
      </w:r>
      <w:r w:rsidR="003D1D4B" w:rsidRPr="007B4D4C">
        <w:rPr>
          <w:rFonts w:ascii="Times New Roman" w:hAnsi="Times New Roman" w:cs="Times New Roman"/>
          <w:sz w:val="28"/>
          <w:szCs w:val="28"/>
        </w:rPr>
        <w:t>Європейськ</w:t>
      </w:r>
      <w:r w:rsidR="003D1D4B">
        <w:rPr>
          <w:rFonts w:ascii="Times New Roman" w:hAnsi="Times New Roman" w:cs="Times New Roman"/>
          <w:sz w:val="28"/>
          <w:szCs w:val="28"/>
        </w:rPr>
        <w:t xml:space="preserve">ого </w:t>
      </w:r>
      <w:r w:rsidR="003D1D4B" w:rsidRPr="007B4D4C">
        <w:rPr>
          <w:rFonts w:ascii="Times New Roman" w:hAnsi="Times New Roman" w:cs="Times New Roman"/>
          <w:sz w:val="28"/>
          <w:szCs w:val="28"/>
        </w:rPr>
        <w:t>суд</w:t>
      </w:r>
      <w:r w:rsidR="003D1D4B">
        <w:rPr>
          <w:rFonts w:ascii="Times New Roman" w:hAnsi="Times New Roman" w:cs="Times New Roman"/>
          <w:sz w:val="28"/>
          <w:szCs w:val="28"/>
        </w:rPr>
        <w:t>у</w:t>
      </w:r>
      <w:r w:rsidR="003D1D4B" w:rsidRPr="007B4D4C">
        <w:rPr>
          <w:rFonts w:ascii="Times New Roman" w:hAnsi="Times New Roman" w:cs="Times New Roman"/>
          <w:sz w:val="28"/>
          <w:szCs w:val="28"/>
        </w:rPr>
        <w:t xml:space="preserve"> з прав людини </w:t>
      </w:r>
      <w:r w:rsidR="00A2170D" w:rsidRPr="007B4D4C">
        <w:rPr>
          <w:rFonts w:ascii="Times New Roman" w:hAnsi="Times New Roman" w:cs="Times New Roman"/>
          <w:sz w:val="28"/>
          <w:szCs w:val="28"/>
        </w:rPr>
        <w:t>у справі John Murray v. United Kingdom [</w:t>
      </w:r>
      <w:r w:rsidR="001A27DE">
        <w:rPr>
          <w:rFonts w:ascii="Times New Roman" w:hAnsi="Times New Roman" w:cs="Times New Roman"/>
          <w:sz w:val="28"/>
          <w:szCs w:val="28"/>
        </w:rPr>
        <w:t>3</w:t>
      </w:r>
      <w:r w:rsidR="00A2170D" w:rsidRPr="007B4D4C">
        <w:rPr>
          <w:rFonts w:ascii="Times New Roman" w:hAnsi="Times New Roman" w:cs="Times New Roman"/>
          <w:sz w:val="28"/>
          <w:szCs w:val="28"/>
        </w:rPr>
        <w:t>]</w:t>
      </w:r>
      <w:r w:rsidR="003D1D4B">
        <w:rPr>
          <w:rFonts w:ascii="Times New Roman" w:hAnsi="Times New Roman" w:cs="Times New Roman"/>
          <w:sz w:val="28"/>
          <w:szCs w:val="28"/>
        </w:rPr>
        <w:t xml:space="preserve">, яким було </w:t>
      </w:r>
      <w:r w:rsidR="00A2170D" w:rsidRPr="007B4D4C">
        <w:rPr>
          <w:rFonts w:ascii="Times New Roman" w:hAnsi="Times New Roman" w:cs="Times New Roman"/>
          <w:sz w:val="28"/>
          <w:szCs w:val="28"/>
        </w:rPr>
        <w:t>визна</w:t>
      </w:r>
      <w:r w:rsidR="003D1D4B">
        <w:rPr>
          <w:rFonts w:ascii="Times New Roman" w:hAnsi="Times New Roman" w:cs="Times New Roman"/>
          <w:sz w:val="28"/>
          <w:szCs w:val="28"/>
        </w:rPr>
        <w:t>но</w:t>
      </w:r>
      <w:r w:rsidR="00A2170D" w:rsidRPr="007B4D4C">
        <w:rPr>
          <w:rFonts w:ascii="Times New Roman" w:hAnsi="Times New Roman" w:cs="Times New Roman"/>
          <w:sz w:val="28"/>
          <w:szCs w:val="28"/>
        </w:rPr>
        <w:t>, що суд може робити негативні висновки з мовчання обвинуваченого, коли фактичні обставини справи явно вимагають від особи надати пояснення, якщо при цьому таке мовчання не є основною підставою для обвинувального вироку. За задумом авторів законопроектів таке формулювання злочину (незаконного збагачення) не передбачає перекладення тягаря доведення на обвинуваченого</w:t>
      </w:r>
      <w:r w:rsidR="00896EFB">
        <w:rPr>
          <w:rFonts w:ascii="Times New Roman" w:hAnsi="Times New Roman" w:cs="Times New Roman"/>
          <w:sz w:val="28"/>
          <w:szCs w:val="28"/>
        </w:rPr>
        <w:t>.</w:t>
      </w:r>
    </w:p>
    <w:p w:rsidR="00A2170D" w:rsidRDefault="00A2170D" w:rsidP="00896EFB">
      <w:pPr>
        <w:spacing w:after="0" w:line="360" w:lineRule="auto"/>
        <w:ind w:firstLine="567"/>
        <w:jc w:val="both"/>
        <w:rPr>
          <w:rFonts w:ascii="Times New Roman" w:hAnsi="Times New Roman" w:cs="Times New Roman"/>
          <w:sz w:val="28"/>
          <w:szCs w:val="28"/>
        </w:rPr>
      </w:pPr>
      <w:r w:rsidRPr="007B4D4C">
        <w:rPr>
          <w:rFonts w:ascii="Times New Roman" w:hAnsi="Times New Roman" w:cs="Times New Roman"/>
          <w:sz w:val="28"/>
          <w:szCs w:val="28"/>
        </w:rPr>
        <w:t>Разом із тим, наведене</w:t>
      </w:r>
      <w:r w:rsidR="007452F1">
        <w:rPr>
          <w:rFonts w:ascii="Times New Roman" w:hAnsi="Times New Roman" w:cs="Times New Roman"/>
          <w:sz w:val="28"/>
          <w:szCs w:val="28"/>
        </w:rPr>
        <w:t xml:space="preserve"> вище посилання </w:t>
      </w:r>
      <w:r w:rsidRPr="007B4D4C">
        <w:rPr>
          <w:rFonts w:ascii="Times New Roman" w:hAnsi="Times New Roman" w:cs="Times New Roman"/>
          <w:sz w:val="28"/>
          <w:szCs w:val="28"/>
        </w:rPr>
        <w:t xml:space="preserve">на рішення по справі John Murray v. United Kingdom щодо можливості суду робити негативні висновки з мовчання обвинуваченого у досліджуваній ситуації є некоректним, оскільки можливість негативно для обвинуваченого тлумачити його мовчання по справі, що розглядалась Судом, детально врегульована Наказом про докази у кримінальних справах 1988 року (Північна Ірландія). У </w:t>
      </w:r>
      <w:r w:rsidR="007452F1">
        <w:rPr>
          <w:rFonts w:ascii="Times New Roman" w:hAnsi="Times New Roman" w:cs="Times New Roman"/>
          <w:sz w:val="28"/>
          <w:szCs w:val="28"/>
        </w:rPr>
        <w:t xml:space="preserve">зазначеному вище </w:t>
      </w:r>
      <w:r w:rsidRPr="007B4D4C">
        <w:rPr>
          <w:rFonts w:ascii="Times New Roman" w:hAnsi="Times New Roman" w:cs="Times New Roman"/>
          <w:sz w:val="28"/>
          <w:szCs w:val="28"/>
        </w:rPr>
        <w:t xml:space="preserve">рішенні Європейського суду з прав людини зазначено, що виведення висновків на підставі зазначеного Наказу відрізняється тим, що, окрім існування </w:t>
      </w:r>
      <w:r w:rsidRPr="007B4D4C">
        <w:rPr>
          <w:rFonts w:ascii="Times New Roman" w:hAnsi="Times New Roman" w:cs="Times New Roman"/>
          <w:sz w:val="28"/>
          <w:szCs w:val="28"/>
        </w:rPr>
        <w:lastRenderedPageBreak/>
        <w:t>конкретних зазначених у ньому гарантій, така процедура становить формалізовану систему, яка б дозволяла відкрито керуватися здоровим глуздом в оцінюванні доказів (п.27 та п.54 рішення ЄСПЛ). Як відомо в Україні відсутні нормативні акти, які б регламентували порядок і можливості виведення судом висновків із відмови пояснювати певні обставини справи, що свідчить про відсутність такої ознаки допустимого обмеження права, як його передбачення законом. Означена ознака закріплена у пунктах 5 (всі обмеження визнаних прав повинні бути закріплені відповідно до національного закону) та 15 (жодне обмеження здійснення прав людини не вводиться інакше, як відповідно до національного закону загального застосування) Сіракузьких принципів [</w:t>
      </w:r>
      <w:r w:rsidR="006A6214">
        <w:rPr>
          <w:rFonts w:ascii="Times New Roman" w:hAnsi="Times New Roman" w:cs="Times New Roman"/>
          <w:sz w:val="28"/>
          <w:szCs w:val="28"/>
        </w:rPr>
        <w:t>4</w:t>
      </w:r>
      <w:r w:rsidRPr="007B4D4C">
        <w:rPr>
          <w:rFonts w:ascii="Times New Roman" w:hAnsi="Times New Roman" w:cs="Times New Roman"/>
          <w:sz w:val="28"/>
          <w:szCs w:val="28"/>
        </w:rPr>
        <w:t xml:space="preserve">], а також ґрунтується за підході, відображеному в ст.ст. 8, 9, 10, 11 </w:t>
      </w:r>
      <w:hyperlink r:id="rId7" w:history="1">
        <w:r w:rsidRPr="007B4D4C">
          <w:rPr>
            <w:rFonts w:ascii="Times New Roman" w:hAnsi="Times New Roman" w:cs="Times New Roman"/>
            <w:sz w:val="28"/>
            <w:szCs w:val="28"/>
          </w:rPr>
          <w:t>Конвенції про захист прав людини і основоположних свобод</w:t>
        </w:r>
      </w:hyperlink>
      <w:r w:rsidRPr="007B4D4C">
        <w:rPr>
          <w:rFonts w:ascii="Times New Roman" w:hAnsi="Times New Roman" w:cs="Times New Roman"/>
          <w:sz w:val="28"/>
          <w:szCs w:val="28"/>
        </w:rPr>
        <w:t>, за яким обмеження відповідних прав повинні встановлюватися виключно законом.</w:t>
      </w:r>
    </w:p>
    <w:p w:rsidR="000D5D2D" w:rsidRDefault="000D5D2D" w:rsidP="00896EFB">
      <w:pPr>
        <w:spacing w:after="0" w:line="360" w:lineRule="auto"/>
        <w:ind w:firstLine="567"/>
        <w:jc w:val="both"/>
        <w:rPr>
          <w:rFonts w:ascii="Times New Roman" w:hAnsi="Times New Roman" w:cs="Times New Roman"/>
          <w:sz w:val="28"/>
          <w:szCs w:val="28"/>
        </w:rPr>
      </w:pPr>
      <w:r w:rsidRPr="007B4D4C">
        <w:rPr>
          <w:rFonts w:ascii="Times New Roman" w:hAnsi="Times New Roman" w:cs="Times New Roman"/>
          <w:sz w:val="28"/>
          <w:szCs w:val="28"/>
        </w:rPr>
        <w:t xml:space="preserve">Таким чином, введення такого інструменту, як кримінальна відповідальність за незаконне збагачення (у моделі ст.20 Конвенції) та його ефективна дія </w:t>
      </w:r>
      <w:r w:rsidR="00CB1ECD">
        <w:rPr>
          <w:rFonts w:ascii="Times New Roman" w:hAnsi="Times New Roman" w:cs="Times New Roman"/>
          <w:sz w:val="28"/>
          <w:szCs w:val="28"/>
        </w:rPr>
        <w:t xml:space="preserve">не тільки </w:t>
      </w:r>
      <w:r w:rsidRPr="007B4D4C">
        <w:rPr>
          <w:rFonts w:ascii="Times New Roman" w:hAnsi="Times New Roman" w:cs="Times New Roman"/>
          <w:sz w:val="28"/>
          <w:szCs w:val="28"/>
        </w:rPr>
        <w:t>неминуче пов’язані із необхідність обмеження деяких прав людини (принципу презумпції невинуватості, права не свідчити проти себе тощо)</w:t>
      </w:r>
      <w:r w:rsidR="00CB1ECD">
        <w:rPr>
          <w:rFonts w:ascii="Times New Roman" w:hAnsi="Times New Roman" w:cs="Times New Roman"/>
          <w:sz w:val="28"/>
          <w:szCs w:val="28"/>
        </w:rPr>
        <w:t xml:space="preserve">, а й вимагають </w:t>
      </w:r>
      <w:r w:rsidRPr="007B4D4C">
        <w:rPr>
          <w:rFonts w:ascii="Times New Roman" w:hAnsi="Times New Roman" w:cs="Times New Roman"/>
          <w:sz w:val="28"/>
          <w:szCs w:val="28"/>
        </w:rPr>
        <w:t>законодавчого закріплення можливості та умов такого обмеження. Пропоновані способи обійти чи завуалювати означені втручання в основоположні права людини були відкинуті при затверджені чинної редакції ст.20 Конвенції та приречені вихолощувати суть і дієву силу норми про незаконне збагачення.</w:t>
      </w:r>
    </w:p>
    <w:p w:rsidR="00896EFB" w:rsidRPr="00FA3E3A" w:rsidRDefault="00896EFB" w:rsidP="00896EFB">
      <w:pPr>
        <w:spacing w:after="0" w:line="360" w:lineRule="auto"/>
        <w:ind w:firstLine="567"/>
        <w:jc w:val="both"/>
        <w:rPr>
          <w:rFonts w:ascii="Times New Roman" w:hAnsi="Times New Roman" w:cs="Times New Roman"/>
          <w:b/>
          <w:sz w:val="28"/>
          <w:szCs w:val="28"/>
        </w:rPr>
      </w:pPr>
      <w:r w:rsidRPr="00FA3E3A">
        <w:rPr>
          <w:rFonts w:ascii="Times New Roman" w:hAnsi="Times New Roman" w:cs="Times New Roman"/>
          <w:b/>
          <w:sz w:val="28"/>
          <w:szCs w:val="28"/>
        </w:rPr>
        <w:t>Список використаних джерел:</w:t>
      </w:r>
    </w:p>
    <w:p w:rsidR="00896EFB" w:rsidRPr="00FA3E3A" w:rsidRDefault="00896EFB" w:rsidP="00896EFB">
      <w:pPr>
        <w:spacing w:after="0" w:line="360" w:lineRule="auto"/>
        <w:ind w:firstLine="567"/>
        <w:jc w:val="both"/>
        <w:rPr>
          <w:rFonts w:ascii="Times New Roman" w:hAnsi="Times New Roman" w:cs="Times New Roman"/>
          <w:sz w:val="28"/>
          <w:szCs w:val="28"/>
        </w:rPr>
      </w:pPr>
      <w:r w:rsidRPr="00FA3E3A">
        <w:rPr>
          <w:rFonts w:ascii="Times New Roman" w:hAnsi="Times New Roman" w:cs="Times New Roman"/>
          <w:sz w:val="28"/>
          <w:szCs w:val="28"/>
        </w:rPr>
        <w:t>1. Борков В.Н. Проблемы криминализации коррупционного обогащения в России / В.Н. Борков // Уголовное право. – 2007. – №2 . – С. 27–31.</w:t>
      </w:r>
    </w:p>
    <w:p w:rsidR="00896EFB" w:rsidRPr="00FA3E3A" w:rsidRDefault="00896EFB" w:rsidP="00896EFB">
      <w:pPr>
        <w:spacing w:after="0" w:line="360" w:lineRule="auto"/>
        <w:ind w:firstLine="567"/>
        <w:jc w:val="both"/>
        <w:rPr>
          <w:rFonts w:ascii="Times New Roman" w:hAnsi="Times New Roman" w:cs="Times New Roman"/>
          <w:sz w:val="28"/>
          <w:szCs w:val="28"/>
        </w:rPr>
      </w:pPr>
      <w:r w:rsidRPr="00FA3E3A">
        <w:rPr>
          <w:rFonts w:ascii="Times New Roman" w:hAnsi="Times New Roman" w:cs="Times New Roman"/>
          <w:sz w:val="28"/>
          <w:szCs w:val="28"/>
        </w:rPr>
        <w:t xml:space="preserve">2. Подготовительные материалы (переговоры о разработке Конвенции Организации Объединенных Наций против коррупции). – Нью-Йорк: ООН, 2010. – 716 с. : [Електронний ресурс]. – Режим доступу: </w:t>
      </w:r>
      <w:hyperlink r:id="rId8" w:history="1">
        <w:r w:rsidRPr="00FA3E3A">
          <w:rPr>
            <w:rFonts w:ascii="Times New Roman" w:hAnsi="Times New Roman" w:cs="Times New Roman"/>
            <w:sz w:val="28"/>
            <w:szCs w:val="28"/>
          </w:rPr>
          <w:t>http://www.unodc.org</w:t>
        </w:r>
      </w:hyperlink>
      <w:r w:rsidRPr="00FA3E3A">
        <w:rPr>
          <w:rFonts w:ascii="Times New Roman" w:hAnsi="Times New Roman" w:cs="Times New Roman"/>
          <w:sz w:val="28"/>
          <w:szCs w:val="28"/>
        </w:rPr>
        <w:t>.</w:t>
      </w:r>
    </w:p>
    <w:p w:rsidR="00896EFB" w:rsidRPr="00FA3E3A" w:rsidRDefault="00896EFB" w:rsidP="00896EFB">
      <w:pPr>
        <w:spacing w:after="0" w:line="360" w:lineRule="auto"/>
        <w:ind w:firstLine="567"/>
        <w:jc w:val="both"/>
        <w:rPr>
          <w:rFonts w:ascii="Times New Roman" w:hAnsi="Times New Roman" w:cs="Times New Roman"/>
          <w:sz w:val="28"/>
          <w:szCs w:val="28"/>
        </w:rPr>
      </w:pPr>
      <w:r w:rsidRPr="00FA3E3A">
        <w:rPr>
          <w:rFonts w:ascii="Times New Roman" w:hAnsi="Times New Roman" w:cs="Times New Roman"/>
          <w:sz w:val="28"/>
          <w:szCs w:val="28"/>
        </w:rPr>
        <w:t xml:space="preserve">3. Case of John Murray v. The United Kingdom (Application № </w:t>
      </w:r>
      <w:hyperlink r:id="rId9" w:anchor="{&quot;appno&quot;:[&quot;18731/91&quot;]}" w:tgtFrame="_blank" w:history="1">
        <w:r w:rsidRPr="00FA3E3A">
          <w:rPr>
            <w:rFonts w:ascii="Times New Roman" w:hAnsi="Times New Roman" w:cs="Times New Roman"/>
            <w:sz w:val="28"/>
            <w:szCs w:val="28"/>
          </w:rPr>
          <w:t>18731/91</w:t>
        </w:r>
      </w:hyperlink>
      <w:r w:rsidRPr="00FA3E3A">
        <w:rPr>
          <w:rFonts w:ascii="Times New Roman" w:hAnsi="Times New Roman" w:cs="Times New Roman"/>
          <w:sz w:val="28"/>
          <w:szCs w:val="28"/>
        </w:rPr>
        <w:t xml:space="preserve">), judgment, 8 February 1996 : [Електронний ресурс]. – Режим доступу: </w:t>
      </w:r>
      <w:hyperlink r:id="rId10" w:anchor="{&quot;itemid&quot;:[&quot;001-57980&quot;]}" w:history="1">
        <w:r w:rsidRPr="00FA3E3A">
          <w:rPr>
            <w:rFonts w:ascii="Times New Roman" w:hAnsi="Times New Roman" w:cs="Times New Roman"/>
            <w:sz w:val="28"/>
            <w:szCs w:val="28"/>
          </w:rPr>
          <w:t>http://hudoc.echr.coe.int/sites/eng/pages/search.aspx?i=001-57980#{"itemid":["001-57980"]}</w:t>
        </w:r>
      </w:hyperlink>
      <w:r w:rsidRPr="00FA3E3A">
        <w:rPr>
          <w:rFonts w:ascii="Times New Roman" w:hAnsi="Times New Roman" w:cs="Times New Roman"/>
          <w:sz w:val="28"/>
          <w:szCs w:val="28"/>
        </w:rPr>
        <w:t>.</w:t>
      </w:r>
    </w:p>
    <w:p w:rsidR="00896EFB" w:rsidRPr="00FA3E3A" w:rsidRDefault="00896EFB" w:rsidP="00896EFB">
      <w:pPr>
        <w:spacing w:after="0" w:line="360" w:lineRule="auto"/>
        <w:ind w:firstLine="567"/>
        <w:jc w:val="both"/>
        <w:rPr>
          <w:rFonts w:ascii="Times New Roman" w:hAnsi="Times New Roman" w:cs="Times New Roman"/>
          <w:sz w:val="28"/>
          <w:szCs w:val="28"/>
        </w:rPr>
      </w:pPr>
      <w:r w:rsidRPr="00FA3E3A">
        <w:rPr>
          <w:rFonts w:ascii="Times New Roman" w:hAnsi="Times New Roman" w:cs="Times New Roman"/>
          <w:sz w:val="28"/>
          <w:szCs w:val="28"/>
        </w:rPr>
        <w:t>4. Сиракузкие принципы толкования ограничений и отступлений от положений Международного пакта о гражданских и политических правах (Документ ООН Е/CN.4/1985/4, Приложение (1985)) : [Електронний ресурс]. – Режим доступу: http://legislationline.org/ru/documents/action/popup/id/14624.</w:t>
      </w:r>
    </w:p>
    <w:p w:rsidR="00896EFB" w:rsidRPr="007B4D4C" w:rsidRDefault="00896EFB" w:rsidP="00896EFB">
      <w:pPr>
        <w:spacing w:after="0" w:line="360" w:lineRule="auto"/>
        <w:ind w:firstLine="567"/>
        <w:jc w:val="both"/>
        <w:rPr>
          <w:rFonts w:ascii="Times New Roman" w:hAnsi="Times New Roman" w:cs="Times New Roman"/>
          <w:sz w:val="28"/>
          <w:szCs w:val="28"/>
        </w:rPr>
      </w:pPr>
    </w:p>
    <w:sectPr w:rsidR="00896EFB" w:rsidRPr="007B4D4C" w:rsidSect="001B1E7E">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D1604" w:rsidRDefault="004D1604" w:rsidP="00C850BC">
      <w:pPr>
        <w:spacing w:after="0" w:line="240" w:lineRule="auto"/>
      </w:pPr>
      <w:r>
        <w:separator/>
      </w:r>
    </w:p>
  </w:endnote>
  <w:endnote w:type="continuationSeparator" w:id="0">
    <w:p w:rsidR="004D1604" w:rsidRDefault="004D1604" w:rsidP="00C850B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D1604" w:rsidRDefault="004D1604" w:rsidP="00C850BC">
      <w:pPr>
        <w:spacing w:after="0" w:line="240" w:lineRule="auto"/>
      </w:pPr>
      <w:r>
        <w:separator/>
      </w:r>
    </w:p>
  </w:footnote>
  <w:footnote w:type="continuationSeparator" w:id="0">
    <w:p w:rsidR="004D1604" w:rsidRDefault="004D1604" w:rsidP="00C850BC">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oNotDisplayPageBoundaries/>
  <w:defaultTabStop w:val="708"/>
  <w:hyphenationZone w:val="425"/>
  <w:characterSpacingControl w:val="doNotCompress"/>
  <w:footnotePr>
    <w:footnote w:id="-1"/>
    <w:footnote w:id="0"/>
  </w:footnotePr>
  <w:endnotePr>
    <w:endnote w:id="-1"/>
    <w:endnote w:id="0"/>
  </w:endnotePr>
  <w:compat/>
  <w:rsids>
    <w:rsidRoot w:val="00A2170D"/>
    <w:rsid w:val="000345F6"/>
    <w:rsid w:val="000D5D2D"/>
    <w:rsid w:val="000E7966"/>
    <w:rsid w:val="00117579"/>
    <w:rsid w:val="00153D1E"/>
    <w:rsid w:val="00175A38"/>
    <w:rsid w:val="001A27DE"/>
    <w:rsid w:val="001B1E7E"/>
    <w:rsid w:val="00246524"/>
    <w:rsid w:val="002D4B75"/>
    <w:rsid w:val="003D1D4B"/>
    <w:rsid w:val="0040573C"/>
    <w:rsid w:val="004A234A"/>
    <w:rsid w:val="004D1604"/>
    <w:rsid w:val="005626F0"/>
    <w:rsid w:val="006A6214"/>
    <w:rsid w:val="006F2681"/>
    <w:rsid w:val="007452F1"/>
    <w:rsid w:val="007D24D4"/>
    <w:rsid w:val="00896EFB"/>
    <w:rsid w:val="008F56A3"/>
    <w:rsid w:val="00946DC6"/>
    <w:rsid w:val="009B434C"/>
    <w:rsid w:val="00A2170D"/>
    <w:rsid w:val="00A45EDA"/>
    <w:rsid w:val="00B23611"/>
    <w:rsid w:val="00C850BC"/>
    <w:rsid w:val="00CB1ECD"/>
    <w:rsid w:val="00D02862"/>
    <w:rsid w:val="00D44B84"/>
    <w:rsid w:val="00E05257"/>
    <w:rsid w:val="00F92588"/>
    <w:rsid w:val="00FA54A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170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2">
    <w:name w:val="rvps2"/>
    <w:basedOn w:val="a"/>
    <w:rsid w:val="00A2170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3">
    <w:name w:val="footnote text"/>
    <w:basedOn w:val="a"/>
    <w:link w:val="a4"/>
    <w:uiPriority w:val="99"/>
    <w:semiHidden/>
    <w:unhideWhenUsed/>
    <w:rsid w:val="00C850BC"/>
    <w:pPr>
      <w:spacing w:after="0" w:line="240" w:lineRule="auto"/>
    </w:pPr>
    <w:rPr>
      <w:sz w:val="20"/>
      <w:szCs w:val="20"/>
    </w:rPr>
  </w:style>
  <w:style w:type="character" w:customStyle="1" w:styleId="a4">
    <w:name w:val="Текст сноски Знак"/>
    <w:basedOn w:val="a0"/>
    <w:link w:val="a3"/>
    <w:uiPriority w:val="99"/>
    <w:semiHidden/>
    <w:rsid w:val="00C850BC"/>
    <w:rPr>
      <w:sz w:val="20"/>
      <w:szCs w:val="20"/>
    </w:rPr>
  </w:style>
  <w:style w:type="character" w:styleId="a5">
    <w:name w:val="footnote reference"/>
    <w:basedOn w:val="a0"/>
    <w:uiPriority w:val="99"/>
    <w:semiHidden/>
    <w:unhideWhenUsed/>
    <w:rsid w:val="00C850BC"/>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odc.org" TargetMode="External"/><Relationship Id="rId3" Type="http://schemas.openxmlformats.org/officeDocument/2006/relationships/webSettings" Target="webSettings.xml"/><Relationship Id="rId7" Type="http://schemas.openxmlformats.org/officeDocument/2006/relationships/hyperlink" Target="http://zakon.rada.gov.ua/go/995_004"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1.c1.rada.gov.ua/pls/radan_gs09/ns_pd2?day_=16&amp;month_=09&amp;year=2014&amp;nom_s=5"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http://hudoc.echr.coe.int/sites/eng/pages/search.aspx?i=001-57980" TargetMode="External"/><Relationship Id="rId4" Type="http://schemas.openxmlformats.org/officeDocument/2006/relationships/footnotes" Target="footnotes.xml"/><Relationship Id="rId9" Type="http://schemas.openxmlformats.org/officeDocument/2006/relationships/hyperlink" Target="http://hudoc.echr.coe.int/sites/eng/pages/search.asp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6</Pages>
  <Words>7096</Words>
  <Characters>4046</Characters>
  <Application>Microsoft Office Word</Application>
  <DocSecurity>0</DocSecurity>
  <Lines>33</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11120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8</cp:revision>
  <dcterms:created xsi:type="dcterms:W3CDTF">2016-02-29T18:13:00Z</dcterms:created>
  <dcterms:modified xsi:type="dcterms:W3CDTF">2016-02-29T18:55:00Z</dcterms:modified>
</cp:coreProperties>
</file>