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664B4" w14:textId="77777777" w:rsidR="002C1A34" w:rsidRPr="002C1A34" w:rsidRDefault="002C1A34" w:rsidP="002C1A34">
      <w:pPr>
        <w:pStyle w:val="s17"/>
        <w:spacing w:before="180" w:beforeAutospacing="0" w:after="180" w:afterAutospacing="0" w:line="360" w:lineRule="auto"/>
        <w:jc w:val="center"/>
        <w:rPr>
          <w:color w:val="000000"/>
          <w:sz w:val="28"/>
          <w:szCs w:val="28"/>
        </w:rPr>
      </w:pPr>
      <w:r w:rsidRPr="002C1A34">
        <w:rPr>
          <w:rStyle w:val="s16"/>
          <w:b/>
          <w:bCs/>
          <w:color w:val="000000"/>
          <w:sz w:val="28"/>
          <w:szCs w:val="28"/>
        </w:rPr>
        <w:t>АНОТАЦІЯ</w:t>
      </w:r>
    </w:p>
    <w:p w14:paraId="5FB23A56" w14:textId="5FF0EC09" w:rsidR="002C1A34" w:rsidRPr="002C1A34" w:rsidRDefault="002C1A34" w:rsidP="002C1A34">
      <w:pPr>
        <w:pStyle w:val="s19"/>
        <w:spacing w:before="0" w:beforeAutospacing="0" w:after="0" w:afterAutospacing="0" w:line="360" w:lineRule="auto"/>
        <w:ind w:firstLine="709"/>
        <w:jc w:val="both"/>
        <w:rPr>
          <w:color w:val="000000"/>
          <w:sz w:val="28"/>
          <w:szCs w:val="28"/>
        </w:rPr>
      </w:pPr>
      <w:r w:rsidRPr="002C1A34">
        <w:rPr>
          <w:rStyle w:val="s18"/>
          <w:i/>
          <w:iCs/>
          <w:color w:val="000000"/>
          <w:sz w:val="28"/>
          <w:szCs w:val="28"/>
        </w:rPr>
        <w:t>Зінькевич Ю.Є.</w:t>
      </w:r>
      <w:r w:rsidRPr="002C1A34">
        <w:rPr>
          <w:rStyle w:val="apple-converted-space"/>
          <w:i/>
          <w:iCs/>
          <w:color w:val="000000"/>
          <w:sz w:val="28"/>
          <w:szCs w:val="28"/>
        </w:rPr>
        <w:t> </w:t>
      </w:r>
      <w:r w:rsidRPr="002C1A34">
        <w:rPr>
          <w:rStyle w:val="s16"/>
          <w:color w:val="000000"/>
          <w:sz w:val="28"/>
          <w:szCs w:val="28"/>
        </w:rPr>
        <w:t>Договори між спадкоємцями щодо розподілу спадщини.</w:t>
      </w:r>
      <w:r w:rsidRPr="002C1A34">
        <w:rPr>
          <w:rStyle w:val="s16"/>
          <w:b/>
          <w:bCs/>
          <w:color w:val="000000"/>
          <w:sz w:val="28"/>
          <w:szCs w:val="28"/>
        </w:rPr>
        <w:t xml:space="preserve"> –</w:t>
      </w:r>
      <w:r w:rsidRPr="002C1A34">
        <w:rPr>
          <w:rStyle w:val="apple-converted-space"/>
          <w:b/>
          <w:bCs/>
          <w:color w:val="000000"/>
          <w:sz w:val="28"/>
          <w:szCs w:val="28"/>
        </w:rPr>
        <w:t> </w:t>
      </w:r>
      <w:r w:rsidRPr="002C1A34">
        <w:rPr>
          <w:rStyle w:val="s10"/>
          <w:color w:val="000000"/>
          <w:sz w:val="28"/>
          <w:szCs w:val="28"/>
        </w:rPr>
        <w:t>Кваліфікаційна наукова праця на правах рукопису. Дисертація на здобуття ступеня доктора філософії за спеціальністю 081 «Право». – Національний університет «Одеська юридична академія», Одеса, 2021.</w:t>
      </w:r>
    </w:p>
    <w:p w14:paraId="5374D320" w14:textId="77777777" w:rsidR="002C1A34" w:rsidRPr="002C1A34" w:rsidRDefault="002C1A34" w:rsidP="002C1A34">
      <w:pPr>
        <w:pStyle w:val="s19"/>
        <w:spacing w:before="0" w:beforeAutospacing="0" w:after="0" w:afterAutospacing="0" w:line="360" w:lineRule="auto"/>
        <w:ind w:firstLine="709"/>
        <w:jc w:val="both"/>
        <w:rPr>
          <w:color w:val="000000"/>
          <w:sz w:val="28"/>
          <w:szCs w:val="28"/>
        </w:rPr>
      </w:pPr>
      <w:r w:rsidRPr="002C1A34">
        <w:rPr>
          <w:rStyle w:val="s10"/>
          <w:color w:val="000000"/>
          <w:sz w:val="28"/>
          <w:szCs w:val="28"/>
        </w:rPr>
        <w:t>Дисертація є першим у вітчизняній науці цивільного права спеціальним комплексним дослідженням теоретичних та практичних проблем, що виникають при договірному розподілі спадщини.</w:t>
      </w:r>
    </w:p>
    <w:p w14:paraId="43D46351" w14:textId="389BF15B" w:rsidR="002C1A34" w:rsidRPr="002C1A34" w:rsidRDefault="002C1A34" w:rsidP="002C1A34">
      <w:pPr>
        <w:pStyle w:val="s20"/>
        <w:spacing w:before="0" w:beforeAutospacing="0" w:after="0" w:afterAutospacing="0" w:line="360" w:lineRule="auto"/>
        <w:ind w:firstLine="709"/>
        <w:jc w:val="both"/>
        <w:rPr>
          <w:color w:val="000000"/>
          <w:sz w:val="28"/>
          <w:szCs w:val="28"/>
        </w:rPr>
      </w:pPr>
      <w:r w:rsidRPr="002C1A34">
        <w:rPr>
          <w:rStyle w:val="s10"/>
          <w:color w:val="000000"/>
          <w:sz w:val="28"/>
          <w:szCs w:val="28"/>
        </w:rPr>
        <w:t>У межах роботи здійснено комплексний аналіз наукової літератури, законодавства, судової та нотаріальної практики з тематики дослідження, сформульовано пропозиції щодо вдосконалення чинного законодавства України, що стосуються договорів між спадкоємцями щодо розподілу спадщини.</w:t>
      </w:r>
      <w:r w:rsidRPr="002C1A34">
        <w:rPr>
          <w:color w:val="000000"/>
          <w:sz w:val="28"/>
          <w:szCs w:val="28"/>
        </w:rPr>
        <w:t> </w:t>
      </w:r>
    </w:p>
    <w:p w14:paraId="45F2FB75" w14:textId="77777777" w:rsidR="002C1A34" w:rsidRPr="002C1A34" w:rsidRDefault="002C1A34" w:rsidP="002C1A34">
      <w:pPr>
        <w:pStyle w:val="s21"/>
        <w:spacing w:before="0" w:beforeAutospacing="0" w:after="0" w:afterAutospacing="0" w:line="360" w:lineRule="auto"/>
        <w:ind w:firstLine="709"/>
        <w:jc w:val="both"/>
        <w:rPr>
          <w:color w:val="000000"/>
          <w:sz w:val="28"/>
          <w:szCs w:val="28"/>
        </w:rPr>
      </w:pPr>
      <w:r w:rsidRPr="002C1A34">
        <w:rPr>
          <w:rStyle w:val="s10"/>
          <w:color w:val="000000"/>
          <w:sz w:val="28"/>
          <w:szCs w:val="28"/>
        </w:rPr>
        <w:t>Правове регулювання договірних відносин щодо розподілу спадщини має фрагментарний характер, що дозволяє лише сформувати загальне уявлення про певні види договорів, одночасно створюючи значні труднощі при застосуванні відповідних норм права на практиці через відсутність чіткого розуміння правової природи, суб’єктного складу, часових меж укладення договорів між спадкоємцями щодо розподілу спадщини, особливостей їх нотаріального оформлення тощо. Незадовільне законодавче регулювання таких договорів та практична відсутність нотаріальної і судової практики зумовили актуальність цього дисертаційного дослідження в контексті наукового забезпечення цивільної реформи України.</w:t>
      </w:r>
    </w:p>
    <w:p w14:paraId="15A599F6"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 xml:space="preserve">Визначено, що до договорів у сфері спадкування належать: Договір про зміну черговості одержання права на спадкування (ст. 1259 ЦК України); Договір про зміну розміру частки у спадщині (ч. 2, 3 ст. 1267 ЦК України); Договір про поділ спадкового майна (ст. 1278 ЦК України); Договір про задоволення спадкоємцями вимог кредитора спадкодавця (ч. 2 ст 1282 ЦК України); Договір про тлумачення заповіту (ч. 1 ст. 213 ЦК України); Договір </w:t>
      </w:r>
      <w:r w:rsidRPr="002C1A34">
        <w:rPr>
          <w:rStyle w:val="s10"/>
          <w:color w:val="000000"/>
          <w:sz w:val="28"/>
          <w:szCs w:val="28"/>
        </w:rPr>
        <w:lastRenderedPageBreak/>
        <w:t>між спадкоємцями та виконавцем заповіту про призначення останнього (ч. 2 ст. 1287 ЦК України); Договір на управління спадщиною (ст. 1285 ЦК України); Договір охорони спадкового майна (ст. 1283 ЦК України). Важливе місце серед договорів спадкування займають договори щодо розподілу спадщини, а саме: Договір про зміну черговості одержання права на спадкування (ст. 1259 ЦК України); Договір про зміну розміру частки у спадщині (ч. 2, 3 ст. 1267 ЦК України); Договір про поділ спадщини спадкоємцями (ст. 1278 ЦК України). У зв’язку з цим особливої актуальності набуває дослідження поняття, ознак договорів між спадкоємцями щодо розподілу спадщини, їх місця в системі цивільно-правових договорів, змісту та форми договорів щодо розподілу спадщини.</w:t>
      </w:r>
    </w:p>
    <w:p w14:paraId="0D103FC6"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Визначено поняття договорів між спадкоємцями щодо розподілу спадщини: це домовленість спадкоємців, які прийняли спадщину, спрямована на забезпечення справедливого розподілу ними спадщини, її частки або права на спадщину, оформлення якої здійснюється після спливу строку для прийняття спадщини та до моменту видачі свідоцтва про право на спадщину.</w:t>
      </w:r>
      <w:r w:rsidRPr="002C1A34">
        <w:rPr>
          <w:rStyle w:val="apple-converted-space"/>
          <w:color w:val="000000"/>
          <w:sz w:val="28"/>
          <w:szCs w:val="28"/>
        </w:rPr>
        <w:t> </w:t>
      </w:r>
    </w:p>
    <w:p w14:paraId="436B3465"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Характерними ознаками договорів щодо розподілу спадщини є: вони вчиняються у зв’язку з відкриттям спадщини; мають локальний характер; є строковими; правовою метою є встановлення спадкоємцями  власних умов спадкування, а саме: кола спадкоємців, які закликаються до спадкування, розміру ідеальних часток у спадщині, правового режиму спадкового майна, замість тих, які встановлені заповітом або законом; договори щодо розподілу спадщини не можуть бути достатньою правовою підставою виникнення, зміни та припинення спадкових правовідносин; всі сторони таких договорів є спадкоємцями; договори щодо розподілу спадщини мають особисто-довірчий характер; свобода вибору контрагента за договорами щодо розподілу спадщини обмежена; договори щодо розподілу спадщини безпосередньо впливають на відносини власності; досліджувані договори є правовою підставою виникнення відповідного договірного зобов’язання.</w:t>
      </w:r>
      <w:r w:rsidRPr="002C1A34">
        <w:rPr>
          <w:rStyle w:val="apple-converted-space"/>
          <w:color w:val="000000"/>
          <w:sz w:val="28"/>
          <w:szCs w:val="28"/>
        </w:rPr>
        <w:t> </w:t>
      </w:r>
    </w:p>
    <w:p w14:paraId="02C5D9A4"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lastRenderedPageBreak/>
        <w:t>Зроблено висновок, що договори між спадкоємцями щодо розподілу спадщини можуть бути укладені, по-перше, виключно пiсля вiдкриття спадщини, оскільки лише з цього часу виникають спадкові вiдносини, а, по-друге, до моменту видачі свідоцтва про право на спадщину, оскільки з моменту вчинення даної нотаріальної дії спадкові вiдносини трансформуються у відносини власності i укладення даних договорів не вбачається можливим.</w:t>
      </w:r>
      <w:r w:rsidRPr="002C1A34">
        <w:rPr>
          <w:rStyle w:val="apple-converted-space"/>
          <w:color w:val="000000"/>
          <w:sz w:val="28"/>
          <w:szCs w:val="28"/>
        </w:rPr>
        <w:t> </w:t>
      </w:r>
    </w:p>
    <w:p w14:paraId="7B3B1EF9"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Запропоновано укладати договори щодо розподілу спадщини після спливу строку для прийняття спадщини, тобто після остаточного визначення кола спадкоємців, що закликаються до спадкування та складу спадщини, що є об’єктом цих договорів, та до видачі свідоцтв про право на спадщину.</w:t>
      </w:r>
      <w:r w:rsidRPr="002C1A34">
        <w:rPr>
          <w:rStyle w:val="apple-converted-space"/>
          <w:color w:val="000000"/>
          <w:sz w:val="28"/>
          <w:szCs w:val="28"/>
        </w:rPr>
        <w:t> </w:t>
      </w:r>
    </w:p>
    <w:p w14:paraId="262031B8"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Обґрунтовано необхідність законодавчого закріплення часових меж укладення договорів між спадкоємцями щодо розподілу спадщини.</w:t>
      </w:r>
      <w:r w:rsidRPr="002C1A34">
        <w:rPr>
          <w:rStyle w:val="apple-converted-space"/>
          <w:color w:val="000000"/>
          <w:sz w:val="28"/>
          <w:szCs w:val="28"/>
        </w:rPr>
        <w:t> </w:t>
      </w:r>
    </w:p>
    <w:p w14:paraId="3C20229B"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Встановлено, що договори між спадкоємцями щодо розподілу спадщини є основними, вільними (волютарними), договорами особливого роду, взаємними (синалагматичними), консенсуальними, переважно безоплатними договорами (але можуть бути і оплатними), укладаються на користь його сторін, а також є непоіменованими та нетиповими договорами.</w:t>
      </w:r>
    </w:p>
    <w:p w14:paraId="37DC6814"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Зазначено, що договори між спадкоємцями щодо розподілу спадщини не охоплюються існуючим поділом цивільних договорів за критерієм правової мети. Це означає, що договори щодо розподілу спадщини є нетиповими, тобто знаходяться за межами існуючих договірних типів.</w:t>
      </w:r>
    </w:p>
    <w:p w14:paraId="1D91A3F4"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Зроблено висновок, що договори у сфері спадкування складають «тип», який об’єднує однорідну групу цивільно-правових договорів, особливе місце у якій посідають договори між спадкоємцями щодо розподілу спадщини. Маючи всі загальні риси, характерні для договорів спадкування в цілому, досліджувані договори відрізняються від інших договорів даного типу суттєвими відмінностями (правова мета, спільний предмет тощо),  що дозволяє говорити про їх видову самостійність.</w:t>
      </w:r>
      <w:r w:rsidRPr="002C1A34">
        <w:rPr>
          <w:rStyle w:val="apple-converted-space"/>
          <w:color w:val="000000"/>
          <w:sz w:val="28"/>
          <w:szCs w:val="28"/>
        </w:rPr>
        <w:t> </w:t>
      </w:r>
    </w:p>
    <w:p w14:paraId="774B9590" w14:textId="3D8C78E2"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lastRenderedPageBreak/>
        <w:t>Запропоновано доповнити існуючі класифікації цивільно-правових договорів шляхом виділення нового типу цивільно-правових договорів</w:t>
      </w:r>
      <w:r>
        <w:rPr>
          <w:rStyle w:val="s10"/>
          <w:color w:val="000000"/>
          <w:sz w:val="28"/>
          <w:szCs w:val="28"/>
        </w:rPr>
        <w:t xml:space="preserve"> – </w:t>
      </w:r>
      <w:r w:rsidRPr="002C1A34">
        <w:rPr>
          <w:rStyle w:val="s10"/>
          <w:color w:val="000000"/>
          <w:sz w:val="28"/>
          <w:szCs w:val="28"/>
        </w:rPr>
        <w:t xml:space="preserve">договорів у спадковому праві, на рівні з виділенням нового виду договорів спадкування </w:t>
      </w:r>
      <w:r>
        <w:rPr>
          <w:rStyle w:val="s10"/>
          <w:color w:val="000000"/>
          <w:sz w:val="28"/>
          <w:szCs w:val="28"/>
        </w:rPr>
        <w:t>–</w:t>
      </w:r>
      <w:r w:rsidRPr="002C1A34">
        <w:rPr>
          <w:rStyle w:val="s10"/>
          <w:color w:val="000000"/>
          <w:sz w:val="28"/>
          <w:szCs w:val="28"/>
        </w:rPr>
        <w:t xml:space="preserve"> договорів щодо розподілу спадщини (договір про зміну черговості одержання права на спадкування, договір про зміну розміру частки у спадщині, договір про поділ спадкового майна).</w:t>
      </w:r>
    </w:p>
    <w:p w14:paraId="29B5B1EC"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Визначено, що єдиною необхідною і достатньою умовою для укладення договору між спадкоємцями щодо розподілу спадщини є умова про предмет. Однак, будь-яка із сторін може визнати недостатньою умову про предмет і запропонувати включити у договір випадкові умови. У такому разі ці умови набувають значення істотних. Зроблено висновок, що включення у договір звичайних умов через нормативну неврегульованість питання змісту договорів між спадкоємцями щодо розподілу спадщини, наразі неможливо.</w:t>
      </w:r>
      <w:r w:rsidRPr="002C1A34">
        <w:rPr>
          <w:rStyle w:val="apple-converted-space"/>
          <w:color w:val="000000"/>
          <w:sz w:val="28"/>
          <w:szCs w:val="28"/>
        </w:rPr>
        <w:t> </w:t>
      </w:r>
    </w:p>
    <w:p w14:paraId="3A7760E8"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Визначено, що договір про зміну черговості одержання права на спадкування має посвідчуватись нотаріально, що прямо передбачено ст. 1259 ЦК України.</w:t>
      </w:r>
    </w:p>
    <w:p w14:paraId="10CD8AA3"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Форма договору про зміну розміру частки у спадщині залежить від виду майна, право на яке входить до складу спадщини. Якщо до складу спадщини входять рухомі речі і зміна розміру часток у спадщині стосується їх, то домовленість може бути усною. Якщо ж це стосується нерухомих речей або транспортних засобів чи речей, відчуження яких відповідно до чинного законодавства вимагає нотаріальної форми, то договір між спадкоємцями має посвідчуватись нотаріально (ст. 1267 ЦК України).</w:t>
      </w:r>
      <w:r w:rsidRPr="002C1A34">
        <w:rPr>
          <w:rStyle w:val="apple-converted-space"/>
          <w:color w:val="000000"/>
          <w:sz w:val="28"/>
          <w:szCs w:val="28"/>
        </w:rPr>
        <w:t> </w:t>
      </w:r>
    </w:p>
    <w:p w14:paraId="384C4756" w14:textId="735AB265"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Вимоги до форми договору про поділ спадкового майна встановлюються у ст. 367 ЦК України: якщо йдеться про поділ нерухомого майна, а також майна, що потребує державної реєстрації (транспортні засоби, цінні папери, частки у статутних капіталах господарських товариств тощо), які є у спільній власності спадкоємців, договір підлягає нотаріальному посвідченню, якщо поділ іншого майна</w:t>
      </w:r>
      <w:r>
        <w:rPr>
          <w:rStyle w:val="s10"/>
          <w:color w:val="000000"/>
          <w:sz w:val="28"/>
          <w:szCs w:val="28"/>
        </w:rPr>
        <w:t xml:space="preserve"> – </w:t>
      </w:r>
      <w:r w:rsidRPr="002C1A34">
        <w:rPr>
          <w:rStyle w:val="s10"/>
          <w:color w:val="000000"/>
          <w:sz w:val="28"/>
          <w:szCs w:val="28"/>
        </w:rPr>
        <w:t xml:space="preserve">договір укладається в простій письмовій формі (ст. 207 ЦК України). Для договорів з нерухомістю щодо набуття прав на неї внаслідок </w:t>
      </w:r>
      <w:r w:rsidRPr="002C1A34">
        <w:rPr>
          <w:rStyle w:val="s10"/>
          <w:color w:val="000000"/>
          <w:sz w:val="28"/>
          <w:szCs w:val="28"/>
        </w:rPr>
        <w:lastRenderedPageBreak/>
        <w:t>поділу поширюється також вимога про державну реєстрацію прав (ст. 182 ЦК України).</w:t>
      </w:r>
    </w:p>
    <w:p w14:paraId="615989F4"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Зроблено висновок, що динаміка договірного зобов’язання щодо розподілу спадщини може мати як позитивний, так і аномальний характер.</w:t>
      </w:r>
      <w:r w:rsidRPr="002C1A34">
        <w:rPr>
          <w:rStyle w:val="apple-converted-space"/>
          <w:color w:val="000000"/>
          <w:sz w:val="28"/>
          <w:szCs w:val="28"/>
        </w:rPr>
        <w:t> </w:t>
      </w:r>
    </w:p>
    <w:p w14:paraId="430E3C11"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Запропоновано виділити стадії договору між спадкоємцями щодо розподілу спадщини залежно від характеру його розвитку. Динаміка договору щодо розподілу спадщини при позитивному розвитку виглядає так: стадія укладення договору; стадія припинення договору внаслідок його виконання. При аномальному розвитку досліджуваний договір може мати такі стадії як: стадія укладення договору; стадія зміни договору (змісту чи (та) суб’єктного складу); стадія припинення договору, в тому числі внаслідок його розірвання.</w:t>
      </w:r>
    </w:p>
    <w:p w14:paraId="14233DA2"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Зазначено, що договір щодо розподілу спадщини набирає чинності й стає обов’язковим для сторін із моменту його укладення у належній формі. Так, договір про зміну черговості одержання права на спадкування вважається укладеним з моменту його нотаріального посвідчення, оскільки для такого договору встановлено обов’язкову нотаріальну форму. Натомість для договору про зміну розміру частки у спадщині та договору про поділ спадкового майна нотаріальна форма не є обов’язковою. Це означає, що момент укладення зазначених договорів залежить від їх форми. Тобто якщо договір укладено в усній формі, то він вважається укладеним з моменту одержання особою, яка направила пропозицію укласти договір (оферту), відповіді другої сторони про прийняття цієї пропозиції (акцепту). Якщо договір укладено в простій письмовій формі, він вважається укладеним з моменту його підписання сторонами. Якщо ж договір є нотаріально посвідченим, то він вважається укладеним з дня такого посвідчення (ст.ст. 638, 639 ЦК України).</w:t>
      </w:r>
    </w:p>
    <w:p w14:paraId="27002115"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 xml:space="preserve">Доведено, що договори між спадкоємцями щодо розподілу спадщини мають посвідчуватися із додержанням правил оформлення спадщини. Саме нотаріус, у провадженні якого знаходиться спадкова справа, повинен нотаріально посвідчувати такий договір, оскільки лише цей нотаріус, маючи у </w:t>
      </w:r>
      <w:r w:rsidRPr="002C1A34">
        <w:rPr>
          <w:rStyle w:val="s10"/>
          <w:color w:val="000000"/>
          <w:sz w:val="28"/>
          <w:szCs w:val="28"/>
        </w:rPr>
        <w:lastRenderedPageBreak/>
        <w:t>своєму архіві заведену спадкову справу, знає всі її особливості та може вдало здійснити розподіл спадщини.</w:t>
      </w:r>
      <w:r w:rsidRPr="002C1A34">
        <w:rPr>
          <w:rStyle w:val="apple-converted-space"/>
          <w:color w:val="000000"/>
          <w:sz w:val="28"/>
          <w:szCs w:val="28"/>
        </w:rPr>
        <w:t> </w:t>
      </w:r>
    </w:p>
    <w:p w14:paraId="4B01E311"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Визначено загальновизнані засоби для надання нотаріальному договору між спадкоємцями щодо розподілу спадщини юридичної достовірності: викладення договорів на спеціальних бланках нотаріальних документів, проставлення підпису сторонами договору та власноручного підпису і печатки нотаріуса; вчинення нотаріусом посвідчувального напису; реєстрація договору щодо розподілу спадщини у реєстрі для реєстрації нотаріальних дій; внесення відомостей про витрачання бланків до Єдиного реєстру спеціальних бланків нотаріальних документів.</w:t>
      </w:r>
    </w:p>
    <w:p w14:paraId="2270E51C" w14:textId="7330ABAF"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Зазначено, що спадкові права сторін договору щодо розподілу спадщини реалізуються у кінцевому документі</w:t>
      </w:r>
      <w:r>
        <w:rPr>
          <w:rStyle w:val="s10"/>
          <w:color w:val="000000"/>
          <w:sz w:val="28"/>
          <w:szCs w:val="28"/>
        </w:rPr>
        <w:t xml:space="preserve"> – </w:t>
      </w:r>
      <w:r w:rsidRPr="002C1A34">
        <w:rPr>
          <w:rStyle w:val="s10"/>
          <w:color w:val="000000"/>
          <w:sz w:val="28"/>
          <w:szCs w:val="28"/>
        </w:rPr>
        <w:t>свідоцтві про право на спадщину.</w:t>
      </w:r>
      <w:r w:rsidRPr="002C1A34">
        <w:rPr>
          <w:rStyle w:val="apple-converted-space"/>
          <w:color w:val="000000"/>
          <w:sz w:val="28"/>
          <w:szCs w:val="28"/>
        </w:rPr>
        <w:t> </w:t>
      </w:r>
    </w:p>
    <w:p w14:paraId="60122628"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Зроблено висновок, що момент виконання зобов’язання щодо розподілу спадщини слід пов’язувати лише з видачею свідоцтва про право на спадщину та його державною реєстрацією у Спадковому реєстрі. Саме в момент державної реєстрації свідоцтва про право на спадщину досягається юридична мета договору щодо розподілу спадщини.</w:t>
      </w:r>
      <w:r w:rsidRPr="002C1A34">
        <w:rPr>
          <w:rStyle w:val="apple-converted-space"/>
          <w:color w:val="000000"/>
          <w:sz w:val="28"/>
          <w:szCs w:val="28"/>
        </w:rPr>
        <w:t> </w:t>
      </w:r>
    </w:p>
    <w:p w14:paraId="334EB535"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Встановлено, що виконання договору між спадкоємцями щодо розподілу спадщини відбувається поетапно шляхом оформлення спадкоємцями своїх прав. Такими етапами є: 1) подання спадкоємцями заяви про видачу свідоцтва про право на спадщину; 2) перевірка нотаріусом справжності юридичних фактів, які є підставою спадкування у осіб, що подали заяву про видачу свідоцтва про право на спадщину та перевірка наявності всіх необхідних для цього документів; 3) здійснення нотаріусом обов’язкових та факультативних перевірок; 4) видача свідоцтва про право на спадщину; 5) державна реєстрація свідоцтва про право на спадщину  у Спадковому реєстрі; 6) державна реєстрація права власності спадкоємців на нерухоме майно у Державному реєстрі речових прав на нерухоме майно.</w:t>
      </w:r>
      <w:r w:rsidRPr="002C1A34">
        <w:rPr>
          <w:rStyle w:val="apple-converted-space"/>
          <w:color w:val="000000"/>
          <w:sz w:val="28"/>
          <w:szCs w:val="28"/>
        </w:rPr>
        <w:t> </w:t>
      </w:r>
    </w:p>
    <w:p w14:paraId="6D8A8293"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 xml:space="preserve">Виконання договору щодо розподілу спадщини передбачає здійснення його сторонами дій, які спрямовані на отримання свідоцтва про право на </w:t>
      </w:r>
      <w:r w:rsidRPr="002C1A34">
        <w:rPr>
          <w:rStyle w:val="s10"/>
          <w:color w:val="000000"/>
          <w:sz w:val="28"/>
          <w:szCs w:val="28"/>
        </w:rPr>
        <w:lastRenderedPageBreak/>
        <w:t>спадщину. Наприклад, такими діями є подання спадкоємцями заяви про видачу свідоцтва про право на спадщину, надання нотаріусу всіх необхідних для видачі свідоцтва про право на спадщину документів, зокрема, документів, що посвідчують право власності на майно спадкодавця тощо.</w:t>
      </w:r>
      <w:r w:rsidRPr="002C1A34">
        <w:rPr>
          <w:rStyle w:val="apple-converted-space"/>
          <w:color w:val="000000"/>
          <w:sz w:val="28"/>
          <w:szCs w:val="28"/>
        </w:rPr>
        <w:t> </w:t>
      </w:r>
    </w:p>
    <w:p w14:paraId="75C036D0"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Поняття «оформлення прав спадкоємців» крім здійснення певних дій сторонами договору щодо розподілу спадщини, передбачає ще й активну участь нотаріуса, адже без нього видача свідоцтва про право на спадщину неможлива.</w:t>
      </w:r>
      <w:r w:rsidRPr="002C1A34">
        <w:rPr>
          <w:rStyle w:val="apple-converted-space"/>
          <w:color w:val="000000"/>
          <w:sz w:val="28"/>
          <w:szCs w:val="28"/>
        </w:rPr>
        <w:t> </w:t>
      </w:r>
    </w:p>
    <w:p w14:paraId="6A03BBAD"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0"/>
          <w:color w:val="000000"/>
          <w:sz w:val="28"/>
          <w:szCs w:val="28"/>
        </w:rPr>
        <w:t>Узагальнено перелік обов’язкових та факультативних перевірок, які здійснює нотаріус при видачі свідоцтва про право на спадщину.</w:t>
      </w:r>
    </w:p>
    <w:p w14:paraId="2C43CE44" w14:textId="77777777" w:rsidR="002C1A34" w:rsidRPr="002C1A34" w:rsidRDefault="002C1A34" w:rsidP="002C1A34">
      <w:pPr>
        <w:pStyle w:val="s22"/>
        <w:spacing w:before="0" w:beforeAutospacing="0" w:after="0" w:afterAutospacing="0" w:line="360" w:lineRule="auto"/>
        <w:ind w:firstLine="709"/>
        <w:jc w:val="both"/>
        <w:rPr>
          <w:color w:val="000000"/>
          <w:sz w:val="28"/>
          <w:szCs w:val="28"/>
        </w:rPr>
      </w:pPr>
      <w:r w:rsidRPr="002C1A34">
        <w:rPr>
          <w:rStyle w:val="s18"/>
          <w:b/>
          <w:bCs/>
          <w:i/>
          <w:iCs/>
          <w:color w:val="000000"/>
          <w:sz w:val="28"/>
          <w:szCs w:val="28"/>
        </w:rPr>
        <w:t xml:space="preserve">Ключові слова: </w:t>
      </w:r>
      <w:r w:rsidRPr="002C1A34">
        <w:rPr>
          <w:rStyle w:val="s18"/>
          <w:color w:val="000000"/>
          <w:sz w:val="28"/>
          <w:szCs w:val="28"/>
        </w:rPr>
        <w:t>спадкування, спадщина, розподіл спадщини, договори у сфері спадкового права, договори між спадкоємцями щодо розподілу спадщини, оформлення спадкових прав, свідоцтво про право на спадщину.</w:t>
      </w:r>
    </w:p>
    <w:p w14:paraId="5FEFA926" w14:textId="4524D2DB" w:rsidR="002C1A34" w:rsidRPr="002C1A34" w:rsidRDefault="002C1A34" w:rsidP="002C1A34">
      <w:pPr>
        <w:pStyle w:val="s23"/>
        <w:spacing w:before="0" w:beforeAutospacing="0" w:after="0" w:afterAutospacing="0" w:line="360" w:lineRule="auto"/>
        <w:ind w:firstLine="709"/>
        <w:jc w:val="both"/>
        <w:rPr>
          <w:rStyle w:val="s24"/>
          <w:color w:val="000000"/>
          <w:sz w:val="28"/>
          <w:szCs w:val="28"/>
        </w:rPr>
      </w:pPr>
      <w:r w:rsidRPr="002C1A34">
        <w:rPr>
          <w:color w:val="000000"/>
          <w:sz w:val="28"/>
          <w:szCs w:val="28"/>
        </w:rPr>
        <w:t> </w:t>
      </w:r>
    </w:p>
    <w:p w14:paraId="696F9712" w14:textId="77777777" w:rsidR="002C1A34" w:rsidRDefault="002C1A34" w:rsidP="002C1A34">
      <w:pPr>
        <w:pStyle w:val="s25"/>
        <w:spacing w:before="0" w:beforeAutospacing="0" w:after="0" w:afterAutospacing="0" w:line="360" w:lineRule="auto"/>
        <w:ind w:firstLine="709"/>
        <w:jc w:val="both"/>
        <w:rPr>
          <w:rStyle w:val="s24"/>
          <w:b/>
          <w:bCs/>
          <w:color w:val="202124"/>
          <w:sz w:val="28"/>
          <w:szCs w:val="28"/>
        </w:rPr>
      </w:pPr>
    </w:p>
    <w:p w14:paraId="1353FDE5" w14:textId="77777777" w:rsidR="002C1A34" w:rsidRDefault="002C1A34">
      <w:pPr>
        <w:rPr>
          <w:rStyle w:val="s24"/>
          <w:rFonts w:ascii="Times New Roman" w:eastAsia="Times New Roman" w:hAnsi="Times New Roman" w:cs="Times New Roman"/>
          <w:b/>
          <w:bCs/>
          <w:color w:val="202124"/>
          <w:sz w:val="28"/>
          <w:szCs w:val="28"/>
          <w:lang w:eastAsia="ru-RU"/>
        </w:rPr>
      </w:pPr>
      <w:r>
        <w:rPr>
          <w:rStyle w:val="s24"/>
          <w:b/>
          <w:bCs/>
          <w:color w:val="202124"/>
          <w:sz w:val="28"/>
          <w:szCs w:val="28"/>
        </w:rPr>
        <w:br w:type="page"/>
      </w:r>
    </w:p>
    <w:p w14:paraId="5CA8D033" w14:textId="79036C05" w:rsidR="002C1A34" w:rsidRPr="002C1A34" w:rsidRDefault="002C1A34" w:rsidP="002C1A34">
      <w:pPr>
        <w:pStyle w:val="s25"/>
        <w:spacing w:before="0" w:beforeAutospacing="0" w:after="0" w:afterAutospacing="0" w:line="360" w:lineRule="auto"/>
        <w:ind w:firstLine="709"/>
        <w:jc w:val="center"/>
        <w:rPr>
          <w:color w:val="000000"/>
          <w:sz w:val="28"/>
          <w:szCs w:val="28"/>
        </w:rPr>
      </w:pPr>
      <w:r w:rsidRPr="002C1A34">
        <w:rPr>
          <w:rStyle w:val="s24"/>
          <w:b/>
          <w:bCs/>
          <w:color w:val="202124"/>
          <w:sz w:val="28"/>
          <w:szCs w:val="28"/>
        </w:rPr>
        <w:lastRenderedPageBreak/>
        <w:t>SUMMARY</w:t>
      </w:r>
    </w:p>
    <w:p w14:paraId="0DC9646B" w14:textId="69707510"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8"/>
          <w:i/>
          <w:iCs/>
          <w:color w:val="000000"/>
          <w:sz w:val="28"/>
          <w:szCs w:val="28"/>
        </w:rPr>
        <w:t>Zinkevych Y.</w:t>
      </w:r>
      <w:r w:rsidRPr="002C1A34">
        <w:rPr>
          <w:rStyle w:val="apple-converted-space"/>
          <w:color w:val="000000"/>
          <w:sz w:val="28"/>
          <w:szCs w:val="28"/>
        </w:rPr>
        <w:t> </w:t>
      </w:r>
      <w:r w:rsidRPr="002C1A34">
        <w:rPr>
          <w:rStyle w:val="s16"/>
          <w:color w:val="000000"/>
          <w:sz w:val="28"/>
          <w:szCs w:val="28"/>
        </w:rPr>
        <w:t>Agreements between heirs on the distribution of the inheritance</w:t>
      </w:r>
      <w:r w:rsidRPr="002C1A34">
        <w:rPr>
          <w:rStyle w:val="s10"/>
          <w:color w:val="000000"/>
          <w:sz w:val="28"/>
          <w:szCs w:val="28"/>
        </w:rPr>
        <w:t>.</w:t>
      </w:r>
      <w:r>
        <w:rPr>
          <w:rStyle w:val="s10"/>
          <w:color w:val="000000"/>
          <w:sz w:val="28"/>
          <w:szCs w:val="28"/>
        </w:rPr>
        <w:t xml:space="preserve"> – </w:t>
      </w:r>
      <w:r w:rsidRPr="002C1A34">
        <w:rPr>
          <w:rStyle w:val="s10"/>
          <w:color w:val="000000"/>
          <w:sz w:val="28"/>
          <w:szCs w:val="28"/>
        </w:rPr>
        <w:t>Qualifying scientific paper as manuscript.</w:t>
      </w:r>
      <w:r w:rsidRPr="002C1A34">
        <w:rPr>
          <w:rStyle w:val="apple-converted-space"/>
          <w:color w:val="000000"/>
          <w:sz w:val="28"/>
          <w:szCs w:val="28"/>
        </w:rPr>
        <w:t> </w:t>
      </w:r>
      <w:r w:rsidRPr="002C1A34">
        <w:rPr>
          <w:rStyle w:val="s26"/>
          <w:color w:val="18191B"/>
          <w:sz w:val="28"/>
          <w:szCs w:val="28"/>
        </w:rPr>
        <w:t>Dissertation</w:t>
      </w:r>
      <w:r w:rsidRPr="002C1A34">
        <w:rPr>
          <w:rStyle w:val="apple-converted-space"/>
          <w:color w:val="000000"/>
          <w:sz w:val="28"/>
          <w:szCs w:val="28"/>
        </w:rPr>
        <w:t> </w:t>
      </w:r>
      <w:r w:rsidRPr="002C1A34">
        <w:rPr>
          <w:rStyle w:val="s10"/>
          <w:color w:val="000000"/>
          <w:sz w:val="28"/>
          <w:szCs w:val="28"/>
        </w:rPr>
        <w:t>for the degree of Doctor of Philosophy majoring in specialty 081</w:t>
      </w:r>
      <w:r>
        <w:rPr>
          <w:rStyle w:val="s10"/>
          <w:color w:val="000000"/>
          <w:sz w:val="28"/>
          <w:szCs w:val="28"/>
        </w:rPr>
        <w:t xml:space="preserve"> </w:t>
      </w:r>
      <w:r w:rsidRPr="002C1A34">
        <w:rPr>
          <w:rStyle w:val="s10"/>
          <w:color w:val="000000"/>
          <w:sz w:val="28"/>
          <w:szCs w:val="28"/>
        </w:rPr>
        <w:t xml:space="preserve">«The Law». </w:t>
      </w:r>
      <w:r>
        <w:rPr>
          <w:rStyle w:val="s10"/>
          <w:color w:val="000000"/>
          <w:sz w:val="28"/>
          <w:szCs w:val="28"/>
        </w:rPr>
        <w:t xml:space="preserve"> – </w:t>
      </w:r>
      <w:r w:rsidRPr="002C1A34">
        <w:rPr>
          <w:rStyle w:val="s10"/>
          <w:color w:val="000000"/>
          <w:sz w:val="28"/>
          <w:szCs w:val="28"/>
        </w:rPr>
        <w:t>National University «Odessa Law Academy», Odessa, 2021.</w:t>
      </w:r>
      <w:r w:rsidRPr="002C1A34">
        <w:rPr>
          <w:rStyle w:val="apple-converted-space"/>
          <w:color w:val="000000"/>
          <w:sz w:val="28"/>
          <w:szCs w:val="28"/>
        </w:rPr>
        <w:t> </w:t>
      </w:r>
    </w:p>
    <w:p w14:paraId="021E2242"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w:t>
      </w:r>
      <w:r w:rsidRPr="002C1A34">
        <w:rPr>
          <w:rStyle w:val="apple-converted-space"/>
          <w:color w:val="000000"/>
          <w:sz w:val="28"/>
          <w:szCs w:val="28"/>
        </w:rPr>
        <w:t> </w:t>
      </w:r>
      <w:r w:rsidRPr="002C1A34">
        <w:rPr>
          <w:rStyle w:val="s26"/>
          <w:color w:val="18191B"/>
          <w:sz w:val="28"/>
          <w:szCs w:val="28"/>
        </w:rPr>
        <w:t>Dissertation</w:t>
      </w:r>
      <w:r w:rsidRPr="002C1A34">
        <w:rPr>
          <w:rStyle w:val="apple-converted-space"/>
          <w:color w:val="000000"/>
          <w:sz w:val="28"/>
          <w:szCs w:val="28"/>
        </w:rPr>
        <w:t> </w:t>
      </w:r>
      <w:r w:rsidRPr="002C1A34">
        <w:rPr>
          <w:rStyle w:val="s10"/>
          <w:color w:val="000000"/>
          <w:sz w:val="28"/>
          <w:szCs w:val="28"/>
        </w:rPr>
        <w:t>is the first in the domestic science of civil law special comprehensive research of the theoretical and practical problems that arise in the contractual distribution of inheritance.</w:t>
      </w:r>
    </w:p>
    <w:p w14:paraId="5914F918"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As part of the paper, the comprehensive analysis of scientific literature, legislation, judicial and notarial practice on the area of research is carried out, the proposals are made to improve the current legislation of Ukraine concerning agreements between heirs on the distribution of the inheritance.</w:t>
      </w:r>
      <w:r w:rsidRPr="002C1A34">
        <w:rPr>
          <w:rStyle w:val="apple-converted-space"/>
          <w:color w:val="000000"/>
          <w:sz w:val="28"/>
          <w:szCs w:val="28"/>
        </w:rPr>
        <w:t> </w:t>
      </w:r>
    </w:p>
    <w:p w14:paraId="14A4F3A0"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legal regulation of the contractual relations on the distribution of the inheritance is fragmentary, which makes it possible only to form a general idea of ​​certain types of agreements, simultaneously creating significant difficulties in applying the relevant rules of law in practice due to lack of clear understanding of the legal nature, subject composition, time limits of conclusion of the agreements between the heirs regarding the distribution of the inheritance, features of their notarization, etc. Unsatisfactory legislative regulation of such agreements and the practical absence of notarial and judicial practice stipulated the relevance of this thesis research in the context of scientific support of the civil reform in Ukraine.</w:t>
      </w:r>
      <w:r w:rsidRPr="002C1A34">
        <w:rPr>
          <w:rStyle w:val="apple-converted-space"/>
          <w:color w:val="000000"/>
          <w:sz w:val="28"/>
          <w:szCs w:val="28"/>
        </w:rPr>
        <w:t> </w:t>
      </w:r>
    </w:p>
    <w:p w14:paraId="17230CCE"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 xml:space="preserve">It is determined that the agreements in the field of inheritance include: Agreement on changing the order of receipt of the right to inheritance (Article 1259 of the Civil Code of Ukraine); Agreement on changing the size of the share in the inheritance (parts 2, 3 of Article 1267 of the Civil Code of Ukraine); Agreement on division of the estate (Article 1278 of the Civil Code of Ukraine); Agreement on satisfaction of the testator's creditor's claims by the heirs (Part 2 of Article 1282 of the Civil Code of Ukraine); Agreement on the interpretation of the will (Part 1 of Article 213 of the Civil Code of Ukraine); Agreement between the heirs and the executor of the will on the appointment of the latter (Part 2 of Article 1287 of the </w:t>
      </w:r>
      <w:r w:rsidRPr="002C1A34">
        <w:rPr>
          <w:rStyle w:val="s10"/>
          <w:color w:val="000000"/>
          <w:sz w:val="28"/>
          <w:szCs w:val="28"/>
        </w:rPr>
        <w:lastRenderedPageBreak/>
        <w:t>Civil Code of Ukraine); Heritage management agreement (Article 1285 of the Civil Code of Ukraine); Agreement on the protection of heritage (Article 1283 of the Civil Code of Ukraine). An important place among the inheritance agreements is occupied by agreements on the distribution of inheritance, namely: Agreement on changing the order of receipt of the right to inheritance (Article 1259 of the Civil Code of Ukraine); Agreement on changing the size of the share in the inheritance (parts 2, 3 of Article 1267 of the Civil Code of Ukraine); Agreement on distribution of inheritance by the heirs (Article 1278 of the Civil Code of Ukraine). In this regard, the research of the concept, features of agreements between heirs on the distribution of inheritance, their place in the system of civil law agreements, the content and form of agreements on the distribution of inheritance becomes especially relevant.</w:t>
      </w:r>
    </w:p>
    <w:p w14:paraId="36AEFFD9"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concept of agreements between heirs on the distribution of inheritance is defined: it is an agreement of heirs who accepted the inheritance, aimed at ensuring fair distribution of inheritance, its share or right to inheritance, which is executed after the deadline for acceptance of inheritance and until the issuance of the certificate of the right to an inheritance.</w:t>
      </w:r>
    </w:p>
    <w:p w14:paraId="7299E678"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typical features of agreements on distribution of inheritance are: they are executed in connection with the discovery of the inheritance; have a local nature; are fixed-term; the legal purpose is to establish the heirs’ own conditions of inheritance, namely: the circle of heirs who are called to inherit, the size of the ideal shares in the inheritance, the legal regime of inherited property, instead of those established by will or law; the agreements on distribution of inheritance cannot be a sufficient legal basis for the emergence, change and termination of inheritance relations; all parties to such agreements are heirs; the agreements on distribution of inheritance are of a personal and confidential nature; the freedom to choose a counterparty under agreements on distribution of inheritance is limited; agreements on distribution of inheritance directly affect the property relations; the studied agreements are the legal basis for the emergence of the relevant contractual obligation.</w:t>
      </w:r>
    </w:p>
    <w:p w14:paraId="152B841B"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 xml:space="preserve">It is concluded that agreements between heirs on the distribution of inheritance can be concluded, firstly, only after the discovery of the inheritance, </w:t>
      </w:r>
      <w:r w:rsidRPr="002C1A34">
        <w:rPr>
          <w:rStyle w:val="s10"/>
          <w:color w:val="000000"/>
          <w:sz w:val="28"/>
          <w:szCs w:val="28"/>
        </w:rPr>
        <w:lastRenderedPageBreak/>
        <w:t>because only from this time the inheritance relations arise, and secondly, until the issuance of a certificate of the right to an inheritance, because from the moment of commission of such notarial act the inheritance relations are transformed into property relations, and the conclusion of these agreements is not considered possible.</w:t>
      </w:r>
    </w:p>
    <w:p w14:paraId="4177B2AF"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proposed to conclude agreements on distribution of the inheritance after the expiration of the term for acceptance of inheritance, i.e. after the final determination of the circle of heirs called to inherit and the composition of the inheritance that is the subject of these agreements, and the issuance of certificate of the right to an inheritance.</w:t>
      </w:r>
    </w:p>
    <w:p w14:paraId="280ECA3A"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necessity of legislative consolidation of time limits of concluding agreements between heirs on distribution of the inheritance is substantiated.</w:t>
      </w:r>
    </w:p>
    <w:p w14:paraId="5A70E710"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established that agreements between heirs on the distribution of the inheritance are main, free (voluntary), agreements of a special kind, mutual (synallagmatic), consensual, mostly gratuitous agreements (but may be fee-based), concluded in favor of its parties, and are unnamed and atypical contracts.</w:t>
      </w:r>
    </w:p>
    <w:p w14:paraId="385D4268"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noted that the agreements between the heirs on the distribution of the inheritance are not covered by the existing division of civil contracts by the legal purpose criterion. This means that agreements on the distribution of the inheritance are atypical, i.e. they are outside the existing contract types.</w:t>
      </w:r>
    </w:p>
    <w:p w14:paraId="6CC95157"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concluded that the inheritance agreements form a «type» that unites a homogeneous group of civil law agreements, a special place in which are occupied by agreements between heirs on the distribution of the inheritance. Having all the common features typical for inheritance agreements in general, the studied agreements differ from other agreements of this type by significant differences (legal purpose, common subject, etc.), which makes it possible to talk about their type independence.</w:t>
      </w:r>
    </w:p>
    <w:p w14:paraId="02427457" w14:textId="13D0C2F5"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proposed to supplement the existing classifications of civil law agreements by allocating a new type of civil law agreements</w:t>
      </w:r>
      <w:r>
        <w:rPr>
          <w:rStyle w:val="s10"/>
          <w:color w:val="000000"/>
          <w:sz w:val="28"/>
          <w:szCs w:val="28"/>
        </w:rPr>
        <w:t xml:space="preserve"> – </w:t>
      </w:r>
      <w:r w:rsidRPr="002C1A34">
        <w:rPr>
          <w:rStyle w:val="s10"/>
          <w:color w:val="000000"/>
          <w:sz w:val="28"/>
          <w:szCs w:val="28"/>
        </w:rPr>
        <w:t>agreements in the inheritance law, at the level of allocating a new type of inheritance agreements</w:t>
      </w:r>
      <w:r>
        <w:rPr>
          <w:rStyle w:val="s10"/>
          <w:color w:val="000000"/>
          <w:sz w:val="28"/>
          <w:szCs w:val="28"/>
        </w:rPr>
        <w:t xml:space="preserve"> – </w:t>
      </w:r>
      <w:r w:rsidRPr="002C1A34">
        <w:rPr>
          <w:rStyle w:val="s10"/>
          <w:color w:val="000000"/>
          <w:sz w:val="28"/>
          <w:szCs w:val="28"/>
        </w:rPr>
        <w:t xml:space="preserve">agreements on distribution of the inheritance (agreement on changing the order of </w:t>
      </w:r>
      <w:r w:rsidRPr="002C1A34">
        <w:rPr>
          <w:rStyle w:val="s10"/>
          <w:color w:val="000000"/>
          <w:sz w:val="28"/>
          <w:szCs w:val="28"/>
        </w:rPr>
        <w:lastRenderedPageBreak/>
        <w:t>receipt of the right to inheritance, agreement on changing the size of the share in the inheritance, agreement on division of the estate).</w:t>
      </w:r>
      <w:r w:rsidRPr="002C1A34">
        <w:rPr>
          <w:rStyle w:val="apple-converted-space"/>
          <w:color w:val="000000"/>
          <w:sz w:val="28"/>
          <w:szCs w:val="28"/>
        </w:rPr>
        <w:t> </w:t>
      </w:r>
    </w:p>
    <w:p w14:paraId="4A75D94A"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determined that the only necessary and sufficient condition for concluding an agreement between the heirs on the distribution of the inheritance is the condition of the subject. However, either party may find the condition of the subject insufficient and propose to include random conditions in the agreement. In this case, these conditions become essential. It is concluded that the inclusion in the agreement of the usual conditions due to the statutory misregulating of the issue of the content of agreements between the heirs on the distribution of inheritance, is currently impossible.</w:t>
      </w:r>
      <w:r w:rsidRPr="002C1A34">
        <w:rPr>
          <w:rStyle w:val="apple-converted-space"/>
          <w:color w:val="000000"/>
          <w:sz w:val="28"/>
          <w:szCs w:val="28"/>
        </w:rPr>
        <w:t> </w:t>
      </w:r>
    </w:p>
    <w:p w14:paraId="261DC1C1"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determined that the agreement changing the order of receipt of the right to inheritance shall be notarized, which is expressly provided for in Article 1259 of the Civil Code of Ukraine.</w:t>
      </w:r>
    </w:p>
    <w:p w14:paraId="5E9ED9BC"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form of the agreement on changing the size of the share in the inheritance depends on a kind of property to which the right is a part of inheritance. If the inheritance includes movables and the change in the size of the shares in the inheritance affects them, the agreement may be verbal. If it concerns real estate or vehicles or things, the alienation of which in accordance with current legislation requires a notarized form, the agreement between the heirs shall be notarized (Article 1267 of the Civil Code of Ukraine).</w:t>
      </w:r>
      <w:r w:rsidRPr="002C1A34">
        <w:rPr>
          <w:rStyle w:val="apple-converted-space"/>
          <w:color w:val="000000"/>
          <w:sz w:val="28"/>
          <w:szCs w:val="28"/>
        </w:rPr>
        <w:t> </w:t>
      </w:r>
    </w:p>
    <w:p w14:paraId="0F13EC39"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Requirements to the form of the agreement on division of the estate are established in Article 367 of the Civil Code of Ukraine: in case of division of real estate, as well as property that requires state registration (vehicles, securities, shares in the authorized capital of companies, etc.), which are jointly owned by the heirs, the agreement is subject to notarization, if the division of another property, then the agreement shall be concluded in a simple written form (Article 207 of the Civil Code of Ukraine). For agreements with real estate as the acquisition of rights to it as a result of division, the requirement of state registration of rights also applies (Article 182 of the Civil Code of Ukraine).</w:t>
      </w:r>
      <w:r w:rsidRPr="002C1A34">
        <w:rPr>
          <w:rStyle w:val="apple-converted-space"/>
          <w:color w:val="000000"/>
          <w:sz w:val="28"/>
          <w:szCs w:val="28"/>
        </w:rPr>
        <w:t> </w:t>
      </w:r>
    </w:p>
    <w:p w14:paraId="0A5A01E7"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lastRenderedPageBreak/>
        <w:t>It is concluded that the dynamics of the contractual obligation for the distribution of the inheritance can be both positive and anomalous.</w:t>
      </w:r>
    </w:p>
    <w:p w14:paraId="3A07C16D"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proposed to distinguish the stages of the agreement between the heirs on the distribution of the inheritance depending on the nature of its development. The dynamics of the agreement on distribution of the inheritance with positive development is as follows: the stage of concluding the agreement; stage of termination of the agreement due to its fulfillment. In case of anomalous development, the studied agreement may have stages such as: the stage of conclusion of the agreement; stage of change of the agreement (content or (and) subject composition); stage of termination of the agreement, including due to its cancellation.</w:t>
      </w:r>
      <w:r w:rsidRPr="002C1A34">
        <w:rPr>
          <w:rStyle w:val="apple-converted-space"/>
          <w:color w:val="000000"/>
          <w:sz w:val="28"/>
          <w:szCs w:val="28"/>
        </w:rPr>
        <w:t> </w:t>
      </w:r>
    </w:p>
    <w:p w14:paraId="56944983"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noted that the agreement on the distribution of the inheritance shall enter into force and become binding on the parties from the moment of its conclusion in due form. Thus, the agreement on changing the order of receipt of the right to inheritance is considered concluded from the moment of its notarization, because a mandatory notarial form is prescribed for such an agreement. Instead, a notarial form is not obligatory for the agreement on changing the size of the share in the inheritance and the agreement on the division of the estate. This means that the time of conclusion of these agreements depends on their form. That is, if the agreement is concluded orally, it shall be considered concluded from the moment of receipt by the person who sent the proposal to conclude the agreement (offer), the response from the other party to accept this proposal (acceptance). If the agreement is concluded in a simple written form, it is considered concluded from the moment of its signing by the parties. If the contract is notarized, it shall be considered concluded from the date of such notarization (Articles 638, 639 of the Civil Code of Ukraine).</w:t>
      </w:r>
    </w:p>
    <w:p w14:paraId="11D51B68"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proved that the agreements between the heirs on the distribution of the inheritance shall be certified in compliance with the rules of registration of inheritance. It is the notary in charge of the inheritance files who must notarize such an agreement, because only this notary, having an inheritance files in his archive, knows all its features and can successfully distribute the inheritance.</w:t>
      </w:r>
    </w:p>
    <w:p w14:paraId="37891F14"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lastRenderedPageBreak/>
        <w:t>The generally accepted means for providing a notarial agreement between the heirs on the distribution of the inheritance with legal effect are determined: drawing up agreement on special forms of notarial documents, putting the signature by the parties to the agreement and handwritten signature and seal of the notary; notary certification statement; registration of the agreement on the distribution of the inheritance in the register for registration of notarial acts; inclusion of the information on the use of special blanks of notarial documents in the Unified Register of special blanks of notarial documents.</w:t>
      </w:r>
    </w:p>
    <w:p w14:paraId="227A01E2"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noted that the inheritance rights of the parties to the agreement on the distribution of the inheritance are exercised in the final document, the certificate of the right to an inheritance.</w:t>
      </w:r>
    </w:p>
    <w:p w14:paraId="3DA6F6BF"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concluded that the moment of fulfillment of the obligation on distribution of the inheritance should be associated only with the issuance of a certificate of the right to an inheritance and its state registration in the Register of Deceased Estates. It is the moment of state registration of the certificate of the right to an inheritance when the legal purpose of the agreement on the distribution of the inheritance is achieved.</w:t>
      </w:r>
    </w:p>
    <w:p w14:paraId="4954C757"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It is established that the fulfillment of the agreement on the distribution of inheritance between the heirs takes place in stages by the registration of rights by the heirs. Such stages are: 1) submission by the heirs of an application for the issuance of a certificate of the right to an inheritance; 2) verification by a notary of the authenticity of legal facts that are the basis for inheritance from persons who have submitted an application for the issuance of a certificate of the right to an inheritance, and verification of the availability of all necessary documents; 3) obligatory and optional checks by the notary; 4) issuance of a certificate of the right to an inheritance; 5) state registration of the certificate of the right to an inheritance in the Register of Deceased Estates; 6) state registration of the title of heirs to immovable property in the State Register of Proprietary Rights to Immovable Property.</w:t>
      </w:r>
    </w:p>
    <w:p w14:paraId="54703929"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lastRenderedPageBreak/>
        <w:t>Fulfillment of the agreement on the distribution of the inheritance involves the implementation of actions by its parties which are aimed at obtaining a certificate of the right to an inheritance. For example, such actions are the submission by the heirs of an application for issuance of a certificate of the right to an inheritance, providing the notary with all necessary documents for the issuance of a certificate of the right to an inheritance, in particular, documents proving title to the testator's estate, and so on.</w:t>
      </w:r>
    </w:p>
    <w:p w14:paraId="704DAA97"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concept of «registration of the rights of heirs», in addition to certain actions by the parties to the agreement on distribution of inheritance, also involves the active participation of the notary, because without notary the issuance of a certificate of the right to an inheritance is impossible.</w:t>
      </w:r>
    </w:p>
    <w:p w14:paraId="6E9654BE"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0"/>
          <w:color w:val="000000"/>
          <w:sz w:val="28"/>
          <w:szCs w:val="28"/>
        </w:rPr>
        <w:t>The list of obligatory and optional checks to be carried out by a notary when issuing a certificate of the right to an inheritance is generalized.</w:t>
      </w:r>
    </w:p>
    <w:p w14:paraId="183E00D3" w14:textId="77777777" w:rsidR="002C1A34" w:rsidRPr="002C1A34" w:rsidRDefault="002C1A34" w:rsidP="002C1A34">
      <w:pPr>
        <w:pStyle w:val="s27"/>
        <w:spacing w:before="0" w:beforeAutospacing="0" w:after="0" w:afterAutospacing="0" w:line="360" w:lineRule="auto"/>
        <w:ind w:firstLine="709"/>
        <w:jc w:val="both"/>
        <w:rPr>
          <w:color w:val="000000"/>
          <w:sz w:val="28"/>
          <w:szCs w:val="28"/>
        </w:rPr>
      </w:pPr>
      <w:r w:rsidRPr="002C1A34">
        <w:rPr>
          <w:rStyle w:val="s18"/>
          <w:b/>
          <w:bCs/>
          <w:i/>
          <w:iCs/>
          <w:color w:val="000000"/>
          <w:sz w:val="28"/>
          <w:szCs w:val="28"/>
        </w:rPr>
        <w:t xml:space="preserve">Key words: </w:t>
      </w:r>
      <w:r w:rsidRPr="002C1A34">
        <w:rPr>
          <w:rStyle w:val="s18"/>
          <w:color w:val="000000"/>
          <w:sz w:val="28"/>
          <w:szCs w:val="28"/>
        </w:rPr>
        <w:t>inheritance, estate, distribution of inheritance, agreements in the area of inheritance law, agreements on distribution of the inheritance between heirs, registration of rights to an inheritance, certificate of the right to an inheritance.</w:t>
      </w:r>
    </w:p>
    <w:p w14:paraId="6A1CC2B3" w14:textId="77777777" w:rsidR="002C1A34" w:rsidRPr="002C1A34" w:rsidRDefault="002C1A34" w:rsidP="002C1A34">
      <w:pPr>
        <w:spacing w:line="360" w:lineRule="auto"/>
        <w:ind w:firstLine="709"/>
        <w:jc w:val="both"/>
        <w:rPr>
          <w:rFonts w:ascii="Times New Roman" w:hAnsi="Times New Roman" w:cs="Times New Roman"/>
          <w:sz w:val="28"/>
          <w:szCs w:val="28"/>
        </w:rPr>
      </w:pPr>
    </w:p>
    <w:sectPr w:rsidR="002C1A34" w:rsidRPr="002C1A34" w:rsidSect="002C1A34">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altName w:val="MS Mincho"/>
    <w:panose1 w:val="02020603050405020304"/>
    <w:charset w:val="00"/>
    <w:family w:val="roman"/>
    <w:pitch w:val="variable"/>
    <w:sig w:usb0="E0002EFF" w:usb1="C000785B" w:usb2="00000009" w:usb3="00000000" w:csb0="000001FF" w:csb1="00000000"/>
  </w:font>
  <w:font w:name="Calibri Light">
    <w:altName w:val="Times New Roman"/>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A34"/>
    <w:rsid w:val="002C1A3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279FF0CB"/>
  <w15:chartTrackingRefBased/>
  <w15:docId w15:val="{83A8E86C-6095-FF45-B662-8165EAD41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17">
    <w:name w:val="s17"/>
    <w:basedOn w:val="a"/>
    <w:rsid w:val="002C1A34"/>
    <w:pPr>
      <w:spacing w:before="100" w:beforeAutospacing="1" w:after="100" w:afterAutospacing="1"/>
    </w:pPr>
    <w:rPr>
      <w:rFonts w:ascii="Times New Roman" w:eastAsia="Times New Roman" w:hAnsi="Times New Roman" w:cs="Times New Roman"/>
      <w:lang w:eastAsia="ru-RU"/>
    </w:rPr>
  </w:style>
  <w:style w:type="character" w:customStyle="1" w:styleId="s16">
    <w:name w:val="s16"/>
    <w:basedOn w:val="a0"/>
    <w:rsid w:val="002C1A34"/>
  </w:style>
  <w:style w:type="paragraph" w:customStyle="1" w:styleId="s19">
    <w:name w:val="s19"/>
    <w:basedOn w:val="a"/>
    <w:rsid w:val="002C1A34"/>
    <w:pPr>
      <w:spacing w:before="100" w:beforeAutospacing="1" w:after="100" w:afterAutospacing="1"/>
    </w:pPr>
    <w:rPr>
      <w:rFonts w:ascii="Times New Roman" w:eastAsia="Times New Roman" w:hAnsi="Times New Roman" w:cs="Times New Roman"/>
      <w:lang w:eastAsia="ru-RU"/>
    </w:rPr>
  </w:style>
  <w:style w:type="character" w:customStyle="1" w:styleId="s18">
    <w:name w:val="s18"/>
    <w:basedOn w:val="a0"/>
    <w:rsid w:val="002C1A34"/>
  </w:style>
  <w:style w:type="character" w:customStyle="1" w:styleId="apple-converted-space">
    <w:name w:val="apple-converted-space"/>
    <w:basedOn w:val="a0"/>
    <w:rsid w:val="002C1A34"/>
  </w:style>
  <w:style w:type="character" w:customStyle="1" w:styleId="s10">
    <w:name w:val="s10"/>
    <w:basedOn w:val="a0"/>
    <w:rsid w:val="002C1A34"/>
  </w:style>
  <w:style w:type="paragraph" w:customStyle="1" w:styleId="s20">
    <w:name w:val="s20"/>
    <w:basedOn w:val="a"/>
    <w:rsid w:val="002C1A34"/>
    <w:pPr>
      <w:spacing w:before="100" w:beforeAutospacing="1" w:after="100" w:afterAutospacing="1"/>
    </w:pPr>
    <w:rPr>
      <w:rFonts w:ascii="Times New Roman" w:eastAsia="Times New Roman" w:hAnsi="Times New Roman" w:cs="Times New Roman"/>
      <w:lang w:eastAsia="ru-RU"/>
    </w:rPr>
  </w:style>
  <w:style w:type="paragraph" w:customStyle="1" w:styleId="s21">
    <w:name w:val="s21"/>
    <w:basedOn w:val="a"/>
    <w:rsid w:val="002C1A34"/>
    <w:pPr>
      <w:spacing w:before="100" w:beforeAutospacing="1" w:after="100" w:afterAutospacing="1"/>
    </w:pPr>
    <w:rPr>
      <w:rFonts w:ascii="Times New Roman" w:eastAsia="Times New Roman" w:hAnsi="Times New Roman" w:cs="Times New Roman"/>
      <w:lang w:eastAsia="ru-RU"/>
    </w:rPr>
  </w:style>
  <w:style w:type="paragraph" w:customStyle="1" w:styleId="s22">
    <w:name w:val="s22"/>
    <w:basedOn w:val="a"/>
    <w:rsid w:val="002C1A34"/>
    <w:pPr>
      <w:spacing w:before="100" w:beforeAutospacing="1" w:after="100" w:afterAutospacing="1"/>
    </w:pPr>
    <w:rPr>
      <w:rFonts w:ascii="Times New Roman" w:eastAsia="Times New Roman" w:hAnsi="Times New Roman" w:cs="Times New Roman"/>
      <w:lang w:eastAsia="ru-RU"/>
    </w:rPr>
  </w:style>
  <w:style w:type="paragraph" w:customStyle="1" w:styleId="s23">
    <w:name w:val="s23"/>
    <w:basedOn w:val="a"/>
    <w:rsid w:val="002C1A34"/>
    <w:pPr>
      <w:spacing w:before="100" w:beforeAutospacing="1" w:after="100" w:afterAutospacing="1"/>
    </w:pPr>
    <w:rPr>
      <w:rFonts w:ascii="Times New Roman" w:eastAsia="Times New Roman" w:hAnsi="Times New Roman" w:cs="Times New Roman"/>
      <w:lang w:eastAsia="ru-RU"/>
    </w:rPr>
  </w:style>
  <w:style w:type="paragraph" w:customStyle="1" w:styleId="s25">
    <w:name w:val="s25"/>
    <w:basedOn w:val="a"/>
    <w:rsid w:val="002C1A34"/>
    <w:pPr>
      <w:spacing w:before="100" w:beforeAutospacing="1" w:after="100" w:afterAutospacing="1"/>
    </w:pPr>
    <w:rPr>
      <w:rFonts w:ascii="Times New Roman" w:eastAsia="Times New Roman" w:hAnsi="Times New Roman" w:cs="Times New Roman"/>
      <w:lang w:eastAsia="ru-RU"/>
    </w:rPr>
  </w:style>
  <w:style w:type="character" w:customStyle="1" w:styleId="s24">
    <w:name w:val="s24"/>
    <w:basedOn w:val="a0"/>
    <w:rsid w:val="002C1A34"/>
  </w:style>
  <w:style w:type="paragraph" w:customStyle="1" w:styleId="s27">
    <w:name w:val="s27"/>
    <w:basedOn w:val="a"/>
    <w:rsid w:val="002C1A34"/>
    <w:pPr>
      <w:spacing w:before="100" w:beforeAutospacing="1" w:after="100" w:afterAutospacing="1"/>
    </w:pPr>
    <w:rPr>
      <w:rFonts w:ascii="Times New Roman" w:eastAsia="Times New Roman" w:hAnsi="Times New Roman" w:cs="Times New Roman"/>
      <w:lang w:eastAsia="ru-RU"/>
    </w:rPr>
  </w:style>
  <w:style w:type="character" w:customStyle="1" w:styleId="s26">
    <w:name w:val="s26"/>
    <w:basedOn w:val="a0"/>
    <w:rsid w:val="002C1A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576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14</Pages>
  <Words>4100</Words>
  <Characters>23371</Characters>
  <Application>Microsoft Office Word</Application>
  <DocSecurity>0</DocSecurity>
  <Lines>194</Lines>
  <Paragraphs>54</Paragraphs>
  <ScaleCrop>false</ScaleCrop>
  <Company/>
  <LinksUpToDate>false</LinksUpToDate>
  <CharactersWithSpaces>27417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2022-01-30T05:34:00Z</dcterms:created>
  <dcterms:modified xsi:type="dcterms:W3CDTF">2022-01-30T05:37:00Z</dcterms:modified>
</cp:coreProperties>
</file>