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C4799" w:rsidRDefault="00EC4799" w:rsidP="00EC4799">
      <w:pPr>
        <w:pStyle w:val="20"/>
        <w:keepNext/>
        <w:keepLines/>
        <w:shd w:val="clear" w:color="auto" w:fill="auto"/>
        <w:spacing w:before="0" w:after="291" w:line="264" w:lineRule="exact"/>
        <w:ind w:left="20"/>
        <w:jc w:val="center"/>
      </w:pPr>
      <w:bookmarkStart w:id="0" w:name="bookmark7"/>
      <w:bookmarkStart w:id="1" w:name="_GoBack"/>
      <w:r>
        <w:rPr>
          <w:color w:val="000000"/>
          <w:lang w:eastAsia="ru-RU" w:bidi="ru-RU"/>
        </w:rPr>
        <w:t xml:space="preserve">РОЛЬ ТА </w:t>
      </w:r>
      <w:r>
        <w:rPr>
          <w:color w:val="000000"/>
          <w:lang w:val="uk-UA" w:eastAsia="uk-UA" w:bidi="uk-UA"/>
        </w:rPr>
        <w:t>ВПЛИВ НОМОКАНОНІВ ВІЗАНТІЇ</w:t>
      </w:r>
      <w:r>
        <w:rPr>
          <w:color w:val="000000"/>
          <w:lang w:val="uk-UA" w:eastAsia="uk-UA" w:bidi="uk-UA"/>
        </w:rPr>
        <w:br/>
        <w:t>НА СТАНОВЛЕННЯ СУЧАСНОЇ ПРАВОВОЇ СИСТЕМИ УКРАЇНИ</w:t>
      </w:r>
      <w:bookmarkEnd w:id="0"/>
    </w:p>
    <w:bookmarkEnd w:id="1"/>
    <w:p w:rsidR="00EC4799" w:rsidRDefault="00EC4799" w:rsidP="00EC4799">
      <w:pPr>
        <w:pStyle w:val="110"/>
        <w:shd w:val="clear" w:color="auto" w:fill="auto"/>
        <w:spacing w:before="0"/>
        <w:ind w:left="20"/>
      </w:pPr>
      <w:proofErr w:type="spellStart"/>
      <w:r>
        <w:rPr>
          <w:color w:val="000000"/>
          <w:lang w:eastAsia="ru-RU" w:bidi="ru-RU"/>
        </w:rPr>
        <w:t>Арабаджи</w:t>
      </w:r>
      <w:proofErr w:type="spellEnd"/>
      <w:r>
        <w:rPr>
          <w:color w:val="000000"/>
          <w:lang w:eastAsia="ru-RU" w:bidi="ru-RU"/>
        </w:rPr>
        <w:t xml:space="preserve"> </w:t>
      </w:r>
      <w:r>
        <w:rPr>
          <w:color w:val="000000"/>
          <w:lang w:val="uk-UA" w:eastAsia="uk-UA" w:bidi="uk-UA"/>
        </w:rPr>
        <w:t>Н. Б.</w:t>
      </w:r>
    </w:p>
    <w:p w:rsidR="00EC4799" w:rsidRDefault="00EC4799" w:rsidP="00EC4799">
      <w:pPr>
        <w:pStyle w:val="120"/>
        <w:shd w:val="clear" w:color="auto" w:fill="auto"/>
        <w:ind w:left="20"/>
      </w:pPr>
      <w:r>
        <w:rPr>
          <w:color w:val="000000"/>
          <w:lang w:val="uk-UA" w:eastAsia="uk-UA" w:bidi="uk-UA"/>
        </w:rPr>
        <w:t>кандидат юридичних наук,</w:t>
      </w:r>
      <w:r>
        <w:rPr>
          <w:color w:val="000000"/>
          <w:lang w:val="uk-UA" w:eastAsia="uk-UA" w:bidi="uk-UA"/>
        </w:rPr>
        <w:br/>
        <w:t>доцент кафедри державно-правових дисциплін</w:t>
      </w:r>
      <w:r>
        <w:rPr>
          <w:color w:val="000000"/>
          <w:lang w:val="uk-UA" w:eastAsia="uk-UA" w:bidi="uk-UA"/>
        </w:rPr>
        <w:br/>
        <w:t>Міжнародний гуманітарний університет</w:t>
      </w:r>
    </w:p>
    <w:p w:rsidR="00EC4799" w:rsidRDefault="00EC4799" w:rsidP="00EC4799">
      <w:pPr>
        <w:pStyle w:val="110"/>
        <w:shd w:val="clear" w:color="auto" w:fill="auto"/>
        <w:spacing w:before="0" w:line="210" w:lineRule="exact"/>
        <w:ind w:left="20"/>
      </w:pPr>
      <w:proofErr w:type="spellStart"/>
      <w:r>
        <w:rPr>
          <w:color w:val="000000"/>
          <w:lang w:val="uk-UA" w:eastAsia="uk-UA" w:bidi="uk-UA"/>
        </w:rPr>
        <w:t>Луканцова</w:t>
      </w:r>
      <w:proofErr w:type="spellEnd"/>
      <w:r>
        <w:rPr>
          <w:color w:val="000000"/>
          <w:lang w:val="uk-UA" w:eastAsia="uk-UA" w:bidi="uk-UA"/>
        </w:rPr>
        <w:t xml:space="preserve"> Т. Л.</w:t>
      </w:r>
    </w:p>
    <w:p w:rsidR="00EC4799" w:rsidRDefault="00EC4799" w:rsidP="00EC4799">
      <w:pPr>
        <w:pStyle w:val="120"/>
        <w:shd w:val="clear" w:color="auto" w:fill="auto"/>
        <w:spacing w:after="264" w:line="230" w:lineRule="exact"/>
        <w:ind w:left="20"/>
      </w:pPr>
      <w:r>
        <w:rPr>
          <w:color w:val="000000"/>
          <w:lang w:val="uk-UA" w:eastAsia="uk-UA" w:bidi="uk-UA"/>
        </w:rPr>
        <w:t>магістр II курсу, спеціальність Право,</w:t>
      </w:r>
      <w:r>
        <w:rPr>
          <w:color w:val="000000"/>
          <w:lang w:val="uk-UA" w:eastAsia="uk-UA" w:bidi="uk-UA"/>
        </w:rPr>
        <w:br/>
        <w:t>факультет права та економіки</w:t>
      </w:r>
      <w:r>
        <w:rPr>
          <w:color w:val="000000"/>
          <w:lang w:val="uk-UA" w:eastAsia="uk-UA" w:bidi="uk-UA"/>
        </w:rPr>
        <w:br/>
        <w:t>Міжнародний гуманітарний університет</w:t>
      </w:r>
      <w:r>
        <w:rPr>
          <w:color w:val="000000"/>
          <w:lang w:val="uk-UA" w:eastAsia="uk-UA" w:bidi="uk-UA"/>
        </w:rPr>
        <w:br/>
        <w:t>м. Одеса, Україна</w:t>
      </w:r>
    </w:p>
    <w:p w:rsidR="00EC4799" w:rsidRDefault="00EC4799" w:rsidP="00EC4799">
      <w:pPr>
        <w:pStyle w:val="22"/>
        <w:shd w:val="clear" w:color="auto" w:fill="auto"/>
        <w:spacing w:line="226" w:lineRule="exact"/>
        <w:ind w:firstLine="320"/>
      </w:pPr>
      <w:r>
        <w:rPr>
          <w:color w:val="000000"/>
          <w:lang w:val="uk-UA" w:eastAsia="uk-UA" w:bidi="uk-UA"/>
        </w:rPr>
        <w:t>Становлення правової системи сучасної України є надзвичайно актуальним питанням, оскільки основи церковного права сягають ще часів формування християнства. Так, після прийняття християнства 988 р. правовий лад Київської Русі зазнає деяких змін, оскільки поява візантійських нормативно-правових актів спонукає до оперативного функціонування новоутвореної церковної спільноти. Тобто на території сучасної України, починають діяти нові збірки законів, які можна розділити на три групи:</w:t>
      </w:r>
    </w:p>
    <w:p w:rsidR="00EC4799" w:rsidRDefault="00EC4799" w:rsidP="00EC4799">
      <w:pPr>
        <w:pStyle w:val="22"/>
        <w:numPr>
          <w:ilvl w:val="0"/>
          <w:numId w:val="1"/>
        </w:numPr>
        <w:shd w:val="clear" w:color="auto" w:fill="auto"/>
        <w:tabs>
          <w:tab w:val="left" w:pos="561"/>
        </w:tabs>
        <w:spacing w:line="226" w:lineRule="exact"/>
        <w:ind w:firstLine="320"/>
      </w:pPr>
      <w:r>
        <w:rPr>
          <w:color w:val="000000"/>
          <w:lang w:val="uk-UA" w:eastAsia="uk-UA" w:bidi="uk-UA"/>
        </w:rPr>
        <w:t>канонічна група (та, в якій містяться лише церковні закони);</w:t>
      </w:r>
    </w:p>
    <w:p w:rsidR="00EC4799" w:rsidRDefault="00EC4799" w:rsidP="00EC4799">
      <w:pPr>
        <w:pStyle w:val="22"/>
        <w:numPr>
          <w:ilvl w:val="0"/>
          <w:numId w:val="1"/>
        </w:numPr>
        <w:shd w:val="clear" w:color="auto" w:fill="auto"/>
        <w:tabs>
          <w:tab w:val="left" w:pos="524"/>
        </w:tabs>
        <w:spacing w:line="226" w:lineRule="exact"/>
        <w:ind w:firstLine="320"/>
      </w:pPr>
      <w:r>
        <w:rPr>
          <w:color w:val="000000"/>
          <w:lang w:val="uk-UA" w:eastAsia="uk-UA" w:bidi="uk-UA"/>
        </w:rPr>
        <w:t xml:space="preserve">громадянська група (та, в якій містяться закони щодо регулювання церковних </w:t>
      </w:r>
      <w:r>
        <w:rPr>
          <w:color w:val="000000"/>
          <w:lang w:eastAsia="ru-RU" w:bidi="ru-RU"/>
        </w:rPr>
        <w:t>справ);</w:t>
      </w:r>
    </w:p>
    <w:p w:rsidR="00EC4799" w:rsidRDefault="00EC4799" w:rsidP="00EC4799">
      <w:pPr>
        <w:pStyle w:val="22"/>
        <w:numPr>
          <w:ilvl w:val="0"/>
          <w:numId w:val="1"/>
        </w:numPr>
        <w:shd w:val="clear" w:color="auto" w:fill="auto"/>
        <w:tabs>
          <w:tab w:val="left" w:pos="561"/>
        </w:tabs>
        <w:spacing w:line="226" w:lineRule="exact"/>
        <w:ind w:firstLine="320"/>
      </w:pPr>
      <w:r>
        <w:rPr>
          <w:color w:val="000000"/>
          <w:lang w:val="uk-UA" w:eastAsia="uk-UA" w:bidi="uk-UA"/>
        </w:rPr>
        <w:t>номоканони (та збірка, що містить закони обидвох типів).</w:t>
      </w:r>
    </w:p>
    <w:p w:rsidR="00EC4799" w:rsidRDefault="00EC4799" w:rsidP="00EC4799">
      <w:pPr>
        <w:pStyle w:val="22"/>
        <w:shd w:val="clear" w:color="auto" w:fill="auto"/>
        <w:spacing w:line="226" w:lineRule="exact"/>
        <w:ind w:firstLine="320"/>
      </w:pPr>
      <w:r>
        <w:rPr>
          <w:color w:val="000000"/>
          <w:lang w:val="uk-UA" w:eastAsia="uk-UA" w:bidi="uk-UA"/>
        </w:rPr>
        <w:t>Саме розгляду останньої групи приділимо більше уваги.</w:t>
      </w:r>
    </w:p>
    <w:p w:rsidR="00EC4799" w:rsidRDefault="00EC4799" w:rsidP="00EC4799">
      <w:pPr>
        <w:pStyle w:val="22"/>
        <w:shd w:val="clear" w:color="auto" w:fill="auto"/>
        <w:spacing w:line="226" w:lineRule="exact"/>
        <w:ind w:firstLine="320"/>
      </w:pPr>
      <w:r>
        <w:rPr>
          <w:color w:val="000000"/>
          <w:lang w:val="uk-UA" w:eastAsia="uk-UA" w:bidi="uk-UA"/>
        </w:rPr>
        <w:t xml:space="preserve">За часів періоду середньовіччя, «Номоканон» був не тільки джерелом візантійського права, але й </w:t>
      </w:r>
      <w:r>
        <w:rPr>
          <w:color w:val="000000"/>
          <w:lang w:eastAsia="ru-RU" w:bidi="ru-RU"/>
        </w:rPr>
        <w:t xml:space="preserve">законом </w:t>
      </w:r>
      <w:r>
        <w:rPr>
          <w:color w:val="000000"/>
          <w:lang w:val="uk-UA" w:eastAsia="uk-UA" w:bidi="uk-UA"/>
        </w:rPr>
        <w:t xml:space="preserve">для болгар й сербів, та містив окремі норми світського церковного права, що безпосередньо вплинули на розвиток Східного слов’янства [1, 27]. Номоканони видавалися синодами, вселенськими соборами або ж окремими єпископами. До їх складу входили правила Апостолів, Отців церкви, постанови Вселенських соборів, численні закони візантійських імператорів, предметом яких були церковні справи. Усі вони носили загальну назву - канони, та слугували позначенням норм, згідно з якими поведінка </w:t>
      </w:r>
      <w:r>
        <w:rPr>
          <w:color w:val="000000"/>
          <w:lang w:eastAsia="ru-RU" w:bidi="ru-RU"/>
        </w:rPr>
        <w:t xml:space="preserve">людей </w:t>
      </w:r>
      <w:r>
        <w:rPr>
          <w:color w:val="000000"/>
          <w:lang w:val="uk-UA" w:eastAsia="uk-UA" w:bidi="uk-UA"/>
        </w:rPr>
        <w:t>визначалася правильною або ж неправильною.</w:t>
      </w:r>
    </w:p>
    <w:p w:rsidR="00EC4799" w:rsidRDefault="00EC4799" w:rsidP="00EC4799">
      <w:pPr>
        <w:pStyle w:val="22"/>
        <w:shd w:val="clear" w:color="auto" w:fill="auto"/>
        <w:spacing w:line="226" w:lineRule="exact"/>
        <w:ind w:firstLine="320"/>
      </w:pPr>
      <w:r>
        <w:rPr>
          <w:color w:val="000000"/>
          <w:lang w:val="uk-UA" w:eastAsia="uk-UA" w:bidi="uk-UA"/>
        </w:rPr>
        <w:t xml:space="preserve">Щодо території сучасної України, то «Номоканон» був відомий під назвою </w:t>
      </w:r>
      <w:r>
        <w:rPr>
          <w:color w:val="000000"/>
          <w:lang w:eastAsia="ru-RU" w:bidi="ru-RU"/>
        </w:rPr>
        <w:t xml:space="preserve">«Кормчих </w:t>
      </w:r>
      <w:r>
        <w:rPr>
          <w:color w:val="000000"/>
          <w:lang w:val="uk-UA" w:eastAsia="uk-UA" w:bidi="uk-UA"/>
        </w:rPr>
        <w:t xml:space="preserve">книг». Він представляв собою юридичну збірку, що містила церковні </w:t>
      </w:r>
      <w:r>
        <w:rPr>
          <w:color w:val="000000"/>
          <w:lang w:eastAsia="ru-RU" w:bidi="ru-RU"/>
        </w:rPr>
        <w:t xml:space="preserve">правила, </w:t>
      </w:r>
      <w:r>
        <w:rPr>
          <w:color w:val="000000"/>
          <w:lang w:val="uk-UA" w:eastAsia="uk-UA" w:bidi="uk-UA"/>
        </w:rPr>
        <w:t xml:space="preserve">а також настанови римських і візантійських імператорів про церкву. Сама назва «Кормча книга» походить від старослов’янського слова «кормило», що означає «руль». Саме під </w:t>
      </w:r>
      <w:r>
        <w:rPr>
          <w:color w:val="000000"/>
          <w:lang w:eastAsia="ru-RU" w:bidi="ru-RU"/>
        </w:rPr>
        <w:t xml:space="preserve">такою </w:t>
      </w:r>
      <w:r>
        <w:rPr>
          <w:color w:val="000000"/>
          <w:lang w:val="uk-UA" w:eastAsia="uk-UA" w:bidi="uk-UA"/>
        </w:rPr>
        <w:t>назвою він був представлений мирянам як «збірник істинних правил життя церкви, яка є ковчегом, що пливе серед бурхливих хвиль житейського моря» [2]</w:t>
      </w:r>
    </w:p>
    <w:p w:rsidR="00EC4799" w:rsidRDefault="00EC4799" w:rsidP="00EC4799">
      <w:pPr>
        <w:pStyle w:val="22"/>
        <w:shd w:val="clear" w:color="auto" w:fill="auto"/>
        <w:spacing w:line="226" w:lineRule="exact"/>
        <w:ind w:firstLine="320"/>
      </w:pPr>
      <w:r>
        <w:rPr>
          <w:color w:val="000000"/>
          <w:lang w:val="uk-UA" w:eastAsia="uk-UA" w:bidi="uk-UA"/>
        </w:rPr>
        <w:t xml:space="preserve">Чинність </w:t>
      </w:r>
      <w:r w:rsidRPr="00EB4AC2">
        <w:rPr>
          <w:color w:val="000000"/>
          <w:lang w:val="uk-UA" w:eastAsia="ru-RU" w:bidi="ru-RU"/>
        </w:rPr>
        <w:t xml:space="preserve">«Кормчих </w:t>
      </w:r>
      <w:r>
        <w:rPr>
          <w:color w:val="000000"/>
          <w:lang w:val="uk-UA" w:eastAsia="uk-UA" w:bidi="uk-UA"/>
        </w:rPr>
        <w:t>книг» була засвідчена Церковним уставом Володимира: «Відкрив грецький Номоканон і побачив у ньому, що не можна церковних судів і спорів князю судити, ні боярам його, ні намісникам його» [3, с. 126].</w:t>
      </w:r>
    </w:p>
    <w:p w:rsidR="00EC4799" w:rsidRPr="00EC4799" w:rsidRDefault="00EC4799" w:rsidP="00EC4799">
      <w:pPr>
        <w:pStyle w:val="22"/>
        <w:shd w:val="clear" w:color="auto" w:fill="auto"/>
        <w:spacing w:line="226" w:lineRule="exact"/>
        <w:ind w:firstLine="320"/>
        <w:rPr>
          <w:lang w:val="uk-UA"/>
        </w:rPr>
      </w:pPr>
      <w:r>
        <w:rPr>
          <w:color w:val="000000"/>
          <w:lang w:val="uk-UA" w:eastAsia="uk-UA" w:bidi="uk-UA"/>
        </w:rPr>
        <w:t xml:space="preserve">В працях Г. </w:t>
      </w:r>
      <w:proofErr w:type="spellStart"/>
      <w:r>
        <w:rPr>
          <w:color w:val="000000"/>
          <w:lang w:val="uk-UA" w:eastAsia="uk-UA" w:bidi="uk-UA"/>
        </w:rPr>
        <w:t>Розенкампф</w:t>
      </w:r>
      <w:proofErr w:type="spellEnd"/>
      <w:r>
        <w:rPr>
          <w:color w:val="000000"/>
          <w:lang w:val="uk-UA" w:eastAsia="uk-UA" w:bidi="uk-UA"/>
        </w:rPr>
        <w:t xml:space="preserve"> [4] та П. Нечаєва можна побачити, що грецький Номоканон був завезений на Русь одразу після Великого Хрещення, проведеного князем Володимиром </w:t>
      </w:r>
      <w:r>
        <w:rPr>
          <w:color w:val="000000"/>
          <w:lang w:eastAsia="ru-RU" w:bidi="ru-RU"/>
        </w:rPr>
        <w:t xml:space="preserve">Святославовичем, </w:t>
      </w:r>
      <w:r>
        <w:rPr>
          <w:color w:val="000000"/>
          <w:lang w:val="uk-UA" w:eastAsia="uk-UA" w:bidi="uk-UA"/>
        </w:rPr>
        <w:t xml:space="preserve">та став основним джерелом правових норм, що регламентували діяльність Християнської Церкви, що поступово розповсюджувала свою діяльність у Київській державі [5]. Ним послуговувалися Київські митрополити і єпископи, оскільки вони були </w:t>
      </w:r>
      <w:r w:rsidRPr="00EB4AC2">
        <w:rPr>
          <w:color w:val="000000"/>
          <w:lang w:val="uk-UA" w:eastAsia="ru-RU" w:bidi="ru-RU"/>
        </w:rPr>
        <w:t xml:space="preserve">греками </w:t>
      </w:r>
      <w:r>
        <w:rPr>
          <w:color w:val="000000"/>
          <w:lang w:val="uk-UA" w:eastAsia="uk-UA" w:bidi="uk-UA"/>
        </w:rPr>
        <w:t>за етнічним походженням, вільно володіли еллінською писемністю та могли використовувати приписи Номоканона для щоденної просвітницької роботи.</w:t>
      </w:r>
    </w:p>
    <w:p w:rsidR="00EC4799" w:rsidRDefault="00EC4799" w:rsidP="00EC4799">
      <w:pPr>
        <w:pStyle w:val="22"/>
        <w:shd w:val="clear" w:color="auto" w:fill="auto"/>
        <w:spacing w:line="226" w:lineRule="exact"/>
        <w:ind w:firstLine="320"/>
      </w:pPr>
      <w:proofErr w:type="spellStart"/>
      <w:r>
        <w:rPr>
          <w:color w:val="000000"/>
          <w:lang w:val="uk-UA" w:eastAsia="uk-UA" w:bidi="uk-UA"/>
        </w:rPr>
        <w:t>Візантійсько</w:t>
      </w:r>
      <w:proofErr w:type="spellEnd"/>
      <w:r>
        <w:rPr>
          <w:color w:val="000000"/>
          <w:lang w:val="uk-UA" w:eastAsia="uk-UA" w:bidi="uk-UA"/>
        </w:rPr>
        <w:t xml:space="preserve">-римське церковне законодавство тих часів само по собі мало багато </w:t>
      </w:r>
      <w:proofErr w:type="spellStart"/>
      <w:r>
        <w:rPr>
          <w:color w:val="000000"/>
          <w:lang w:val="uk-UA" w:eastAsia="uk-UA" w:bidi="uk-UA"/>
        </w:rPr>
        <w:t>складностей</w:t>
      </w:r>
      <w:proofErr w:type="spellEnd"/>
      <w:r>
        <w:rPr>
          <w:color w:val="000000"/>
          <w:lang w:val="uk-UA" w:eastAsia="uk-UA" w:bidi="uk-UA"/>
        </w:rPr>
        <w:t xml:space="preserve">, пов’язаних з відсутністю одного законодавчого </w:t>
      </w:r>
      <w:r>
        <w:rPr>
          <w:color w:val="000000"/>
          <w:lang w:eastAsia="ru-RU" w:bidi="ru-RU"/>
        </w:rPr>
        <w:t xml:space="preserve">документу, </w:t>
      </w:r>
      <w:r>
        <w:rPr>
          <w:color w:val="000000"/>
          <w:lang w:val="uk-UA" w:eastAsia="uk-UA" w:bidi="uk-UA"/>
        </w:rPr>
        <w:t xml:space="preserve">за правовими нормами якого мала існувати Церква та регламентувати свої зовнішні і внутрішні відносини. Правові норми церковного права мали певну кількість протиріч та </w:t>
      </w:r>
      <w:proofErr w:type="spellStart"/>
      <w:r>
        <w:rPr>
          <w:color w:val="000000"/>
          <w:lang w:val="uk-UA" w:eastAsia="uk-UA" w:bidi="uk-UA"/>
        </w:rPr>
        <w:t>неузгодженостей</w:t>
      </w:r>
      <w:proofErr w:type="spellEnd"/>
      <w:r>
        <w:rPr>
          <w:color w:val="000000"/>
          <w:lang w:val="uk-UA" w:eastAsia="uk-UA" w:bidi="uk-UA"/>
        </w:rPr>
        <w:t xml:space="preserve"> через надто розгалужену адміністративну систему Церкви. Вселенські собори, зібравши представників та авторитетних діячів Християнської Церкви частково вирішили цю </w:t>
      </w:r>
      <w:r>
        <w:rPr>
          <w:color w:val="000000"/>
          <w:lang w:eastAsia="ru-RU" w:bidi="ru-RU"/>
        </w:rPr>
        <w:t xml:space="preserve">проблему, </w:t>
      </w:r>
      <w:r>
        <w:rPr>
          <w:color w:val="000000"/>
          <w:lang w:val="uk-UA" w:eastAsia="uk-UA" w:bidi="uk-UA"/>
        </w:rPr>
        <w:t xml:space="preserve">однак, коли додалися канони великої кількості </w:t>
      </w:r>
      <w:proofErr w:type="spellStart"/>
      <w:r>
        <w:rPr>
          <w:color w:val="000000"/>
          <w:lang w:val="uk-UA" w:eastAsia="uk-UA" w:bidi="uk-UA"/>
        </w:rPr>
        <w:t>помістних</w:t>
      </w:r>
      <w:proofErr w:type="spellEnd"/>
      <w:r>
        <w:rPr>
          <w:color w:val="000000"/>
          <w:lang w:val="uk-UA" w:eastAsia="uk-UA" w:bidi="uk-UA"/>
        </w:rPr>
        <w:t xml:space="preserve"> соборів та праці і положення Отців Церкви, то юридична сили прийнятих правових норм різного авторства перетворилася на джерело суперечностей.</w:t>
      </w:r>
    </w:p>
    <w:p w:rsidR="00EC4799" w:rsidRDefault="00EC4799" w:rsidP="00EC4799">
      <w:pPr>
        <w:pStyle w:val="22"/>
        <w:shd w:val="clear" w:color="auto" w:fill="auto"/>
        <w:spacing w:line="226" w:lineRule="exact"/>
        <w:ind w:firstLine="320"/>
      </w:pPr>
      <w:r>
        <w:rPr>
          <w:color w:val="000000"/>
          <w:lang w:val="uk-UA" w:eastAsia="uk-UA" w:bidi="uk-UA"/>
        </w:rPr>
        <w:t>Тому на початку VII ст. у Константинополі на основі «Синтагми» було створено «Номоканон XIV титулів», який був розповсюджений як у Візантійський імперії так і за її кордонами, а його редакції були основним джерелом змісту переважної більшості Кормчих книг Київської Русі.</w:t>
      </w:r>
    </w:p>
    <w:p w:rsidR="00EC4799" w:rsidRDefault="00EC4799" w:rsidP="00EC4799">
      <w:pPr>
        <w:pStyle w:val="22"/>
        <w:shd w:val="clear" w:color="auto" w:fill="auto"/>
        <w:spacing w:line="226" w:lineRule="exact"/>
        <w:ind w:firstLine="320"/>
      </w:pPr>
      <w:r>
        <w:rPr>
          <w:color w:val="000000"/>
          <w:lang w:val="uk-UA" w:eastAsia="uk-UA" w:bidi="uk-UA"/>
        </w:rPr>
        <w:t xml:space="preserve">Сам </w:t>
      </w:r>
      <w:r>
        <w:rPr>
          <w:color w:val="000000"/>
          <w:lang w:eastAsia="ru-RU" w:bidi="ru-RU"/>
        </w:rPr>
        <w:t xml:space="preserve">документ </w:t>
      </w:r>
      <w:r>
        <w:rPr>
          <w:color w:val="000000"/>
          <w:lang w:val="uk-UA" w:eastAsia="uk-UA" w:bidi="uk-UA"/>
        </w:rPr>
        <w:t>складається із передмови та двох частин. Перша частина має назву «Номоканон» і містить чотирнадцять розділів, які розбиті на глави. Стосовно кожного питання наведено як церковні канони, так і світські закони. Друга частина «Синтагма» складена з власне церковних канонів у хронологічному порядку. Другу редакцію «Номоканона», котра дійшла до нас у декількох ізводах, було скомпоновано у 883 р. Цей текст можна вважати вершиною і завершенням формування канонічного права Візантії, бо жоден із церковних законів після цього не був визнаний як канон [6, с. 46]. На соборі у Константинополі 920 р. «Номоканон у 14 титулах» було затверджено як загальнообов’язковий для православної церкви [7, с. 138].</w:t>
      </w:r>
    </w:p>
    <w:p w:rsidR="00EC4799" w:rsidRDefault="00EC4799" w:rsidP="00EC4799">
      <w:pPr>
        <w:pStyle w:val="22"/>
        <w:shd w:val="clear" w:color="auto" w:fill="auto"/>
        <w:spacing w:line="226" w:lineRule="exact"/>
        <w:ind w:firstLine="320"/>
      </w:pPr>
      <w:r>
        <w:rPr>
          <w:color w:val="000000"/>
          <w:lang w:val="uk-UA" w:eastAsia="uk-UA" w:bidi="uk-UA"/>
        </w:rPr>
        <w:t>Номоканон та Синтагма завжди містяться в одній збірці, тому як історично, в візантійських та руських джерелах, так і в науковій літературі усю збірку називають інколи Номоканоном з XIV титулів, інколи Синтагмою з XIV титулів, хоча для російської традиції більш поширеною є назва Номоканон.</w:t>
      </w:r>
    </w:p>
    <w:p w:rsidR="00EC4799" w:rsidRPr="00EC4799" w:rsidRDefault="00EC4799" w:rsidP="00EC4799">
      <w:pPr>
        <w:pStyle w:val="22"/>
        <w:shd w:val="clear" w:color="auto" w:fill="auto"/>
        <w:spacing w:line="226" w:lineRule="exact"/>
        <w:ind w:firstLine="320"/>
        <w:rPr>
          <w:lang w:val="uk-UA"/>
        </w:rPr>
      </w:pPr>
      <w:r>
        <w:rPr>
          <w:color w:val="000000"/>
          <w:lang w:val="uk-UA" w:eastAsia="uk-UA" w:bidi="uk-UA"/>
        </w:rPr>
        <w:t xml:space="preserve">У </w:t>
      </w:r>
      <w:r w:rsidRPr="00EB4AC2">
        <w:rPr>
          <w:color w:val="000000"/>
          <w:lang w:val="uk-UA" w:eastAsia="ru-RU" w:bidi="ru-RU"/>
        </w:rPr>
        <w:t xml:space="preserve">Кормчих </w:t>
      </w:r>
      <w:r>
        <w:rPr>
          <w:color w:val="000000"/>
          <w:lang w:val="uk-UA" w:eastAsia="uk-UA" w:bidi="uk-UA"/>
        </w:rPr>
        <w:t xml:space="preserve">книгах зустрічаються як Номоканони без тлумачень, як, наприклад, у Кормчій найстарішої </w:t>
      </w:r>
      <w:proofErr w:type="spellStart"/>
      <w:r>
        <w:rPr>
          <w:color w:val="000000"/>
          <w:lang w:val="uk-UA" w:eastAsia="uk-UA" w:bidi="uk-UA"/>
        </w:rPr>
        <w:lastRenderedPageBreak/>
        <w:t>Єфремівської</w:t>
      </w:r>
      <w:proofErr w:type="spellEnd"/>
      <w:r>
        <w:rPr>
          <w:color w:val="000000"/>
          <w:lang w:val="uk-UA" w:eastAsia="uk-UA" w:bidi="uk-UA"/>
        </w:rPr>
        <w:t xml:space="preserve"> редакції, так і Номоканони з тлумаченнями кожного трьох юристів, але, звичайно, у більш пізніх списках та редакціях. Джерелом правових норм </w:t>
      </w:r>
      <w:r>
        <w:rPr>
          <w:color w:val="000000"/>
          <w:lang w:eastAsia="ru-RU" w:bidi="ru-RU"/>
        </w:rPr>
        <w:t xml:space="preserve">Кормчих </w:t>
      </w:r>
      <w:r>
        <w:rPr>
          <w:color w:val="000000"/>
          <w:lang w:val="uk-UA" w:eastAsia="uk-UA" w:bidi="uk-UA"/>
        </w:rPr>
        <w:t>книг стало одне з синодальних визначень - окружне послання Геннадія, патріарха Константинопольського. Після 879 р. одним з джерел церковного права стали рішення зборів єпископів під керівництвом патріарха стосовно питань внутрішнього благоустрою та управління, предметів цивільного та сімейного права та ін. Такі рішення отримували назву синодальних визначень, думок, соборних чи окружних послань (</w:t>
      </w:r>
      <w:proofErr w:type="spellStart"/>
      <w:r>
        <w:rPr>
          <w:color w:val="000000"/>
          <w:lang w:val="uk-UA" w:eastAsia="uk-UA" w:bidi="uk-UA"/>
        </w:rPr>
        <w:t>єпісто^п</w:t>
      </w:r>
      <w:proofErr w:type="spellEnd"/>
      <w:r>
        <w:rPr>
          <w:color w:val="000000"/>
          <w:lang w:val="uk-UA" w:eastAsia="uk-UA" w:bidi="uk-UA"/>
        </w:rPr>
        <w:t xml:space="preserve"> </w:t>
      </w:r>
      <w:proofErr w:type="spellStart"/>
      <w:r>
        <w:rPr>
          <w:color w:val="000000"/>
          <w:lang w:val="uk-UA" w:eastAsia="uk-UA" w:bidi="uk-UA"/>
        </w:rPr>
        <w:t>єукок^ю</w:t>
      </w:r>
      <w:proofErr w:type="spellEnd"/>
      <w:r>
        <w:rPr>
          <w:color w:val="000000"/>
          <w:lang w:val="uk-UA" w:eastAsia="uk-UA" w:bidi="uk-UA"/>
        </w:rPr>
        <w:t xml:space="preserve">^), одним з яких і стало окружне послання патріарха Геннадія, що увійшло у зміст </w:t>
      </w:r>
      <w:r w:rsidRPr="00EB4AC2">
        <w:rPr>
          <w:color w:val="000000"/>
          <w:lang w:val="uk-UA" w:eastAsia="ru-RU" w:bidi="ru-RU"/>
        </w:rPr>
        <w:t xml:space="preserve">Кормчих </w:t>
      </w:r>
      <w:r>
        <w:rPr>
          <w:color w:val="000000"/>
          <w:lang w:val="uk-UA" w:eastAsia="uk-UA" w:bidi="uk-UA"/>
        </w:rPr>
        <w:t xml:space="preserve">і, зокрема, </w:t>
      </w:r>
      <w:proofErr w:type="spellStart"/>
      <w:r>
        <w:rPr>
          <w:color w:val="000000"/>
          <w:lang w:val="uk-UA" w:eastAsia="uk-UA" w:bidi="uk-UA"/>
        </w:rPr>
        <w:t>Єфремівської</w:t>
      </w:r>
      <w:proofErr w:type="spellEnd"/>
      <w:r>
        <w:rPr>
          <w:color w:val="000000"/>
          <w:lang w:val="uk-UA" w:eastAsia="uk-UA" w:bidi="uk-UA"/>
        </w:rPr>
        <w:t xml:space="preserve"> редакції.</w:t>
      </w:r>
    </w:p>
    <w:p w:rsidR="00EC4799" w:rsidRDefault="00EC4799" w:rsidP="00EC4799">
      <w:pPr>
        <w:pStyle w:val="22"/>
        <w:shd w:val="clear" w:color="auto" w:fill="auto"/>
        <w:spacing w:line="226" w:lineRule="exact"/>
        <w:ind w:firstLine="320"/>
      </w:pPr>
      <w:proofErr w:type="spellStart"/>
      <w:r>
        <w:rPr>
          <w:color w:val="000000"/>
          <w:lang w:val="uk-UA" w:eastAsia="uk-UA" w:bidi="uk-UA"/>
        </w:rPr>
        <w:t>Єфремівська</w:t>
      </w:r>
      <w:proofErr w:type="spellEnd"/>
      <w:r>
        <w:rPr>
          <w:color w:val="000000"/>
          <w:lang w:val="uk-UA" w:eastAsia="uk-UA" w:bidi="uk-UA"/>
        </w:rPr>
        <w:t xml:space="preserve"> Кормча є чи не найстарішою з відомих збірок. Написана в кінці ХІ - початку ХІІ ст. поєднує в собі низку візантійських джерел. Серед них Номоканон Фотія, окремі частини Родоського морського закону, Землеробського закону імператора Юстиніана, його новел та Еклоги і </w:t>
      </w:r>
      <w:proofErr w:type="spellStart"/>
      <w:r>
        <w:rPr>
          <w:color w:val="000000"/>
          <w:lang w:val="uk-UA" w:eastAsia="uk-UA" w:bidi="uk-UA"/>
        </w:rPr>
        <w:t>Прохірону</w:t>
      </w:r>
      <w:proofErr w:type="spellEnd"/>
      <w:r>
        <w:rPr>
          <w:color w:val="000000"/>
          <w:lang w:val="uk-UA" w:eastAsia="uk-UA" w:bidi="uk-UA"/>
        </w:rPr>
        <w:t>.</w:t>
      </w:r>
    </w:p>
    <w:p w:rsidR="00EC4799" w:rsidRDefault="00EC4799" w:rsidP="00EC4799">
      <w:pPr>
        <w:pStyle w:val="22"/>
        <w:shd w:val="clear" w:color="auto" w:fill="auto"/>
        <w:spacing w:line="226" w:lineRule="exact"/>
        <w:ind w:firstLine="320"/>
      </w:pPr>
      <w:r>
        <w:rPr>
          <w:color w:val="000000"/>
          <w:lang w:val="uk-UA" w:eastAsia="uk-UA" w:bidi="uk-UA"/>
        </w:rPr>
        <w:t xml:space="preserve">Деякі норми </w:t>
      </w:r>
      <w:proofErr w:type="spellStart"/>
      <w:r>
        <w:rPr>
          <w:color w:val="000000"/>
          <w:lang w:val="uk-UA" w:eastAsia="uk-UA" w:bidi="uk-UA"/>
        </w:rPr>
        <w:t>Єфремівської</w:t>
      </w:r>
      <w:proofErr w:type="spellEnd"/>
      <w:r>
        <w:rPr>
          <w:color w:val="000000"/>
          <w:lang w:val="uk-UA" w:eastAsia="uk-UA" w:bidi="uk-UA"/>
        </w:rPr>
        <w:t xml:space="preserve"> Кормчої відбились у цивільному законодавстві і регулювали певні аспекти світського життя довгий </w:t>
      </w:r>
      <w:r>
        <w:rPr>
          <w:color w:val="000000"/>
          <w:lang w:eastAsia="ru-RU" w:bidi="ru-RU"/>
        </w:rPr>
        <w:t xml:space="preserve">час, </w:t>
      </w:r>
      <w:r>
        <w:rPr>
          <w:color w:val="000000"/>
          <w:lang w:val="uk-UA" w:eastAsia="uk-UA" w:bidi="uk-UA"/>
        </w:rPr>
        <w:t xml:space="preserve">чи залишились до сьогодення. До прикладу канони цієї збірки передбачали наявність двох-трьох свідків для підтвердження певного явища, достовірність якого намагались встановити. Така практика пізніше перейшла в цивільного законодавства. Також у збірнику була норма, яка встановлювала суворі правила управління церковним майном. Відповідно до неї заборонялась передача власності над ним державним органам навіть при визнанні її збитковою. Відчуження могло здійснюватися лише для певних категорій населення, таких як землероби або </w:t>
      </w:r>
      <w:proofErr w:type="spellStart"/>
      <w:r>
        <w:rPr>
          <w:color w:val="000000"/>
          <w:lang w:val="uk-UA" w:eastAsia="uk-UA" w:bidi="uk-UA"/>
        </w:rPr>
        <w:t>клир</w:t>
      </w:r>
      <w:proofErr w:type="spellEnd"/>
      <w:r>
        <w:rPr>
          <w:color w:val="000000"/>
          <w:lang w:val="uk-UA" w:eastAsia="uk-UA" w:bidi="uk-UA"/>
        </w:rPr>
        <w:t>. Нові власники також не мали права перепродажу майна протягом 50 років від набуття. У випадку порушення цієї умови воно поверталось у власність єпископа. Ця норма захищала від зловживань церковною власністю.</w:t>
      </w:r>
    </w:p>
    <w:p w:rsidR="00EC4799" w:rsidRDefault="00EC4799" w:rsidP="00EC4799">
      <w:pPr>
        <w:pStyle w:val="22"/>
        <w:shd w:val="clear" w:color="auto" w:fill="auto"/>
        <w:spacing w:line="226" w:lineRule="exact"/>
        <w:ind w:firstLine="320"/>
      </w:pPr>
      <w:r>
        <w:rPr>
          <w:color w:val="000000"/>
          <w:lang w:val="uk-UA" w:eastAsia="uk-UA" w:bidi="uk-UA"/>
        </w:rPr>
        <w:t xml:space="preserve">Серед інших текстів із канонічного права на Русі отримав розповсюдження «Номоканон», збірка грецького походження, що виникла не раніше середини XIV ст., а на Русі стала відомою з початку XV ст. Іноді її розміщували у кінці Великого Требника як певний додаток до нього. На відміну від оригіналу, це був скорочений звід норм канонічного кодексу, що отримало відображення у самій його назві: «Номоканон, сиріч </w:t>
      </w:r>
      <w:proofErr w:type="spellStart"/>
      <w:r>
        <w:rPr>
          <w:color w:val="000000"/>
          <w:lang w:val="uk-UA" w:eastAsia="uk-UA" w:bidi="uk-UA"/>
        </w:rPr>
        <w:t>Законоправильник</w:t>
      </w:r>
      <w:proofErr w:type="spellEnd"/>
      <w:r>
        <w:rPr>
          <w:color w:val="000000"/>
          <w:lang w:val="uk-UA" w:eastAsia="uk-UA" w:bidi="uk-UA"/>
        </w:rPr>
        <w:t>, маючи Правила, за скорочення, Святих Апостолів, Василя Великого та Святих Соборів» [3, с. 88].</w:t>
      </w:r>
    </w:p>
    <w:p w:rsidR="00EC4799" w:rsidRDefault="00EC4799" w:rsidP="00EC4799">
      <w:pPr>
        <w:pStyle w:val="22"/>
        <w:shd w:val="clear" w:color="auto" w:fill="auto"/>
        <w:spacing w:line="226" w:lineRule="exact"/>
        <w:ind w:firstLine="320"/>
      </w:pPr>
      <w:r>
        <w:rPr>
          <w:color w:val="000000"/>
          <w:lang w:val="uk-UA" w:eastAsia="uk-UA" w:bidi="uk-UA"/>
        </w:rPr>
        <w:t>Перше видання цього «Номоканону» («</w:t>
      </w:r>
      <w:proofErr w:type="spellStart"/>
      <w:r>
        <w:rPr>
          <w:color w:val="000000"/>
          <w:lang w:val="uk-UA" w:eastAsia="uk-UA" w:bidi="uk-UA"/>
        </w:rPr>
        <w:t>Законоправильнику</w:t>
      </w:r>
      <w:proofErr w:type="spellEnd"/>
      <w:r>
        <w:rPr>
          <w:color w:val="000000"/>
          <w:lang w:val="uk-UA" w:eastAsia="uk-UA" w:bidi="uk-UA"/>
        </w:rPr>
        <w:t xml:space="preserve">») було надруковано у Києво-Печерській Лаврі в 1620 р. Невдовзі, 1624 р., вийшло друком друге видання, яке було здійснене З. Копистенським, а згодом, у 1629 р. - і третє, з передмовою тодішнього архімандрита П. Могили. Таке часте видання збірки свідчить про її затребуваність для церковного життя, підтвердженням чого стало перевидання останнього, могилянського видання, у Львові в 1646 р., вже з передмовою місцевого єпископа А. </w:t>
      </w:r>
      <w:proofErr w:type="spellStart"/>
      <w:r>
        <w:rPr>
          <w:color w:val="000000"/>
          <w:lang w:val="uk-UA" w:eastAsia="uk-UA" w:bidi="uk-UA"/>
        </w:rPr>
        <w:t>Желіборського</w:t>
      </w:r>
      <w:proofErr w:type="spellEnd"/>
      <w:r>
        <w:rPr>
          <w:color w:val="000000"/>
          <w:lang w:val="uk-UA" w:eastAsia="uk-UA" w:bidi="uk-UA"/>
        </w:rPr>
        <w:t>.</w:t>
      </w:r>
    </w:p>
    <w:p w:rsidR="00EC4799" w:rsidRPr="00EC4799" w:rsidRDefault="00EC4799" w:rsidP="00EC4799">
      <w:pPr>
        <w:pStyle w:val="22"/>
        <w:shd w:val="clear" w:color="auto" w:fill="auto"/>
        <w:spacing w:after="240" w:line="226" w:lineRule="exact"/>
        <w:ind w:firstLine="320"/>
        <w:rPr>
          <w:lang w:val="uk-UA"/>
        </w:rPr>
      </w:pPr>
      <w:r>
        <w:rPr>
          <w:color w:val="000000"/>
          <w:lang w:val="uk-UA" w:eastAsia="uk-UA" w:bidi="uk-UA"/>
        </w:rPr>
        <w:t xml:space="preserve">Таким чином, джерела </w:t>
      </w:r>
      <w:r w:rsidRPr="00EB4AC2">
        <w:rPr>
          <w:color w:val="000000"/>
          <w:lang w:val="uk-UA" w:eastAsia="ru-RU" w:bidi="ru-RU"/>
        </w:rPr>
        <w:t xml:space="preserve">Кормчих </w:t>
      </w:r>
      <w:r>
        <w:rPr>
          <w:color w:val="000000"/>
          <w:lang w:val="uk-UA" w:eastAsia="uk-UA" w:bidi="uk-UA"/>
        </w:rPr>
        <w:t>книг Київської Русі іноземного походження у переробленому чи автентичному вигляді зазвичай складають більшу частину змісту збірок Кормчих, особливо їх ранніх редакцій та списків. Переважною кількістю таких джерел є саме візантійські церковні джерела, а вивчення їх наявності, комплектності та обробок у змісті Кормчих Київської Русі дає змогу сучасним дослідникам розкрити підвалини формування правової системи держави починаючи з ХІ століття і до сьогодення.</w:t>
      </w:r>
    </w:p>
    <w:p w:rsidR="00EC4799" w:rsidRDefault="00EC4799" w:rsidP="00EC4799">
      <w:pPr>
        <w:pStyle w:val="22"/>
        <w:shd w:val="clear" w:color="auto" w:fill="auto"/>
        <w:spacing w:line="226" w:lineRule="exact"/>
        <w:ind w:left="20"/>
        <w:jc w:val="center"/>
      </w:pPr>
      <w:r>
        <w:rPr>
          <w:color w:val="000000"/>
          <w:lang w:val="uk-UA" w:eastAsia="uk-UA" w:bidi="uk-UA"/>
        </w:rPr>
        <w:t>Література:</w:t>
      </w:r>
    </w:p>
    <w:p w:rsidR="00EC4799" w:rsidRDefault="00EC4799" w:rsidP="00EC4799">
      <w:pPr>
        <w:pStyle w:val="22"/>
        <w:numPr>
          <w:ilvl w:val="0"/>
          <w:numId w:val="2"/>
        </w:numPr>
        <w:shd w:val="clear" w:color="auto" w:fill="auto"/>
        <w:tabs>
          <w:tab w:val="left" w:pos="553"/>
        </w:tabs>
        <w:spacing w:line="226" w:lineRule="exact"/>
        <w:ind w:firstLine="320"/>
      </w:pPr>
      <w:r>
        <w:rPr>
          <w:color w:val="000000"/>
          <w:lang w:eastAsia="ru-RU" w:bidi="ru-RU"/>
        </w:rPr>
        <w:t xml:space="preserve">Павлов А. Первоначальный славяно-русский </w:t>
      </w:r>
      <w:r>
        <w:rPr>
          <w:color w:val="000000"/>
          <w:lang w:val="uk-UA" w:eastAsia="uk-UA" w:bidi="uk-UA"/>
        </w:rPr>
        <w:t>номоканон. - Казань. - 1869. - 101 с.</w:t>
      </w:r>
    </w:p>
    <w:p w:rsidR="00EC4799" w:rsidRDefault="00EC4799" w:rsidP="00EC4799">
      <w:pPr>
        <w:pStyle w:val="22"/>
        <w:numPr>
          <w:ilvl w:val="0"/>
          <w:numId w:val="2"/>
        </w:numPr>
        <w:shd w:val="clear" w:color="auto" w:fill="auto"/>
        <w:tabs>
          <w:tab w:val="left" w:pos="558"/>
        </w:tabs>
        <w:spacing w:line="226" w:lineRule="exact"/>
        <w:ind w:firstLine="320"/>
      </w:pPr>
      <w:proofErr w:type="spellStart"/>
      <w:r>
        <w:rPr>
          <w:color w:val="000000"/>
          <w:lang w:val="uk-UA" w:eastAsia="uk-UA" w:bidi="uk-UA"/>
        </w:rPr>
        <w:t>Трофанчук</w:t>
      </w:r>
      <w:proofErr w:type="spellEnd"/>
      <w:r>
        <w:rPr>
          <w:color w:val="000000"/>
          <w:lang w:val="uk-UA" w:eastAsia="uk-UA" w:bidi="uk-UA"/>
        </w:rPr>
        <w:t xml:space="preserve"> Г. І. Канонічне право княжої доби як чинник формування української національної правової системи. Концепція та методологія історії українського права: збірник матеріалів науково- практичного круглого столу, присвяченого пам’яті професора Олександра Шевченка. Київ, 28квітня 2017року / ред. </w:t>
      </w:r>
      <w:proofErr w:type="spellStart"/>
      <w:r>
        <w:rPr>
          <w:color w:val="000000"/>
          <w:lang w:val="uk-UA" w:eastAsia="uk-UA" w:bidi="uk-UA"/>
        </w:rPr>
        <w:t>кол</w:t>
      </w:r>
      <w:proofErr w:type="spellEnd"/>
      <w:r>
        <w:rPr>
          <w:color w:val="000000"/>
          <w:lang w:val="uk-UA" w:eastAsia="uk-UA" w:bidi="uk-UA"/>
        </w:rPr>
        <w:t xml:space="preserve">. І.С. Гриценко, </w:t>
      </w:r>
      <w:proofErr w:type="spellStart"/>
      <w:r>
        <w:rPr>
          <w:color w:val="000000"/>
          <w:lang w:val="uk-UA" w:eastAsia="uk-UA" w:bidi="uk-UA"/>
        </w:rPr>
        <w:t>М.І.Мірошниченко</w:t>
      </w:r>
      <w:proofErr w:type="spellEnd"/>
      <w:r>
        <w:rPr>
          <w:color w:val="000000"/>
          <w:lang w:val="uk-UA" w:eastAsia="uk-UA" w:bidi="uk-UA"/>
        </w:rPr>
        <w:t xml:space="preserve">, </w:t>
      </w:r>
      <w:proofErr w:type="spellStart"/>
      <w:r>
        <w:rPr>
          <w:color w:val="000000"/>
          <w:lang w:val="uk-UA" w:eastAsia="uk-UA" w:bidi="uk-UA"/>
        </w:rPr>
        <w:t>П.П.Захарченко</w:t>
      </w:r>
      <w:proofErr w:type="spellEnd"/>
      <w:r>
        <w:rPr>
          <w:color w:val="000000"/>
          <w:lang w:val="uk-UA" w:eastAsia="uk-UA" w:bidi="uk-UA"/>
        </w:rPr>
        <w:t xml:space="preserve">, </w:t>
      </w:r>
      <w:proofErr w:type="spellStart"/>
      <w:r>
        <w:rPr>
          <w:color w:val="000000"/>
          <w:lang w:val="uk-UA" w:eastAsia="uk-UA" w:bidi="uk-UA"/>
        </w:rPr>
        <w:t>І.А.Мацелюх</w:t>
      </w:r>
      <w:proofErr w:type="spellEnd"/>
      <w:r>
        <w:rPr>
          <w:color w:val="000000"/>
          <w:lang w:val="uk-UA" w:eastAsia="uk-UA" w:bidi="uk-UA"/>
        </w:rPr>
        <w:t xml:space="preserve">, </w:t>
      </w:r>
      <w:proofErr w:type="spellStart"/>
      <w:r>
        <w:rPr>
          <w:color w:val="000000"/>
          <w:lang w:val="uk-UA" w:eastAsia="uk-UA" w:bidi="uk-UA"/>
        </w:rPr>
        <w:t>А.В.Крижевський</w:t>
      </w:r>
      <w:proofErr w:type="spellEnd"/>
      <w:r>
        <w:rPr>
          <w:color w:val="000000"/>
          <w:lang w:val="uk-UA" w:eastAsia="uk-UA" w:bidi="uk-UA"/>
        </w:rPr>
        <w:t xml:space="preserve">. </w:t>
      </w:r>
      <w:r w:rsidRPr="00EB4AC2">
        <w:rPr>
          <w:color w:val="000000"/>
          <w:lang w:val="uk-UA" w:eastAsia="ru-RU" w:bidi="ru-RU"/>
        </w:rPr>
        <w:t xml:space="preserve">К.: </w:t>
      </w:r>
      <w:r>
        <w:rPr>
          <w:color w:val="000000"/>
          <w:lang w:val="uk-UA" w:eastAsia="uk-UA" w:bidi="uk-UA"/>
        </w:rPr>
        <w:t xml:space="preserve">«ДС День </w:t>
      </w:r>
      <w:proofErr w:type="spellStart"/>
      <w:r w:rsidRPr="00EB4AC2">
        <w:rPr>
          <w:color w:val="000000"/>
          <w:lang w:val="uk-UA" w:eastAsia="ru-RU" w:bidi="ru-RU"/>
        </w:rPr>
        <w:t>Печати</w:t>
      </w:r>
      <w:proofErr w:type="spellEnd"/>
      <w:r w:rsidRPr="00EB4AC2">
        <w:rPr>
          <w:color w:val="000000"/>
          <w:lang w:val="uk-UA" w:eastAsia="ru-RU" w:bidi="ru-RU"/>
        </w:rPr>
        <w:t xml:space="preserve">», </w:t>
      </w:r>
      <w:r>
        <w:rPr>
          <w:color w:val="000000"/>
          <w:lang w:val="uk-UA" w:eastAsia="uk-UA" w:bidi="uk-UA"/>
        </w:rPr>
        <w:t>2017. 220 с.</w:t>
      </w:r>
    </w:p>
    <w:p w:rsidR="00EC4799" w:rsidRDefault="00EC4799" w:rsidP="00EC4799">
      <w:pPr>
        <w:pStyle w:val="22"/>
        <w:numPr>
          <w:ilvl w:val="0"/>
          <w:numId w:val="2"/>
        </w:numPr>
        <w:shd w:val="clear" w:color="auto" w:fill="auto"/>
        <w:tabs>
          <w:tab w:val="left" w:pos="553"/>
        </w:tabs>
        <w:spacing w:line="226" w:lineRule="exact"/>
        <w:ind w:firstLine="320"/>
      </w:pPr>
      <w:proofErr w:type="spellStart"/>
      <w:r>
        <w:rPr>
          <w:color w:val="000000"/>
          <w:lang w:val="uk-UA" w:eastAsia="uk-UA" w:bidi="uk-UA"/>
        </w:rPr>
        <w:t>Мацелюх</w:t>
      </w:r>
      <w:proofErr w:type="spellEnd"/>
      <w:r>
        <w:rPr>
          <w:color w:val="000000"/>
          <w:lang w:val="uk-UA" w:eastAsia="uk-UA" w:bidi="uk-UA"/>
        </w:rPr>
        <w:t xml:space="preserve"> І. Джерела церковного права за доби українського Середньовіччя: монографія. К.: </w:t>
      </w:r>
      <w:proofErr w:type="spellStart"/>
      <w:r>
        <w:rPr>
          <w:color w:val="000000"/>
          <w:lang w:val="uk-UA" w:eastAsia="uk-UA" w:bidi="uk-UA"/>
        </w:rPr>
        <w:t>Талком</w:t>
      </w:r>
      <w:proofErr w:type="spellEnd"/>
      <w:r>
        <w:rPr>
          <w:color w:val="000000"/>
          <w:lang w:val="uk-UA" w:eastAsia="uk-UA" w:bidi="uk-UA"/>
        </w:rPr>
        <w:t>, 2015. 290с.</w:t>
      </w:r>
    </w:p>
    <w:p w:rsidR="00EC4799" w:rsidRDefault="00EC4799" w:rsidP="00EC4799">
      <w:pPr>
        <w:pStyle w:val="22"/>
        <w:numPr>
          <w:ilvl w:val="0"/>
          <w:numId w:val="2"/>
        </w:numPr>
        <w:shd w:val="clear" w:color="auto" w:fill="auto"/>
        <w:tabs>
          <w:tab w:val="left" w:pos="558"/>
        </w:tabs>
        <w:spacing w:line="226" w:lineRule="exact"/>
        <w:ind w:firstLine="320"/>
      </w:pPr>
      <w:r>
        <w:rPr>
          <w:color w:val="000000"/>
          <w:lang w:eastAsia="ru-RU" w:bidi="ru-RU"/>
        </w:rPr>
        <w:t xml:space="preserve">Нечаев </w:t>
      </w:r>
      <w:r>
        <w:rPr>
          <w:color w:val="000000"/>
          <w:lang w:val="uk-UA" w:eastAsia="uk-UA" w:bidi="uk-UA"/>
        </w:rPr>
        <w:t xml:space="preserve">П. </w:t>
      </w:r>
      <w:r>
        <w:rPr>
          <w:color w:val="000000"/>
          <w:lang w:eastAsia="ru-RU" w:bidi="ru-RU"/>
        </w:rPr>
        <w:t xml:space="preserve">Практическое руководство </w:t>
      </w:r>
      <w:r>
        <w:rPr>
          <w:color w:val="000000"/>
          <w:lang w:val="uk-UA" w:eastAsia="uk-UA" w:bidi="uk-UA"/>
        </w:rPr>
        <w:t xml:space="preserve">для </w:t>
      </w:r>
      <w:r>
        <w:rPr>
          <w:color w:val="000000"/>
          <w:lang w:eastAsia="ru-RU" w:bidi="ru-RU"/>
        </w:rPr>
        <w:t xml:space="preserve">священнослужителей. Изд. </w:t>
      </w:r>
      <w:r>
        <w:rPr>
          <w:color w:val="000000"/>
          <w:lang w:val="uk-UA" w:eastAsia="uk-UA" w:bidi="uk-UA"/>
        </w:rPr>
        <w:t xml:space="preserve">7. С.-Петербург: </w:t>
      </w:r>
      <w:r>
        <w:rPr>
          <w:color w:val="000000"/>
          <w:lang w:eastAsia="ru-RU" w:bidi="ru-RU"/>
        </w:rPr>
        <w:t xml:space="preserve">Типография </w:t>
      </w:r>
      <w:r>
        <w:rPr>
          <w:color w:val="000000"/>
          <w:lang w:val="uk-UA" w:eastAsia="uk-UA" w:bidi="uk-UA"/>
        </w:rPr>
        <w:t xml:space="preserve">И.Н. </w:t>
      </w:r>
      <w:proofErr w:type="spellStart"/>
      <w:r>
        <w:rPr>
          <w:color w:val="000000"/>
          <w:lang w:val="uk-UA" w:eastAsia="uk-UA" w:bidi="uk-UA"/>
        </w:rPr>
        <w:t>Скороходова</w:t>
      </w:r>
      <w:proofErr w:type="spellEnd"/>
      <w:r>
        <w:rPr>
          <w:color w:val="000000"/>
          <w:lang w:val="uk-UA" w:eastAsia="uk-UA" w:bidi="uk-UA"/>
        </w:rPr>
        <w:t>, 1900. 594 с.</w:t>
      </w:r>
    </w:p>
    <w:p w:rsidR="00EC4799" w:rsidRDefault="00EC4799" w:rsidP="00EC4799">
      <w:pPr>
        <w:pStyle w:val="22"/>
        <w:numPr>
          <w:ilvl w:val="0"/>
          <w:numId w:val="2"/>
        </w:numPr>
        <w:shd w:val="clear" w:color="auto" w:fill="auto"/>
        <w:tabs>
          <w:tab w:val="left" w:pos="562"/>
        </w:tabs>
        <w:spacing w:line="226" w:lineRule="exact"/>
        <w:ind w:firstLine="320"/>
      </w:pPr>
      <w:proofErr w:type="spellStart"/>
      <w:r>
        <w:rPr>
          <w:color w:val="000000"/>
          <w:lang w:eastAsia="ru-RU" w:bidi="ru-RU"/>
        </w:rPr>
        <w:t>Розенкампф</w:t>
      </w:r>
      <w:proofErr w:type="spellEnd"/>
      <w:r>
        <w:rPr>
          <w:color w:val="000000"/>
          <w:lang w:eastAsia="ru-RU" w:bidi="ru-RU"/>
        </w:rPr>
        <w:t xml:space="preserve"> Г. Обозрение Кормчей </w:t>
      </w:r>
      <w:r>
        <w:rPr>
          <w:color w:val="000000"/>
          <w:lang w:val="uk-UA" w:eastAsia="uk-UA" w:bidi="uk-UA"/>
        </w:rPr>
        <w:t xml:space="preserve">книги в </w:t>
      </w:r>
      <w:r>
        <w:rPr>
          <w:color w:val="000000"/>
          <w:lang w:eastAsia="ru-RU" w:bidi="ru-RU"/>
        </w:rPr>
        <w:t xml:space="preserve">историческом </w:t>
      </w:r>
      <w:r>
        <w:rPr>
          <w:color w:val="000000"/>
          <w:lang w:val="uk-UA" w:eastAsia="uk-UA" w:bidi="uk-UA"/>
        </w:rPr>
        <w:t xml:space="preserve">виде. М.: </w:t>
      </w:r>
      <w:r>
        <w:rPr>
          <w:color w:val="000000"/>
          <w:lang w:eastAsia="ru-RU" w:bidi="ru-RU"/>
        </w:rPr>
        <w:t xml:space="preserve">Универ. </w:t>
      </w:r>
      <w:r>
        <w:rPr>
          <w:color w:val="000000"/>
          <w:lang w:val="uk-UA" w:eastAsia="uk-UA" w:bidi="uk-UA"/>
        </w:rPr>
        <w:t>тип., 1829. 854 с</w:t>
      </w:r>
    </w:p>
    <w:p w:rsidR="00EC4799" w:rsidRDefault="00EC4799" w:rsidP="00EC4799">
      <w:pPr>
        <w:pStyle w:val="22"/>
        <w:numPr>
          <w:ilvl w:val="0"/>
          <w:numId w:val="2"/>
        </w:numPr>
        <w:shd w:val="clear" w:color="auto" w:fill="auto"/>
        <w:tabs>
          <w:tab w:val="left" w:pos="553"/>
        </w:tabs>
        <w:spacing w:line="226" w:lineRule="exact"/>
        <w:ind w:firstLine="320"/>
      </w:pPr>
      <w:proofErr w:type="spellStart"/>
      <w:r>
        <w:rPr>
          <w:color w:val="000000"/>
          <w:lang w:val="uk-UA" w:eastAsia="uk-UA" w:bidi="uk-UA"/>
        </w:rPr>
        <w:t>Бенешевич</w:t>
      </w:r>
      <w:proofErr w:type="spellEnd"/>
      <w:r>
        <w:rPr>
          <w:color w:val="000000"/>
          <w:lang w:val="uk-UA" w:eastAsia="uk-UA" w:bidi="uk-UA"/>
        </w:rPr>
        <w:t xml:space="preserve"> В. Н. Синагога в 50 титулах </w:t>
      </w:r>
      <w:r>
        <w:rPr>
          <w:color w:val="000000"/>
          <w:lang w:eastAsia="ru-RU" w:bidi="ru-RU"/>
        </w:rPr>
        <w:t>и другие юридические сборники Иоанна Схоластика. - СПб., 1914. - 362 с.</w:t>
      </w:r>
    </w:p>
    <w:p w:rsidR="00EC4799" w:rsidRPr="00EC4799" w:rsidRDefault="00EC4799" w:rsidP="00EC4799">
      <w:pPr>
        <w:pStyle w:val="22"/>
        <w:numPr>
          <w:ilvl w:val="0"/>
          <w:numId w:val="2"/>
        </w:numPr>
        <w:shd w:val="clear" w:color="auto" w:fill="auto"/>
        <w:tabs>
          <w:tab w:val="left" w:pos="558"/>
        </w:tabs>
        <w:spacing w:line="226" w:lineRule="exact"/>
        <w:ind w:firstLine="320"/>
        <w:rPr>
          <w:lang w:val="en-US"/>
        </w:rPr>
      </w:pPr>
      <w:proofErr w:type="spellStart"/>
      <w:r>
        <w:rPr>
          <w:color w:val="000000"/>
          <w:lang w:val="en-US" w:bidi="en-US"/>
        </w:rPr>
        <w:t>Troianos</w:t>
      </w:r>
      <w:proofErr w:type="spellEnd"/>
      <w:r>
        <w:rPr>
          <w:color w:val="000000"/>
          <w:lang w:val="en-US" w:bidi="en-US"/>
        </w:rPr>
        <w:t xml:space="preserve"> S. Byzantine Canon Law to 1100 </w:t>
      </w:r>
      <w:r w:rsidRPr="00EB4AC2">
        <w:rPr>
          <w:color w:val="000000"/>
          <w:lang w:val="en-US" w:eastAsia="ru-RU" w:bidi="ru-RU"/>
        </w:rPr>
        <w:t xml:space="preserve">// </w:t>
      </w:r>
      <w:r>
        <w:rPr>
          <w:color w:val="000000"/>
          <w:lang w:val="en-US" w:bidi="en-US"/>
        </w:rPr>
        <w:t xml:space="preserve">The History of Byzantine and Eastern Canon Law to 1500. Ed. by W. Hartmann and K. </w:t>
      </w:r>
      <w:proofErr w:type="gramStart"/>
      <w:r>
        <w:rPr>
          <w:color w:val="000000"/>
          <w:lang w:val="en-US" w:bidi="en-US"/>
        </w:rPr>
        <w:t>Pennington.-</w:t>
      </w:r>
      <w:proofErr w:type="gramEnd"/>
      <w:r>
        <w:rPr>
          <w:color w:val="000000"/>
          <w:lang w:val="en-US" w:bidi="en-US"/>
        </w:rPr>
        <w:t xml:space="preserve"> Washington, DC: The Catholic University of America Press, 2012. - P. 115-169.</w:t>
      </w:r>
    </w:p>
    <w:p w:rsidR="000C25BD" w:rsidRPr="00EC4799" w:rsidRDefault="000C25BD">
      <w:pPr>
        <w:rPr>
          <w:lang w:val="en-US"/>
        </w:rPr>
      </w:pPr>
    </w:p>
    <w:sectPr w:rsidR="000C25BD" w:rsidRPr="00EC479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09327E5"/>
    <w:multiLevelType w:val="multilevel"/>
    <w:tmpl w:val="860602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6F247A2F"/>
    <w:multiLevelType w:val="multilevel"/>
    <w:tmpl w:val="671E5E5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799"/>
    <w:rsid w:val="000C25BD"/>
    <w:rsid w:val="00EC47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2851CE-ACE5-4A80-AEE4-9FC314585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Заголовок №2_"/>
    <w:basedOn w:val="a0"/>
    <w:link w:val="20"/>
    <w:rsid w:val="00EC4799"/>
    <w:rPr>
      <w:rFonts w:ascii="Times New Roman" w:eastAsia="Times New Roman" w:hAnsi="Times New Roman" w:cs="Times New Roman"/>
      <w:b/>
      <w:bCs/>
      <w:sz w:val="20"/>
      <w:szCs w:val="20"/>
      <w:shd w:val="clear" w:color="auto" w:fill="FFFFFF"/>
    </w:rPr>
  </w:style>
  <w:style w:type="character" w:customStyle="1" w:styleId="21">
    <w:name w:val="Основной текст (2)_"/>
    <w:basedOn w:val="a0"/>
    <w:link w:val="22"/>
    <w:rsid w:val="00EC4799"/>
    <w:rPr>
      <w:rFonts w:ascii="Times New Roman" w:eastAsia="Times New Roman" w:hAnsi="Times New Roman" w:cs="Times New Roman"/>
      <w:sz w:val="19"/>
      <w:szCs w:val="19"/>
      <w:shd w:val="clear" w:color="auto" w:fill="FFFFFF"/>
    </w:rPr>
  </w:style>
  <w:style w:type="character" w:customStyle="1" w:styleId="11">
    <w:name w:val="Основной текст (11)_"/>
    <w:basedOn w:val="a0"/>
    <w:link w:val="110"/>
    <w:rsid w:val="00EC4799"/>
    <w:rPr>
      <w:rFonts w:ascii="Times New Roman" w:eastAsia="Times New Roman" w:hAnsi="Times New Roman" w:cs="Times New Roman"/>
      <w:b/>
      <w:bCs/>
      <w:i/>
      <w:iCs/>
      <w:sz w:val="19"/>
      <w:szCs w:val="19"/>
      <w:shd w:val="clear" w:color="auto" w:fill="FFFFFF"/>
    </w:rPr>
  </w:style>
  <w:style w:type="character" w:customStyle="1" w:styleId="12">
    <w:name w:val="Основной текст (12)_"/>
    <w:basedOn w:val="a0"/>
    <w:link w:val="120"/>
    <w:rsid w:val="00EC4799"/>
    <w:rPr>
      <w:rFonts w:ascii="Times New Roman" w:eastAsia="Times New Roman" w:hAnsi="Times New Roman" w:cs="Times New Roman"/>
      <w:i/>
      <w:iCs/>
      <w:sz w:val="19"/>
      <w:szCs w:val="19"/>
      <w:shd w:val="clear" w:color="auto" w:fill="FFFFFF"/>
    </w:rPr>
  </w:style>
  <w:style w:type="paragraph" w:customStyle="1" w:styleId="22">
    <w:name w:val="Основной текст (2)"/>
    <w:basedOn w:val="a"/>
    <w:link w:val="21"/>
    <w:rsid w:val="00EC4799"/>
    <w:pPr>
      <w:widowControl w:val="0"/>
      <w:shd w:val="clear" w:color="auto" w:fill="FFFFFF"/>
      <w:spacing w:after="0" w:line="210" w:lineRule="exact"/>
      <w:jc w:val="both"/>
    </w:pPr>
    <w:rPr>
      <w:rFonts w:ascii="Times New Roman" w:eastAsia="Times New Roman" w:hAnsi="Times New Roman" w:cs="Times New Roman"/>
      <w:sz w:val="19"/>
      <w:szCs w:val="19"/>
    </w:rPr>
  </w:style>
  <w:style w:type="paragraph" w:customStyle="1" w:styleId="20">
    <w:name w:val="Заголовок №2"/>
    <w:basedOn w:val="a"/>
    <w:link w:val="2"/>
    <w:rsid w:val="00EC4799"/>
    <w:pPr>
      <w:widowControl w:val="0"/>
      <w:shd w:val="clear" w:color="auto" w:fill="FFFFFF"/>
      <w:spacing w:before="220" w:after="0" w:line="222" w:lineRule="exact"/>
      <w:jc w:val="both"/>
      <w:outlineLvl w:val="1"/>
    </w:pPr>
    <w:rPr>
      <w:rFonts w:ascii="Times New Roman" w:eastAsia="Times New Roman" w:hAnsi="Times New Roman" w:cs="Times New Roman"/>
      <w:b/>
      <w:bCs/>
      <w:sz w:val="20"/>
      <w:szCs w:val="20"/>
    </w:rPr>
  </w:style>
  <w:style w:type="paragraph" w:customStyle="1" w:styleId="110">
    <w:name w:val="Основной текст (11)"/>
    <w:basedOn w:val="a"/>
    <w:link w:val="11"/>
    <w:rsid w:val="00EC4799"/>
    <w:pPr>
      <w:widowControl w:val="0"/>
      <w:shd w:val="clear" w:color="auto" w:fill="FFFFFF"/>
      <w:spacing w:before="260" w:after="0" w:line="226" w:lineRule="exact"/>
      <w:jc w:val="center"/>
    </w:pPr>
    <w:rPr>
      <w:rFonts w:ascii="Times New Roman" w:eastAsia="Times New Roman" w:hAnsi="Times New Roman" w:cs="Times New Roman"/>
      <w:b/>
      <w:bCs/>
      <w:i/>
      <w:iCs/>
      <w:sz w:val="19"/>
      <w:szCs w:val="19"/>
    </w:rPr>
  </w:style>
  <w:style w:type="paragraph" w:customStyle="1" w:styleId="120">
    <w:name w:val="Основной текст (12)"/>
    <w:basedOn w:val="a"/>
    <w:link w:val="12"/>
    <w:rsid w:val="00EC4799"/>
    <w:pPr>
      <w:widowControl w:val="0"/>
      <w:shd w:val="clear" w:color="auto" w:fill="FFFFFF"/>
      <w:spacing w:after="0" w:line="226" w:lineRule="exact"/>
      <w:jc w:val="center"/>
    </w:pPr>
    <w:rPr>
      <w:rFonts w:ascii="Times New Roman" w:eastAsia="Times New Roman" w:hAnsi="Times New Roman" w:cs="Times New Roman"/>
      <w:i/>
      <w:iCs/>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1427</Words>
  <Characters>8139</Characters>
  <Application>Microsoft Office Word</Application>
  <DocSecurity>0</DocSecurity>
  <Lines>67</Lines>
  <Paragraphs>19</Paragraphs>
  <ScaleCrop>false</ScaleCrop>
  <Company/>
  <LinksUpToDate>false</LinksUpToDate>
  <CharactersWithSpaces>9547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2023-03-15T16:38:00Z</dcterms:created>
  <dcterms:modified xsi:type="dcterms:W3CDTF">2023-03-15T16:38:00Z</dcterms:modified>
</cp:coreProperties>
</file>