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708A" w:rsidRPr="00B05341" w:rsidRDefault="001C708A" w:rsidP="00061539">
      <w:pPr>
        <w:spacing w:after="0" w:line="360" w:lineRule="auto"/>
        <w:jc w:val="right"/>
        <w:rPr>
          <w:rFonts w:ascii="Times New Roman" w:hAnsi="Times New Roman" w:cs="Times New Roman"/>
          <w:b/>
          <w:i/>
          <w:sz w:val="28"/>
          <w:szCs w:val="28"/>
        </w:rPr>
      </w:pPr>
      <w:r w:rsidRPr="00B05341">
        <w:rPr>
          <w:rFonts w:ascii="Times New Roman" w:hAnsi="Times New Roman" w:cs="Times New Roman"/>
          <w:b/>
          <w:i/>
          <w:sz w:val="28"/>
          <w:szCs w:val="28"/>
        </w:rPr>
        <w:t>Михайленко Д.Г.</w:t>
      </w:r>
    </w:p>
    <w:p w:rsidR="001C708A" w:rsidRPr="00B05341" w:rsidRDefault="001C708A" w:rsidP="00061539">
      <w:pPr>
        <w:spacing w:after="0" w:line="360" w:lineRule="auto"/>
        <w:jc w:val="right"/>
        <w:rPr>
          <w:rFonts w:ascii="Times New Roman" w:hAnsi="Times New Roman" w:cs="Times New Roman"/>
          <w:i/>
          <w:sz w:val="28"/>
          <w:szCs w:val="28"/>
        </w:rPr>
      </w:pPr>
      <w:r w:rsidRPr="00B05341">
        <w:rPr>
          <w:rFonts w:ascii="Times New Roman" w:hAnsi="Times New Roman" w:cs="Times New Roman"/>
          <w:i/>
          <w:sz w:val="28"/>
          <w:szCs w:val="28"/>
        </w:rPr>
        <w:t>Національний університет «Одеська юридична академія»,</w:t>
      </w:r>
    </w:p>
    <w:p w:rsidR="001C708A" w:rsidRPr="00B05341" w:rsidRDefault="001C708A" w:rsidP="00061539">
      <w:pPr>
        <w:spacing w:after="0" w:line="360" w:lineRule="auto"/>
        <w:jc w:val="right"/>
        <w:rPr>
          <w:rFonts w:ascii="Times New Roman" w:hAnsi="Times New Roman" w:cs="Times New Roman"/>
          <w:i/>
          <w:sz w:val="28"/>
          <w:szCs w:val="28"/>
        </w:rPr>
      </w:pPr>
      <w:r w:rsidRPr="00B05341">
        <w:rPr>
          <w:rFonts w:ascii="Times New Roman" w:hAnsi="Times New Roman" w:cs="Times New Roman"/>
          <w:i/>
          <w:sz w:val="28"/>
          <w:szCs w:val="28"/>
        </w:rPr>
        <w:t>докторант кафедри кримінального права, кандидат юридичних наук, доцент</w:t>
      </w:r>
    </w:p>
    <w:p w:rsidR="001C708A" w:rsidRPr="002F2A21" w:rsidRDefault="001C708A" w:rsidP="001C708A">
      <w:pPr>
        <w:spacing w:after="0" w:line="360" w:lineRule="auto"/>
        <w:jc w:val="center"/>
        <w:rPr>
          <w:rFonts w:ascii="Times New Roman" w:hAnsi="Times New Roman" w:cs="Times New Roman"/>
          <w:b/>
          <w:sz w:val="28"/>
          <w:szCs w:val="28"/>
        </w:rPr>
      </w:pPr>
      <w:r w:rsidRPr="002F2A21">
        <w:rPr>
          <w:rFonts w:ascii="Times New Roman" w:hAnsi="Times New Roman" w:cs="Times New Roman"/>
          <w:b/>
          <w:sz w:val="28"/>
          <w:szCs w:val="28"/>
        </w:rPr>
        <w:t xml:space="preserve">Норма про незаконне збагачення </w:t>
      </w:r>
      <w:r w:rsidR="002F2A21">
        <w:rPr>
          <w:rFonts w:ascii="Times New Roman" w:hAnsi="Times New Roman" w:cs="Times New Roman"/>
          <w:b/>
          <w:sz w:val="28"/>
          <w:szCs w:val="28"/>
        </w:rPr>
        <w:t>і принцип презумпції невинуватості</w:t>
      </w:r>
    </w:p>
    <w:p w:rsidR="00742AF6" w:rsidRPr="00B05341" w:rsidRDefault="00742AF6" w:rsidP="00742AF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Імплементація Україною так</w:t>
      </w:r>
      <w:r w:rsidRPr="00B05341">
        <w:rPr>
          <w:rFonts w:ascii="Times New Roman" w:hAnsi="Times New Roman" w:cs="Times New Roman"/>
          <w:sz w:val="28"/>
          <w:szCs w:val="28"/>
        </w:rPr>
        <w:t xml:space="preserve">ого інструменту, як кримінальна відповідальність за незаконне збагачення (у моделі ст.20 Конвенції ООН проти корупції, за якою слід розглянути питання про </w:t>
      </w:r>
      <w:r w:rsidRPr="003039F9">
        <w:rPr>
          <w:rFonts w:ascii="Times New Roman" w:hAnsi="Times New Roman" w:cs="Times New Roman"/>
          <w:sz w:val="28"/>
          <w:szCs w:val="28"/>
        </w:rPr>
        <w:t>визнання злочином умисне незаконне збагачення, тобто значне збільшення активів державної посадової особи, яке перевищує її законні доходи і які вона не може раціонально обґрунтувати</w:t>
      </w:r>
      <w:r w:rsidRPr="00B05341">
        <w:rPr>
          <w:rFonts w:ascii="Times New Roman" w:hAnsi="Times New Roman" w:cs="Times New Roman"/>
          <w:sz w:val="28"/>
          <w:szCs w:val="28"/>
        </w:rPr>
        <w:t>) та його ефективна дія неминуче пов’язані із необхідність обмеження деяких прав людини (принципу презумпції невинуватості, права не свідчити проти себе тощо) та законодавчого закріплення можливості та умов т</w:t>
      </w:r>
      <w:r w:rsidR="005A42F8">
        <w:rPr>
          <w:rFonts w:ascii="Times New Roman" w:hAnsi="Times New Roman" w:cs="Times New Roman"/>
          <w:sz w:val="28"/>
          <w:szCs w:val="28"/>
        </w:rPr>
        <w:t>акого обмеження.</w:t>
      </w:r>
    </w:p>
    <w:p w:rsidR="004D171D" w:rsidRPr="004D171D" w:rsidRDefault="007B5591" w:rsidP="004D171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Разом із тим, в</w:t>
      </w:r>
      <w:r w:rsidR="004D171D" w:rsidRPr="004D171D">
        <w:rPr>
          <w:rFonts w:ascii="Times New Roman" w:hAnsi="Times New Roman" w:cs="Times New Roman"/>
          <w:sz w:val="28"/>
          <w:szCs w:val="28"/>
        </w:rPr>
        <w:t>раховуючи існування категоричних висновків щодо неможливості виключень із існуючого підходу про розподіл тягаря доказування</w:t>
      </w:r>
      <w:r>
        <w:rPr>
          <w:rFonts w:ascii="Times New Roman" w:hAnsi="Times New Roman" w:cs="Times New Roman"/>
          <w:sz w:val="28"/>
          <w:szCs w:val="28"/>
        </w:rPr>
        <w:t xml:space="preserve"> (</w:t>
      </w:r>
      <w:hyperlink r:id="rId6" w:tooltip="Пошук за автором" w:history="1">
        <w:r w:rsidRPr="00423AE8">
          <w:rPr>
            <w:rFonts w:ascii="Times New Roman" w:hAnsi="Times New Roman" w:cs="Times New Roman"/>
            <w:sz w:val="28"/>
            <w:szCs w:val="28"/>
          </w:rPr>
          <w:t>Крижанівський</w:t>
        </w:r>
        <w:r w:rsidR="00423AE8">
          <w:rPr>
            <w:rFonts w:ascii="Times New Roman" w:hAnsi="Times New Roman" w:cs="Times New Roman"/>
            <w:sz w:val="28"/>
            <w:szCs w:val="28"/>
          </w:rPr>
          <w:t xml:space="preserve"> </w:t>
        </w:r>
        <w:r w:rsidRPr="00423AE8">
          <w:rPr>
            <w:rFonts w:ascii="Times New Roman" w:hAnsi="Times New Roman" w:cs="Times New Roman"/>
            <w:sz w:val="28"/>
            <w:szCs w:val="28"/>
          </w:rPr>
          <w:t>В.В.</w:t>
        </w:r>
      </w:hyperlink>
      <w:r w:rsidRPr="00423AE8">
        <w:rPr>
          <w:rFonts w:ascii="Times New Roman" w:hAnsi="Times New Roman" w:cs="Times New Roman"/>
          <w:sz w:val="28"/>
          <w:szCs w:val="28"/>
        </w:rPr>
        <w:t xml:space="preserve">, </w:t>
      </w:r>
      <w:proofErr w:type="spellStart"/>
      <w:r w:rsidRPr="00423AE8">
        <w:rPr>
          <w:rFonts w:ascii="Times New Roman" w:hAnsi="Times New Roman" w:cs="Times New Roman"/>
          <w:sz w:val="28"/>
          <w:szCs w:val="28"/>
        </w:rPr>
        <w:t>Есаулов</w:t>
      </w:r>
      <w:proofErr w:type="spellEnd"/>
      <w:r w:rsidRPr="00423AE8">
        <w:rPr>
          <w:rFonts w:ascii="Times New Roman" w:hAnsi="Times New Roman" w:cs="Times New Roman"/>
          <w:sz w:val="28"/>
          <w:szCs w:val="28"/>
        </w:rPr>
        <w:t xml:space="preserve"> С.В.,</w:t>
      </w:r>
      <w:r w:rsidR="00423AE8" w:rsidRPr="00423AE8">
        <w:rPr>
          <w:rFonts w:ascii="Times New Roman" w:hAnsi="Times New Roman" w:cs="Times New Roman"/>
          <w:sz w:val="28"/>
          <w:szCs w:val="28"/>
        </w:rPr>
        <w:t xml:space="preserve"> </w:t>
      </w:r>
      <w:proofErr w:type="spellStart"/>
      <w:r w:rsidR="00423AE8" w:rsidRPr="00423AE8">
        <w:rPr>
          <w:rFonts w:ascii="Times New Roman" w:hAnsi="Times New Roman" w:cs="Times New Roman"/>
          <w:sz w:val="28"/>
          <w:szCs w:val="28"/>
        </w:rPr>
        <w:t>Шамардин</w:t>
      </w:r>
      <w:proofErr w:type="spellEnd"/>
      <w:r w:rsidR="00423AE8" w:rsidRPr="00423AE8">
        <w:rPr>
          <w:rFonts w:ascii="Times New Roman" w:hAnsi="Times New Roman" w:cs="Times New Roman"/>
          <w:sz w:val="28"/>
          <w:szCs w:val="28"/>
        </w:rPr>
        <w:t xml:space="preserve"> А.О. та ін.</w:t>
      </w:r>
      <w:r>
        <w:rPr>
          <w:rFonts w:ascii="Times New Roman" w:hAnsi="Times New Roman" w:cs="Times New Roman"/>
          <w:sz w:val="28"/>
          <w:szCs w:val="28"/>
        </w:rPr>
        <w:t>)</w:t>
      </w:r>
      <w:r w:rsidR="004D171D" w:rsidRPr="004D171D">
        <w:rPr>
          <w:rFonts w:ascii="Times New Roman" w:hAnsi="Times New Roman" w:cs="Times New Roman"/>
          <w:sz w:val="28"/>
          <w:szCs w:val="28"/>
        </w:rPr>
        <w:t>, у науковій літературі пропонується при доказуванні незаконного збагачення доводити відсутність законних підстав для значного збільшення активів службової особи над офіційними доходами, що цілком може зняти зі службової особи обов’язок обґрунтування легітимності її майнових актів, що значно зросли.</w:t>
      </w:r>
    </w:p>
    <w:p w:rsidR="004D171D" w:rsidRPr="004D171D" w:rsidRDefault="004D171D" w:rsidP="004D171D">
      <w:pPr>
        <w:spacing w:after="0" w:line="360" w:lineRule="auto"/>
        <w:ind w:firstLine="567"/>
        <w:jc w:val="both"/>
        <w:rPr>
          <w:rFonts w:ascii="Times New Roman" w:hAnsi="Times New Roman" w:cs="Times New Roman"/>
          <w:color w:val="000000"/>
          <w:sz w:val="28"/>
          <w:szCs w:val="28"/>
        </w:rPr>
      </w:pPr>
      <w:r w:rsidRPr="004D171D">
        <w:rPr>
          <w:rFonts w:ascii="Times New Roman" w:hAnsi="Times New Roman" w:cs="Times New Roman"/>
          <w:sz w:val="28"/>
          <w:szCs w:val="28"/>
        </w:rPr>
        <w:t>Так, з метою імплементації досліджуваної норми у національне законодавство та водночас обходу встановлення презумпції вини В.М. </w:t>
      </w:r>
      <w:proofErr w:type="spellStart"/>
      <w:r w:rsidRPr="004D171D">
        <w:rPr>
          <w:rFonts w:ascii="Times New Roman" w:hAnsi="Times New Roman" w:cs="Times New Roman"/>
          <w:sz w:val="28"/>
          <w:szCs w:val="28"/>
        </w:rPr>
        <w:t>Борков</w:t>
      </w:r>
      <w:proofErr w:type="spellEnd"/>
      <w:r w:rsidRPr="004D171D">
        <w:rPr>
          <w:rFonts w:ascii="Times New Roman" w:hAnsi="Times New Roman" w:cs="Times New Roman"/>
          <w:sz w:val="28"/>
          <w:szCs w:val="28"/>
        </w:rPr>
        <w:t xml:space="preserve"> пропону</w:t>
      </w:r>
      <w:r w:rsidR="003D1F8C">
        <w:rPr>
          <w:rFonts w:ascii="Times New Roman" w:hAnsi="Times New Roman" w:cs="Times New Roman"/>
          <w:sz w:val="28"/>
          <w:szCs w:val="28"/>
        </w:rPr>
        <w:t>вав</w:t>
      </w:r>
      <w:r w:rsidRPr="004D171D">
        <w:rPr>
          <w:rFonts w:ascii="Times New Roman" w:hAnsi="Times New Roman" w:cs="Times New Roman"/>
          <w:sz w:val="28"/>
          <w:szCs w:val="28"/>
        </w:rPr>
        <w:t xml:space="preserve"> передбачити відповідальність за «Корупційне збагачення», тобто перевищення посадовими особами своїх активів, а так само активів близьких родичів над законними доходами в значному розмірі. Наявність негативної ознаки стосовно незаконного збагачення посадової особи, на думку цього автора, можна встановлювати шляхом виключення з її активів, законність яких поставлена під сумнів, грошового утримання та інших офіційних доходів. </w:t>
      </w:r>
      <w:r w:rsidRPr="004D171D">
        <w:rPr>
          <w:rFonts w:ascii="Times New Roman" w:hAnsi="Times New Roman" w:cs="Times New Roman"/>
          <w:color w:val="000000"/>
          <w:sz w:val="28"/>
          <w:szCs w:val="28"/>
        </w:rPr>
        <w:t xml:space="preserve">При цьому </w:t>
      </w:r>
      <w:r w:rsidR="00360A74">
        <w:rPr>
          <w:rFonts w:ascii="Times New Roman" w:hAnsi="Times New Roman" w:cs="Times New Roman"/>
          <w:color w:val="000000"/>
          <w:sz w:val="28"/>
          <w:szCs w:val="28"/>
        </w:rPr>
        <w:t xml:space="preserve">цим науковцем </w:t>
      </w:r>
      <w:r w:rsidRPr="004D171D">
        <w:rPr>
          <w:rFonts w:ascii="Times New Roman" w:hAnsi="Times New Roman" w:cs="Times New Roman"/>
          <w:color w:val="000000"/>
          <w:sz w:val="28"/>
          <w:szCs w:val="28"/>
        </w:rPr>
        <w:t xml:space="preserve">зазначається, що презумпція невинуватості не повинна перешкоджати притягнення до кримінальної відповідальності небезпечних осіб. Очевидно, завдання цієї презумпції полягає у іншому – вона повинна </w:t>
      </w:r>
      <w:r w:rsidRPr="004D171D">
        <w:rPr>
          <w:rFonts w:ascii="Times New Roman" w:hAnsi="Times New Roman" w:cs="Times New Roman"/>
          <w:color w:val="000000"/>
          <w:sz w:val="28"/>
          <w:szCs w:val="28"/>
        </w:rPr>
        <w:lastRenderedPageBreak/>
        <w:t xml:space="preserve">перешкоджати притягненню до кримінальної відповідальності осіб, які не вчинили злочину, збалансовувати можливості сторін обвинувачення та захисту. Разом із тим, </w:t>
      </w:r>
      <w:proofErr w:type="spellStart"/>
      <w:r w:rsidRPr="004D171D">
        <w:rPr>
          <w:rFonts w:ascii="Times New Roman" w:hAnsi="Times New Roman" w:cs="Times New Roman"/>
          <w:color w:val="000000"/>
          <w:sz w:val="28"/>
          <w:szCs w:val="28"/>
        </w:rPr>
        <w:t>Гилинський</w:t>
      </w:r>
      <w:proofErr w:type="spellEnd"/>
      <w:r w:rsidRPr="004D171D">
        <w:rPr>
          <w:rFonts w:ascii="Times New Roman" w:hAnsi="Times New Roman" w:cs="Times New Roman"/>
          <w:color w:val="000000"/>
          <w:sz w:val="28"/>
          <w:szCs w:val="28"/>
        </w:rPr>
        <w:t xml:space="preserve"> Я.І. зазначає, що протиріччя норми про незаконне збагачення та конституційного принципу презумпції невинуватості є надуманим приводом не здійснювати ефективний вплив на корупцію. Проте допустимість та межі відступу від цього принципу щодо деяких ситуацій потребують більш глибокої аргументації, ніж вказівка, що корупціонери прикриваються презумпцією невинуватості чи що це надуманий привід.</w:t>
      </w:r>
      <w:r w:rsidR="008B6C9A">
        <w:rPr>
          <w:rFonts w:ascii="Times New Roman" w:hAnsi="Times New Roman" w:cs="Times New Roman"/>
          <w:color w:val="000000"/>
          <w:sz w:val="28"/>
          <w:szCs w:val="28"/>
        </w:rPr>
        <w:t xml:space="preserve"> Д</w:t>
      </w:r>
      <w:r w:rsidR="008B6C9A" w:rsidRPr="00B05341">
        <w:rPr>
          <w:rFonts w:ascii="Times New Roman" w:hAnsi="Times New Roman" w:cs="Times New Roman"/>
          <w:sz w:val="28"/>
          <w:szCs w:val="28"/>
        </w:rPr>
        <w:t>ля обґрунтування можливості реалізації норми про незаконне збагачення в Україні у моделі ст.20 Конвенції, яка передбачає втручання в один із елементів презумпції невинуватості (правило щодо тягаря доказування), потребується проведення розгорнутого тесту на пропорційність</w:t>
      </w:r>
      <w:r w:rsidR="00FE664D">
        <w:rPr>
          <w:rFonts w:ascii="Times New Roman" w:hAnsi="Times New Roman" w:cs="Times New Roman"/>
          <w:sz w:val="28"/>
          <w:szCs w:val="28"/>
        </w:rPr>
        <w:t>.</w:t>
      </w:r>
    </w:p>
    <w:p w:rsidR="004D171D" w:rsidRPr="004D171D" w:rsidRDefault="00FE664D" w:rsidP="004D171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Крім того, п</w:t>
      </w:r>
      <w:r w:rsidR="004D171D" w:rsidRPr="004D171D">
        <w:rPr>
          <w:rFonts w:ascii="Times New Roman" w:hAnsi="Times New Roman" w:cs="Times New Roman"/>
          <w:sz w:val="28"/>
          <w:szCs w:val="28"/>
        </w:rPr>
        <w:t>ри вирішені проблеми конструювання формули складу незаконного збагачення слід пам’ятати, що при складанні остаточного варіанту нинішньої редакції ст.20 Конвенції зазначене питання мало декілька варіантів вирішення. Зокрема, Колумбія ще на першій сесії (Відень, 21 січня – 1 лютого 2002 року) міжурядового Спеціального комітету відкритого складу з розробки Конвенції проти корупції (заснований Генеральною Асамблеєю в її резолюції 55/61 від 4 грудня 2000 року) пропонувала викласти статтю про незаконне збагачення у редакції по суті аналогічній тій, що пізніше також була запропонована В.М. </w:t>
      </w:r>
      <w:proofErr w:type="spellStart"/>
      <w:r w:rsidR="004D171D" w:rsidRPr="004D171D">
        <w:rPr>
          <w:rFonts w:ascii="Times New Roman" w:hAnsi="Times New Roman" w:cs="Times New Roman"/>
          <w:sz w:val="28"/>
          <w:szCs w:val="28"/>
        </w:rPr>
        <w:t>Борковим</w:t>
      </w:r>
      <w:proofErr w:type="spellEnd"/>
      <w:r w:rsidR="004D171D" w:rsidRPr="004D171D">
        <w:rPr>
          <w:rFonts w:ascii="Times New Roman" w:hAnsi="Times New Roman" w:cs="Times New Roman"/>
          <w:sz w:val="28"/>
          <w:szCs w:val="28"/>
        </w:rPr>
        <w:t xml:space="preserve">, а саме: «… визнати як кримінально каране, коли воно вчинюється умисно, невиправдане збільшення багатства державного службовця в період його перебування на державній службі або протягом двох років після завершення цього періоду». Схожою у цьому контексті була пропозиція Алжиру, висловлена в рамках третьої сесії Спеціального комітету (Відень, 30 вересня – 11 жовтня 2002 року): «… визнати в якості кримінально караного незаконне збагачення або необґрунтоване збільшення майна, активів і доходів будь-якої публічної посадової особи, яке не відповідає її законному заробітку від виконання її обов'язків або з інших законних джерел». У зв’язку із наведеними редакціями норми про незаконне збагачення, від яких відмовилися при формулюванні кінцевого варіанту ст.20 Конвенції, звертають на себе увагу </w:t>
      </w:r>
      <w:r w:rsidR="004D171D" w:rsidRPr="004D171D">
        <w:rPr>
          <w:rFonts w:ascii="Times New Roman" w:hAnsi="Times New Roman" w:cs="Times New Roman"/>
          <w:sz w:val="28"/>
          <w:szCs w:val="28"/>
        </w:rPr>
        <w:lastRenderedPageBreak/>
        <w:t>законодавчі ініціативи щодо зміни діюч</w:t>
      </w:r>
      <w:r w:rsidR="00362C11">
        <w:rPr>
          <w:rFonts w:ascii="Times New Roman" w:hAnsi="Times New Roman" w:cs="Times New Roman"/>
          <w:sz w:val="28"/>
          <w:szCs w:val="28"/>
        </w:rPr>
        <w:t>ої редакції ст.368-2 КК України</w:t>
      </w:r>
      <w:r w:rsidR="004D171D" w:rsidRPr="004D171D">
        <w:rPr>
          <w:rFonts w:ascii="Times New Roman" w:hAnsi="Times New Roman" w:cs="Times New Roman"/>
          <w:sz w:val="28"/>
          <w:szCs w:val="28"/>
        </w:rPr>
        <w:t xml:space="preserve">. Так, згідно із проектами Законів України № 4573 від 26.03.2014 року (не включено в порядок денний 17.04.2014 року), № 4780 від 24.04.2014 року (відхилено </w:t>
      </w:r>
      <w:hyperlink r:id="rId7" w:tgtFrame="_blank" w:history="1">
        <w:r w:rsidR="004D171D" w:rsidRPr="004D171D">
          <w:rPr>
            <w:rFonts w:ascii="Times New Roman" w:hAnsi="Times New Roman" w:cs="Times New Roman"/>
            <w:sz w:val="28"/>
            <w:szCs w:val="28"/>
          </w:rPr>
          <w:t>16.09.2014</w:t>
        </w:r>
      </w:hyperlink>
      <w:r w:rsidR="004D171D" w:rsidRPr="004D171D">
        <w:rPr>
          <w:rFonts w:ascii="Times New Roman" w:hAnsi="Times New Roman" w:cs="Times New Roman"/>
          <w:sz w:val="28"/>
          <w:szCs w:val="28"/>
        </w:rPr>
        <w:t xml:space="preserve"> року), пропонувалося привести КК України у відповідність до ст.20 Конвенції шляхом викладення складу незаконного збагачення у такій редакції: «Набуття особою, уповноваженою на виконання функцій держави або місцевого самоврядування, у власність (користування) майна, вартість якого значно перевищує її доходи, отримання яких підтверджено законними джерелами, або передача нею такого майна близьким родичам…», а за проектом Закону України № 5085 від 16.09.2014 року наведену формулу складу доопрацьовано і запропоновану у такому вигляді: «Набуття особою, уповноваженою на виконання функцій держави або місцевого самоврядування, у власність майна, вартість якого значно перевищує доходи особи, отримані із законних джерел, або передача нею такого майна близьким родичам…». У такій же редакції була викладена ст.368-2 КК України згідно із Законом України </w:t>
      </w:r>
      <w:r w:rsidR="001C708A" w:rsidRPr="001C708A">
        <w:rPr>
          <w:rFonts w:ascii="Times New Roman" w:hAnsi="Times New Roman" w:cs="Times New Roman"/>
          <w:sz w:val="28"/>
          <w:szCs w:val="28"/>
        </w:rPr>
        <w:t xml:space="preserve">№ 1698-VII </w:t>
      </w:r>
      <w:r w:rsidR="004D171D" w:rsidRPr="004D171D">
        <w:rPr>
          <w:rFonts w:ascii="Times New Roman" w:hAnsi="Times New Roman" w:cs="Times New Roman"/>
          <w:sz w:val="28"/>
          <w:szCs w:val="28"/>
        </w:rPr>
        <w:t xml:space="preserve">від 14.10.2014 року. У подальшому ч.1 ст.368-2 КК України було знову вкладено у новій редакції Законом України </w:t>
      </w:r>
      <w:r w:rsidR="001C708A" w:rsidRPr="001C708A">
        <w:rPr>
          <w:rFonts w:ascii="Times New Roman" w:hAnsi="Times New Roman" w:cs="Times New Roman"/>
          <w:sz w:val="28"/>
          <w:szCs w:val="28"/>
        </w:rPr>
        <w:t xml:space="preserve">№ 198-VIII </w:t>
      </w:r>
      <w:r w:rsidR="004D171D" w:rsidRPr="004D171D">
        <w:rPr>
          <w:rFonts w:ascii="Times New Roman" w:hAnsi="Times New Roman" w:cs="Times New Roman"/>
          <w:sz w:val="28"/>
          <w:szCs w:val="28"/>
        </w:rPr>
        <w:t xml:space="preserve">від 12.02.2015 року: «Набуття особою, уповноваженою на виконання функцій держави або місцевого самоврядування, у власність активів у значному розмірі, законність підстав набуття яких не підтверджено доказами, а так само передача нею таких активів будь-якій іншій особі». У такому вигляді норма про кримінальну відповідальність за незаконне збагачення діє на цей момент, а її відмінність від попередньої редакції </w:t>
      </w:r>
      <w:r w:rsidR="00B74F0E">
        <w:rPr>
          <w:rFonts w:ascii="Times New Roman" w:hAnsi="Times New Roman" w:cs="Times New Roman"/>
          <w:sz w:val="28"/>
          <w:szCs w:val="28"/>
        </w:rPr>
        <w:t>потребує розгорнутого пояснення</w:t>
      </w:r>
      <w:r w:rsidR="004D171D" w:rsidRPr="004D171D">
        <w:rPr>
          <w:rFonts w:ascii="Times New Roman" w:hAnsi="Times New Roman" w:cs="Times New Roman"/>
          <w:sz w:val="28"/>
          <w:szCs w:val="28"/>
        </w:rPr>
        <w:t>.</w:t>
      </w:r>
    </w:p>
    <w:p w:rsidR="005A42F8" w:rsidRPr="00B05341" w:rsidRDefault="006F0CC6" w:rsidP="005A42F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 якості </w:t>
      </w:r>
      <w:r w:rsidRPr="00B76DA3">
        <w:rPr>
          <w:rFonts w:ascii="Times New Roman" w:hAnsi="Times New Roman" w:cs="Times New Roman"/>
          <w:b/>
          <w:sz w:val="28"/>
          <w:szCs w:val="28"/>
        </w:rPr>
        <w:t>висновку</w:t>
      </w:r>
      <w:r>
        <w:rPr>
          <w:rFonts w:ascii="Times New Roman" w:hAnsi="Times New Roman" w:cs="Times New Roman"/>
          <w:sz w:val="28"/>
          <w:szCs w:val="28"/>
        </w:rPr>
        <w:t xml:space="preserve"> необхідно сконцентрувати увагу на наступному. </w:t>
      </w:r>
      <w:r w:rsidR="004D171D" w:rsidRPr="004D171D">
        <w:rPr>
          <w:rFonts w:ascii="Times New Roman" w:hAnsi="Times New Roman" w:cs="Times New Roman"/>
          <w:sz w:val="28"/>
          <w:szCs w:val="28"/>
        </w:rPr>
        <w:t>Хоча наведені вище формулювання статті про незаконне збагачення не є аналогічними, проте спільним для них є те, що в їх основі лежить прагнення відсторонитися від прямої вказівки у конструкції норми на обов’язок суб’єкта раціонально обґрунтувати походження активів, які перевищують задекларовані ним легальні доходи, чим обійти чи завуалювати проблему перенесення тягаря доказування (обмеження принципу презумпції невинуватості) на суб’єкта корупційного злочину та порушення права не свідчити проти себе.</w:t>
      </w:r>
      <w:r w:rsidR="005A42F8">
        <w:rPr>
          <w:rFonts w:ascii="Times New Roman" w:hAnsi="Times New Roman" w:cs="Times New Roman"/>
          <w:sz w:val="28"/>
          <w:szCs w:val="28"/>
        </w:rPr>
        <w:t xml:space="preserve"> </w:t>
      </w:r>
      <w:r w:rsidR="005A42F8" w:rsidRPr="00B05341">
        <w:rPr>
          <w:rFonts w:ascii="Times New Roman" w:hAnsi="Times New Roman" w:cs="Times New Roman"/>
          <w:sz w:val="28"/>
          <w:szCs w:val="28"/>
        </w:rPr>
        <w:t xml:space="preserve">Пропоновані </w:t>
      </w:r>
      <w:r w:rsidR="005A42F8" w:rsidRPr="00B05341">
        <w:rPr>
          <w:rFonts w:ascii="Times New Roman" w:hAnsi="Times New Roman" w:cs="Times New Roman"/>
          <w:sz w:val="28"/>
          <w:szCs w:val="28"/>
        </w:rPr>
        <w:lastRenderedPageBreak/>
        <w:t>способи обійти означені втручання в основоположні права людини були відкинуті при затверджені чинної редакції ст.20 Конвенції</w:t>
      </w:r>
      <w:r w:rsidR="00DD57EC">
        <w:rPr>
          <w:rFonts w:ascii="Times New Roman" w:hAnsi="Times New Roman" w:cs="Times New Roman"/>
          <w:sz w:val="28"/>
          <w:szCs w:val="28"/>
        </w:rPr>
        <w:t xml:space="preserve"> </w:t>
      </w:r>
      <w:r w:rsidR="00DD57EC" w:rsidRPr="004D171D">
        <w:rPr>
          <w:rFonts w:ascii="Times New Roman" w:hAnsi="Times New Roman" w:cs="Times New Roman"/>
          <w:sz w:val="28"/>
          <w:szCs w:val="28"/>
        </w:rPr>
        <w:t>ООН проти корупції</w:t>
      </w:r>
      <w:r w:rsidR="005A42F8" w:rsidRPr="00B05341">
        <w:rPr>
          <w:rFonts w:ascii="Times New Roman" w:hAnsi="Times New Roman" w:cs="Times New Roman"/>
          <w:sz w:val="28"/>
          <w:szCs w:val="28"/>
        </w:rPr>
        <w:t xml:space="preserve"> та приречені вихолощувати суть і дієву силу</w:t>
      </w:r>
      <w:r w:rsidR="005A42F8">
        <w:rPr>
          <w:rFonts w:ascii="Times New Roman" w:hAnsi="Times New Roman" w:cs="Times New Roman"/>
          <w:sz w:val="28"/>
          <w:szCs w:val="28"/>
        </w:rPr>
        <w:t xml:space="preserve"> норми про незаконне збагачення, що слід врахувати при удосконаленні ст.368-2 КК України.</w:t>
      </w:r>
    </w:p>
    <w:sectPr w:rsidR="005A42F8" w:rsidRPr="00B05341" w:rsidSect="001F523A">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D2874" w:rsidRDefault="003D2874" w:rsidP="004D171D">
      <w:pPr>
        <w:spacing w:after="0" w:line="240" w:lineRule="auto"/>
      </w:pPr>
      <w:r>
        <w:separator/>
      </w:r>
    </w:p>
  </w:endnote>
  <w:endnote w:type="continuationSeparator" w:id="0">
    <w:p w:rsidR="003D2874" w:rsidRDefault="003D2874" w:rsidP="004D171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D2874" w:rsidRDefault="003D2874" w:rsidP="004D171D">
      <w:pPr>
        <w:spacing w:after="0" w:line="240" w:lineRule="auto"/>
      </w:pPr>
      <w:r>
        <w:separator/>
      </w:r>
    </w:p>
  </w:footnote>
  <w:footnote w:type="continuationSeparator" w:id="0">
    <w:p w:rsidR="003D2874" w:rsidRDefault="003D2874" w:rsidP="004D171D">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9"/>
  <w:doNotDisplayPageBoundaries/>
  <w:proofState w:spelling="clean" w:grammar="clean"/>
  <w:defaultTabStop w:val="708"/>
  <w:hyphenationZone w:val="425"/>
  <w:characterSpacingControl w:val="doNotCompress"/>
  <w:footnotePr>
    <w:footnote w:id="-1"/>
    <w:footnote w:id="0"/>
  </w:footnotePr>
  <w:endnotePr>
    <w:endnote w:id="-1"/>
    <w:endnote w:id="0"/>
  </w:endnotePr>
  <w:compat/>
  <w:rsids>
    <w:rsidRoot w:val="004D171D"/>
    <w:rsid w:val="00061539"/>
    <w:rsid w:val="001C708A"/>
    <w:rsid w:val="001F523A"/>
    <w:rsid w:val="002F2A21"/>
    <w:rsid w:val="00360A74"/>
    <w:rsid w:val="00362C11"/>
    <w:rsid w:val="003D1F8C"/>
    <w:rsid w:val="003D2874"/>
    <w:rsid w:val="00423AE8"/>
    <w:rsid w:val="004D171D"/>
    <w:rsid w:val="005A42F8"/>
    <w:rsid w:val="006F0CC6"/>
    <w:rsid w:val="00742AF6"/>
    <w:rsid w:val="007B5591"/>
    <w:rsid w:val="008B6C9A"/>
    <w:rsid w:val="00A13FB7"/>
    <w:rsid w:val="00B74F0E"/>
    <w:rsid w:val="00B76DA3"/>
    <w:rsid w:val="00C53796"/>
    <w:rsid w:val="00DD57EC"/>
    <w:rsid w:val="00ED2E00"/>
    <w:rsid w:val="00FE664D"/>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D171D"/>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nhideWhenUsed/>
    <w:rsid w:val="004D171D"/>
    <w:pPr>
      <w:spacing w:after="0" w:line="240" w:lineRule="auto"/>
    </w:pPr>
    <w:rPr>
      <w:sz w:val="20"/>
      <w:szCs w:val="20"/>
    </w:rPr>
  </w:style>
  <w:style w:type="character" w:customStyle="1" w:styleId="a4">
    <w:name w:val="Текст сноски Знак"/>
    <w:basedOn w:val="a0"/>
    <w:link w:val="a3"/>
    <w:rsid w:val="004D171D"/>
    <w:rPr>
      <w:sz w:val="20"/>
      <w:szCs w:val="20"/>
    </w:rPr>
  </w:style>
  <w:style w:type="character" w:styleId="a5">
    <w:name w:val="footnote reference"/>
    <w:basedOn w:val="a0"/>
    <w:semiHidden/>
    <w:unhideWhenUsed/>
    <w:rsid w:val="004D171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1.c1.rada.gov.ua/pls/radan_gs09/ns_pd2?day_=16&amp;month_=09&amp;year=2014&amp;nom_s=5"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irbis-nbuv.gov.ua/cgi-bin/irbis64r_81/cgiirbis_64.exe?Z21ID=&amp;I21DBN=ARD&amp;P21DBN=ARD&amp;S21STN=1&amp;S21REF=10&amp;S21FMT=fullwebr&amp;C21COM=S&amp;S21CNR=20&amp;S21P01=0&amp;S21P02=0&amp;S21P03=A=&amp;S21COLORTERMS=1&amp;S21STR=%D0%9A%D1%80%D0%B8%D0%B6%D0%B0%D0%BD%D1%96%D0%B2%D1%81%D1%8C%D0%BA%D0%B8%D0%B9%20%D0%92.%D0%92.$"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4</Pages>
  <Words>4643</Words>
  <Characters>2647</Characters>
  <Application>Microsoft Office Word</Application>
  <DocSecurity>0</DocSecurity>
  <Lines>22</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7276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4</cp:revision>
  <dcterms:created xsi:type="dcterms:W3CDTF">2015-05-10T19:53:00Z</dcterms:created>
  <dcterms:modified xsi:type="dcterms:W3CDTF">2015-05-10T20:16:00Z</dcterms:modified>
</cp:coreProperties>
</file>