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6948" w:rsidRDefault="00C87CC6">
      <w:pPr>
        <w:pStyle w:val="normal"/>
        <w:keepNext/>
        <w:ind w:firstLine="0"/>
        <w:jc w:val="center"/>
        <w:rPr>
          <w:b/>
        </w:rPr>
      </w:pPr>
      <w:bookmarkStart w:id="0" w:name="_gjdgxs" w:colFirst="0" w:colLast="0"/>
      <w:bookmarkEnd w:id="0"/>
      <w:r>
        <w:rPr>
          <w:b/>
        </w:rPr>
        <w:t>АНОТАЦІЯ</w:t>
      </w:r>
    </w:p>
    <w:p w:rsidR="005B6948" w:rsidRDefault="00C87CC6">
      <w:pPr>
        <w:pStyle w:val="normal"/>
      </w:pPr>
      <w:r>
        <w:rPr>
          <w:b/>
          <w:i/>
        </w:rPr>
        <w:t xml:space="preserve">Аліна С.С. </w:t>
      </w:r>
      <w:r w:rsidR="002D79A8" w:rsidRPr="002D79A8">
        <w:rPr>
          <w:b/>
        </w:rPr>
        <w:t>Спадкування ІТ-об’єктів за сучасним цивільним законодавством</w:t>
      </w:r>
      <w:r>
        <w:rPr>
          <w:b/>
        </w:rPr>
        <w:t xml:space="preserve">. </w:t>
      </w:r>
      <w:r>
        <w:t>– Кваліфікаційна наукова праця на правах рукопису. Дисертація на здобуття ступеня доктора філософії за спеціальністю 081 – Право. – Національний університет «Одеська юридична академія», Одеса, 2020.</w:t>
      </w:r>
    </w:p>
    <w:p w:rsidR="005B6948" w:rsidRDefault="00C87CC6">
      <w:pPr>
        <w:pStyle w:val="normal"/>
      </w:pPr>
      <w:r>
        <w:t>Дисертація є першим у вітчизняній науці цивільного права спеціальним комплексним дослідженням спадкування ІТ-об’єктів за сучасним цивільним законодавством. У межах дослідження здійснено комплексний аналіз законодавства та юридичної практики з питань здійснення спадкових прав щодо ІТ-об’єктів в Україні та зарубіжних країнах. Визначено правову природу ІТ-об’єктів, співвіднесено природу віртуальних об’єктів та інших об’єктів цивільного права, з’ясоване місце ІТ-об’єктів серед традиційних об’єктів спадкового права. Доведено, що природа ІТ-об’єктів різниться залежно від виду технологій, що застосовуються для створення, зміни, обслуговування або використання окремого об’єкта ІТ-середовища. Правова природа віртуальних об’єктів відмінна від правової природи речей, що зумовлено нематеріальністю таких об’єктів та особливостями здійснення цивільних прав щодо них. Доведено, що обґрунтування необхідності запровадження особливого правового режиму спадкування електронних об’єктів є перспективним напрямком наукових досліджень з комплексним предметом, що передбачає взаємодію з представниками різних наук та технічними спеціалістами.</w:t>
      </w:r>
    </w:p>
    <w:p w:rsidR="005B6948" w:rsidRDefault="00C87CC6">
      <w:pPr>
        <w:pStyle w:val="normal"/>
      </w:pPr>
      <w:r>
        <w:t xml:space="preserve">Визначено, що віднесення цифрових об’єктів до товарів чи послуг, речей чи інформації при спробі їх визначення звужує потенційне коло таких об’єктів та взагалі не розкриває їх правову природу. Одночасно з цим звуження сфери існування відносин щодо ІТ-обєктів лише до Інтернет-середовища є некоректним. Засоби мережі Інтернет лише забезпечують доступ до окремих елементів мережі, які можуть являти собою повноцінні «віртуальні екосистеми» з власною структурою, законами існування та можливою поведінкою суб’єктів. Інтернет у даному випадку слугує лише способом </w:t>
      </w:r>
      <w:r>
        <w:lastRenderedPageBreak/>
        <w:t>передачі вимоги про намір вчинити якусь дію щодо об’єкта в такій віртуальній системі.</w:t>
      </w:r>
    </w:p>
    <w:p w:rsidR="005B6948" w:rsidRDefault="00C87CC6">
      <w:pPr>
        <w:pStyle w:val="normal"/>
      </w:pPr>
      <w:r>
        <w:t>Для об’єктивного визначення дійсного кола цифрових об’єктів пропонується класифікувати останні за такими критеріями: функціональний, майновий, аксіологічний, об’єктиваційний та юридичний критерії.</w:t>
      </w:r>
    </w:p>
    <w:p w:rsidR="005B6948" w:rsidRDefault="00C87CC6">
      <w:pPr>
        <w:pStyle w:val="normal"/>
      </w:pPr>
      <w:r>
        <w:t>За функціональним критерієм серед цифрових об’єктів можна виділити текстовий, графічний та аудіовізуальний контенти, програмні компоненти, засоби індивідуалізації в соціальних мережах, віртуальні гроші та цінні папери, об’єкти ігрових та інших віртуальних світів.</w:t>
      </w:r>
    </w:p>
    <w:p w:rsidR="005B6948" w:rsidRDefault="00C87CC6">
      <w:pPr>
        <w:pStyle w:val="normal"/>
      </w:pPr>
      <w:r>
        <w:t>Унаслідок поділу за критерієм «майновості» система об’єктів цивільних правовідносин може бути представлена в такому вигляді: майнові об’єкти (можуть бути адекватно оцінені в грошах) та немайнові об’єкти (не мають еквівалентної грошової оцінки: особисті немайнові блага, інформація, результати інтелектуальної діяльності). Всі цифрові об’єкти можуть бути також поділені на майнові та немайнові. До майнових можуть бути віднесені кри</w:t>
      </w:r>
      <w:r w:rsidR="001337D3">
        <w:rPr>
          <w:lang w:val="ru-RU"/>
        </w:rPr>
        <w:t>п</w:t>
      </w:r>
      <w:r>
        <w:t>товалютні активи, токени, цифрові гроші та інше цифрове майно. Виключно немайновий характер мають персональні цифрові архіви, історії месенджерів, інтернет-репутація тощо.</w:t>
      </w:r>
    </w:p>
    <w:p w:rsidR="005B6948" w:rsidRDefault="00C87CC6">
      <w:pPr>
        <w:pStyle w:val="normal"/>
      </w:pPr>
      <w:r>
        <w:t>Відповідно до аксіологічного критерія можна виділити об’єкти, що мають інформаційну, культурну, естетичну, репутаційну, економічну, духовну або комплексну з перерахованих цінність.</w:t>
      </w:r>
    </w:p>
    <w:p w:rsidR="005B6948" w:rsidRDefault="00C87CC6">
      <w:pPr>
        <w:pStyle w:val="normal"/>
      </w:pPr>
      <w:r>
        <w:t>Відповідно до форми та способу об’єктивації цифрових об’єктів їх можна поділити на об’єкти, що співвідносяться з об’єктами реальної дійсності, та об’єкти, що передбачають лише віртуальне існування (віртуальні об’єкти). До першого виду відносяться, наприклад, текстові шрифти та стилі, що можуть бути роздруковані, або налаштування обладнання, тобто програмні компоненти, що взаємодіють з конкретними механізмами. Другий же вид включає такі об’єкти, об’єктивація яких неможлива в реальному світі (наприклад, зброя або одяг в комп’ютерній грі</w:t>
      </w:r>
      <w:r w:rsidR="00862791" w:rsidRPr="00862791">
        <w:t>,</w:t>
      </w:r>
      <w:r>
        <w:t xml:space="preserve"> рейтингові </w:t>
      </w:r>
      <w:r w:rsidR="00862791" w:rsidRPr="00862791">
        <w:t>бали</w:t>
      </w:r>
      <w:r>
        <w:t xml:space="preserve"> чи репутаційні </w:t>
      </w:r>
      <w:r>
        <w:lastRenderedPageBreak/>
        <w:t>досягнення</w:t>
      </w:r>
      <w:r w:rsidR="00862791" w:rsidRPr="00862791">
        <w:t>,</w:t>
      </w:r>
      <w:r>
        <w:t xml:space="preserve"> елементи індивідуалізації в соціальній мережі</w:t>
      </w:r>
      <w:r w:rsidR="00862791" w:rsidRPr="00862791">
        <w:t>,</w:t>
      </w:r>
      <w:r>
        <w:t xml:space="preserve"> робочий варіант графічного або аудіовізуального контенту у вигляді відповідного файлу програмного редактора тощо).</w:t>
      </w:r>
    </w:p>
    <w:p w:rsidR="005B6948" w:rsidRDefault="00C87CC6">
      <w:pPr>
        <w:pStyle w:val="normal"/>
      </w:pPr>
      <w:r>
        <w:t>Визначено поняття віртуальних об’єктів, під якими пропонується розуміти елементи віртуального простору, що не мають аналогічного матеріального виразу, становлять естетичну, культурну, інформаційну, економічну або іншу цінність, інтегровані до відповідної віртуальної системи, доступ до якої здійснюється за допомогою технічних засобів з використанням інформаційних технологій.</w:t>
      </w:r>
    </w:p>
    <w:p w:rsidR="005B6948" w:rsidRDefault="00C87CC6">
      <w:pPr>
        <w:pStyle w:val="normal"/>
      </w:pPr>
      <w:r>
        <w:t>Виділено характерні особливості, які прямо або опосередковано властиві більшості цифрових об’єктів та впливають на можливість їх потенційної передачі у спадок у випадку смерті власника: динамічність існування ІТ-об’єктів; анонімність та знеособлення в питаннях володіння та використання окремих ІТ-об’єктів; знаходження окремих об’єктів поза межами впливу держави та національного законодавства; нетрадиційність способів монетизації окремих об’єктів ІТ; невизначеність реальної та потенційної цінності окремих об’єктів.</w:t>
      </w:r>
    </w:p>
    <w:p w:rsidR="005B6948" w:rsidRDefault="00C87CC6">
      <w:pPr>
        <w:pStyle w:val="normal"/>
      </w:pPr>
      <w:r>
        <w:t xml:space="preserve">Встановлено, що динаміка виникнення та існування ІТ-об’єктів виявляється в трьох ключових для можливості їх коректного правового регулювання факторах: максимальній швидкості їх виникнення та поширення; стрімкому розширенні сфери застосування та видозміні первинного об’єкта; раптовості їх занепаду та зникнення через заміну новими об’єктами. Перший фактор фактично виключає можливість законодавця встигати за розвитком інформаційних технологій і об’єктами, що породжуються завдяки цим технологіям. Крім того, важливе значення має той факт, що значна частина ІТ-об’єктів сьогодні впроваджуються незалежними від держави користувачами інформаційних технологій. Держава найчастіше не включена до тієї системи відносин, що формуються щодо того чи іншого цифрового об’єкта, а, отже, потребується значний об’єм науково-дослідної, законотворчої та </w:t>
      </w:r>
      <w:r>
        <w:lastRenderedPageBreak/>
        <w:t>правозастосовчої роботи для врегулювання відносин щодо цифрових об’єктів та включення цих відносин до усталеної системи внутрішньодержавних цивільних правовідносин.</w:t>
      </w:r>
    </w:p>
    <w:p w:rsidR="005B6948" w:rsidRDefault="00C87CC6">
      <w:pPr>
        <w:pStyle w:val="normal"/>
      </w:pPr>
      <w:r>
        <w:t xml:space="preserve">Доведено, що перешкодою для однотипного правового регулювання спадкування всіх ІТ-об’єктів є позаправові етичні моменти, яких неможливо уникнути в правових відносинах щодо приватного життя особи. На відміну від об’єктів авторського права, об’єкти ІТ, що передбачають персональний доступ користувача, можуть зберігати приватну, конфіденційну інформацію інших осіб (наприклад, листування з питань, пов’язаних з виконанням службових обов’язків), розкривати особисту інформацію, яку померла особа не бажала б поширювати (відомості про звички, вчинки, особисті контакти) або інформацію щодо інших осіб, що могла стати відомою в результаті активності померлої особи в Інтернеті. Встановлено, що включення такого об’єкту ІТ до заповіту дозволяє достовірно визначити волю спадкодавця, однак у випадку спадкування за законом воля спадкодавця не може бути визначена коректно. Вирішенням цієї проблеми може слугувати підписання окремого пункту </w:t>
      </w:r>
      <w:r w:rsidRPr="0045647C">
        <w:rPr>
          <w:color w:val="000000" w:themeColor="text1"/>
        </w:rPr>
        <w:t>користувацької</w:t>
      </w:r>
      <w:r>
        <w:rPr>
          <w:color w:val="FF0000"/>
        </w:rPr>
        <w:t xml:space="preserve"> </w:t>
      </w:r>
      <w:r>
        <w:t>угоди, згідно з яким користувач може самостійно вирішувати долю свого об’єкта ІТ після своєї смерті (така можливість вже передбачена для користувачів Google, Facebook та декількох інших сервісів).</w:t>
      </w:r>
    </w:p>
    <w:p w:rsidR="005B6948" w:rsidRDefault="00C87CC6">
      <w:pPr>
        <w:pStyle w:val="normal"/>
      </w:pPr>
      <w:r>
        <w:t>З’ясовано, що заходи з пошуку спадкового майна, які застосовуються нотаріусом або зацікавленою стороною, абсолютно неефективні у випадку пошуку цифрових об’єктів, які належали спадкодавцю, адже саме анонімність і конфіденційність стають перепонами при пошукових заходах.</w:t>
      </w:r>
    </w:p>
    <w:p w:rsidR="005B6948" w:rsidRDefault="00C87CC6">
      <w:pPr>
        <w:pStyle w:val="normal"/>
      </w:pPr>
      <w:r>
        <w:t xml:space="preserve">На підставі аналізу чинного законодавства та юридичної практики зроблено висновок, що інформаційні технології вже зараз широко застосовуються в реалізації спадкових прав. Найбільш характерними прикладами їх застосування слугують складання заповіту із залученням технічних засобів, фіксація посвідчення заповіту за допомогою технічних засобів, звернення нотаріуса в процесі пошуку майна до електронних реєстрів, </w:t>
      </w:r>
      <w:r>
        <w:lastRenderedPageBreak/>
        <w:t>ведення спадкового реєстру. Однак констатовано недостатню залученість існуючих технологій до відносин щодо складання, посвідчення та реалізації заповіту, що пояснюється жорстким імперативним режимом, встановленим для форми заповіту. Виключно нотаріально посвідчена письмова форма заповіту з подальшим його перенесенням на спеціальний бланк є значною перепоною для залучення сучасних технологій до спадкових правовідносин. Імплементація інституту електронного заповіту та розширення режиму секретного заповіту є перспективними напрямками наукової та законодавчої роботи в даній сфері.</w:t>
      </w:r>
    </w:p>
    <w:p w:rsidR="005B6948" w:rsidRDefault="00C87CC6">
      <w:pPr>
        <w:pStyle w:val="normal"/>
      </w:pPr>
      <w:r>
        <w:t>Визначено зміст поняття електронний заповіт, під яким запропоновано розуміти односторонній правочин щодо розпорядження правами на віртуальне майно на випадок смерті правовласника. Одночасно відзначено, що від електронних заповітів слід відрізняти заповіти в електронній формі, вчинення яких передбачено в деяких іноземних державах. Використання електронної форми заповіту – прогресивне надбання інформаційного суспільства. Сучасні можливості використання інформаційних технологій, однак, не знаходять вчасного відображення в законодавстві, а, отже, від цього факту втрачає й юридична практика.</w:t>
      </w:r>
    </w:p>
    <w:p w:rsidR="005B6948" w:rsidRDefault="00C87CC6">
      <w:pPr>
        <w:pStyle w:val="normal"/>
      </w:pPr>
      <w:r>
        <w:t xml:space="preserve">Відзначено, що сучасні тенденції у розвитку Інтернет-ресурсів дозволяють говорити про новий спосіб складання секретного заповіту, а саме розміщення текстового варіанта волевиявлення або відеозапису заповідального розпорядження на Web-сайті або Web-сторінці заповідача. При складанні заповіту в такий спосіб заповідач у заклеєному конверті подає лише Web-адресу (посилання) сторінки чи сайту та вказівку на шляхи отримання коду доступу до цих Інтернет-ресурсів. Використання такого способу складання секретного заповіту дозволяє вносити зміни та скасовувати його без зайвого звернення до нотаріуса. Запропоновано шляхом внесення доповнення до ст. 1249 ЦК України розширити можливості щодо складання секретного заповіту, встановивши можливість складання секретного заповіту шляхом розміщення текстового варіанта, звуко- чи відеозапису в електронних ресурсах чи на </w:t>
      </w:r>
      <w:r>
        <w:lastRenderedPageBreak/>
        <w:t>твердих носіях інформації. Посвідчуючи такий заповіт, нотаріус зобов’язаний при вчиненні нотаріальних дій відобразити той факт, що секретний заповіт був поданий у конверті на відповідному носієві інформації.</w:t>
      </w:r>
    </w:p>
    <w:p w:rsidR="005B6948" w:rsidRDefault="00C87CC6">
      <w:pPr>
        <w:pStyle w:val="normal"/>
      </w:pPr>
      <w:r w:rsidRPr="00137CBA">
        <w:t>Встановлено, що неоднорідність об’єктів ІТ, права на які можуть належати фізичним особам, визначає й відмінності у можливостях їх передачі у спадок. Так, не всі об’єкти ІТ відносяться до об’єктів інтелектуальної власності, а, отже, окремі об’єкти ІТ не підпадають під правовий режим спадкування прав інтелектуальної власності. Об’єкти інтелектуальної власності як специфічний об’єкт цивільного обороту мають особливий порядок спадкування, що зумовлюється тим, що на об’єкт інтелектуальної власності існують як майнові, так і немайнові права. При цьому за загальним правилом спадкоємці отримують тільки майнові права щодо інтелектуальної власності.</w:t>
      </w:r>
    </w:p>
    <w:p w:rsidR="005B6948" w:rsidRDefault="00C87CC6">
      <w:pPr>
        <w:pStyle w:val="normal"/>
      </w:pPr>
      <w:r>
        <w:t>Відзначено, що вітчизняне законодавство не враховує еволюції баз даних, адже на практиці виникають ситуації, коли розробник є автором не комп’ютерної програми чи бази даних, а, наприклад, принципу пошуку серед аудіо-візуального контенту чи його зберігання, а, отже, не підпадає під режим правового захисту.</w:t>
      </w:r>
    </w:p>
    <w:p w:rsidR="005B6948" w:rsidRDefault="00C87CC6">
      <w:pPr>
        <w:pStyle w:val="normal"/>
      </w:pPr>
      <w:r>
        <w:t>Визначено, що віртуальні об’єкти – це такі елементи віртуального простору, які не мають аналогічного матеріального виразу, становлять естетичну, культурну, інформаційну, економічну або іншу цінність, інтегровані до відповідної віртуальної системи, доступ до якої здійснюється за допомогою технічних засобів з використанням інформаційних технологій.</w:t>
      </w:r>
    </w:p>
    <w:p w:rsidR="005B6948" w:rsidRDefault="00C87CC6">
      <w:pPr>
        <w:pStyle w:val="normal"/>
      </w:pPr>
      <w:r>
        <w:t>На підставі аналізу юридичної практики встановлено, що спадкування будь-яких об’єктів, які не мають вираження в реальному світі, є неможливим в реалізації згідно з чинним законодавством. Якщо права інтелектуальної власності на електронні бази даних, домени, комп’ютерні програми з деякими виключеннями знайшли своє місце серед прав, що можуть бути успадковані, то спадкування криптовалютних гаманців, індивідуальних та публічних сторінок у соціальних мережах, профіл</w:t>
      </w:r>
      <w:r w:rsidR="00862791">
        <w:t>ів</w:t>
      </w:r>
      <w:r>
        <w:t xml:space="preserve"> доступу до електронних ресурсів, електронних </w:t>
      </w:r>
      <w:r>
        <w:lastRenderedPageBreak/>
        <w:t>поштових скриньок, підписок на медіа-продукти та інші віртуальні об’єкти не врегульоване чинним законодавством. Українське законодавство не містить норм, що регулюють порядок спадкування об’єктів у віртуальному просторі, таких, як профілі в соцмережах, аккаунти, та інших облікових записів в мережі Інтернет чи інших мережах, які передбачають персональний доступ до них.</w:t>
      </w:r>
    </w:p>
    <w:p w:rsidR="005B6948" w:rsidRDefault="00C87CC6">
      <w:pPr>
        <w:pStyle w:val="normal"/>
      </w:pPr>
      <w:r>
        <w:t>На підставі аналізу практики користування сучасними платіжними системами визначено, що Яндекс-гроші, WebMoney, Qiwi тощо є платіжними системами, за допомогою яких проводяться операції з різними «традиційними» валютами – гривнями, доларами, євро та ін. У даному випадку йдеться про електронні гроші, що еквівалентні номіналу в тій чи іншій валюті. Bitcoin, у свою чергу, має критичні відмінності від таких систем. Доведено, що правова природа криптовалюти за українським законодавством не є визначеною, але одночасно криптовалюта не може бути прирівняна до засобу платежу, так само як і до валютної цінності. Водночас криптовалюти створені з метою їх використання як засобів платежу і за своїми характеристиками цілком здатні виконувати основні функції грошей.</w:t>
      </w:r>
    </w:p>
    <w:p w:rsidR="005B6948" w:rsidRDefault="00C87CC6">
      <w:pPr>
        <w:pStyle w:val="normal"/>
      </w:pPr>
      <w:r>
        <w:t>Спадкування криптовалютних активів за законом є технічно неможливим процесом через особливості самого об’єкта. Щодо заповіту, то відповідно до цивільного законодавства особа може залишити секретний заповіт, режим якого, безумовно, дозволяє включити до складу переданого у спадок криптовалютний актив.</w:t>
      </w:r>
    </w:p>
    <w:p w:rsidR="005B6948" w:rsidRDefault="00C87CC6">
      <w:pPr>
        <w:pStyle w:val="normal"/>
      </w:pPr>
      <w:r>
        <w:t>Здійснено класифікацію всіх способів успадкування таким чином: традиційні (з використанням механізмів, закріплених у чинному законодавстві); технологічні; змішані.</w:t>
      </w:r>
      <w:r w:rsidR="0045647C">
        <w:t xml:space="preserve"> </w:t>
      </w:r>
      <w:r>
        <w:t xml:space="preserve">Серед традиційних способів спадкування криптовалют запропоновано використання класичного заповіту із зазначенням даних криптовалютного гаманця та ключу доступу до нього. У даний спосіб, однак, нівелюється анонімність володіння таким гаманцем та існує небезпека втрати коштів через інформованість інших осіб. Серед технологічних способів передачі криптовалютних активів спадкоємцям виділяються: системи </w:t>
      </w:r>
      <w:r>
        <w:lastRenderedPageBreak/>
        <w:t>відстроченого платежу, що вбудовані в самі програми-клієнти крипто-гаманців; використання спеціально створених інтернет-ресурсів по спадкуванню цифрових активів; системи відстроченого доступу до гаманця. До змішаних способів можна віднести спадкування крипто-гаманців у паперовій та апаратній формах. Ключі доступу можуть являти собою цілком традиційні речі, а вказівка на їх розташування може міститися в тексті заповіту.</w:t>
      </w:r>
    </w:p>
    <w:p w:rsidR="005B6948" w:rsidRDefault="00C87CC6">
      <w:pPr>
        <w:pStyle w:val="normal"/>
      </w:pPr>
      <w:r>
        <w:t xml:space="preserve">Виокремлено відмінності в спадкуванні токенів щодо інших криптовалютних активів. </w:t>
      </w:r>
      <w:r w:rsidR="0045647C">
        <w:t>З’ясовано</w:t>
      </w:r>
      <w:r>
        <w:t>, що для токенів характерним є суб’єкт, на якого може бути спрямовано стягнення коштів на користь спадкоємців, однак дана процедура не врегульована національним законодавством, а суди відмовляють при вирішенні спорів щодо такого об’єкта як токени. Аналіз вітчизняної судової та нотаріальної практики свідчить про значний консерватизм суддів та нотаріусів у випадках необхідності вирішувати справи із залученням таких об’єктів, як криптовалютні активи.</w:t>
      </w:r>
    </w:p>
    <w:p w:rsidR="005B6948" w:rsidRDefault="00C87CC6">
      <w:pPr>
        <w:pStyle w:val="normal"/>
      </w:pPr>
      <w:r>
        <w:rPr>
          <w:b/>
          <w:i/>
        </w:rPr>
        <w:t xml:space="preserve">Ключові слова: </w:t>
      </w:r>
      <w:r>
        <w:t>інформаційні технології, цифрові об’єкти, віртуальні об’єкти, криптовалютні активи, цифровий заповіт, спадкування за законом, спадкування за заповітом, захист спадкових прав.</w:t>
      </w:r>
    </w:p>
    <w:p w:rsidR="005B6948" w:rsidRDefault="005B6948">
      <w:pPr>
        <w:pStyle w:val="normal"/>
        <w:keepNext/>
        <w:ind w:firstLine="0"/>
        <w:jc w:val="center"/>
        <w:rPr>
          <w:b/>
        </w:rPr>
      </w:pPr>
      <w:bookmarkStart w:id="1" w:name="_30j0zll" w:colFirst="0" w:colLast="0"/>
      <w:bookmarkEnd w:id="1"/>
    </w:p>
    <w:p w:rsidR="005B6948" w:rsidRDefault="00C87CC6">
      <w:pPr>
        <w:pStyle w:val="normal"/>
        <w:keepNext/>
        <w:ind w:firstLine="0"/>
        <w:jc w:val="center"/>
        <w:rPr>
          <w:b/>
        </w:rPr>
      </w:pPr>
      <w:r>
        <w:rPr>
          <w:b/>
        </w:rPr>
        <w:t>SUMMARY</w:t>
      </w:r>
    </w:p>
    <w:p w:rsidR="005B6948" w:rsidRDefault="00C87CC6">
      <w:pPr>
        <w:pStyle w:val="normal"/>
        <w:rPr>
          <w:color w:val="000000"/>
        </w:rPr>
      </w:pPr>
      <w:r>
        <w:rPr>
          <w:b/>
          <w:i/>
        </w:rPr>
        <w:t xml:space="preserve">Alina S.S. </w:t>
      </w:r>
      <w:r w:rsidR="002D79A8" w:rsidRPr="002D79A8">
        <w:rPr>
          <w:b/>
        </w:rPr>
        <w:t>Inheritance of IT</w:t>
      </w:r>
      <w:r w:rsidR="0045647C">
        <w:rPr>
          <w:b/>
        </w:rPr>
        <w:t>-</w:t>
      </w:r>
      <w:r w:rsidR="002D79A8" w:rsidRPr="002D79A8">
        <w:rPr>
          <w:b/>
        </w:rPr>
        <w:t>objects under modern civil law</w:t>
      </w:r>
      <w:r>
        <w:rPr>
          <w:b/>
        </w:rPr>
        <w:t>.</w:t>
      </w:r>
      <w:r w:rsidR="002D79A8">
        <w:rPr>
          <w:b/>
        </w:rPr>
        <w:t xml:space="preserve"> </w:t>
      </w:r>
      <w:r>
        <w:rPr>
          <w:b/>
        </w:rPr>
        <w:t xml:space="preserve"> </w:t>
      </w:r>
      <w:r>
        <w:t>– Qualification scientific work, manuscript copyright. Thesis for a Ph.D. degree in specialty 081 – Law. – National University “Odessa Law Academy”, Odesa, 2020.</w:t>
      </w:r>
    </w:p>
    <w:p w:rsidR="005B6948" w:rsidRDefault="00C87CC6">
      <w:pPr>
        <w:pStyle w:val="normal"/>
      </w:pPr>
      <w:r>
        <w:t xml:space="preserve">The dissertation is the first in the national science of civil law by a special complex study of the inheritance of IT objects under modern civil law. The study provides a comprehensive analysis of the law and legal practice on the exercise of hereditary rights in respect of IT objects in Ukraine and foreign countries. The legal nature of IT objects is determined, the nature of virtual objects and other civil law objects is correlated, the place of IT objects among the traditional objects of inheritance law is determined. It has been proven that the nature of IT objects varies </w:t>
      </w:r>
      <w:r>
        <w:lastRenderedPageBreak/>
        <w:t>depending on the type of technology used to create, modify, maintain, or use an individual IT environment. The legal nature of virtual objects is different from the legal nature of things, due to the intangibility of such objects and the peculiarities of the exercise of civil rights against them. It is proved that substantiation of necessity of introduction of a special legal regime of inheritance of electronic objects is a promising direction of scientific research with a complex subject, which involves interaction with representatives of various sciences and technical specialists.</w:t>
      </w:r>
    </w:p>
    <w:p w:rsidR="005B6948" w:rsidRDefault="00C87CC6">
      <w:pPr>
        <w:pStyle w:val="normal"/>
      </w:pPr>
      <w:r>
        <w:t>It has been determined that attributing digital objects to goods or services, things or information when trying to identify them narrows the potential range of such objects and does not disclose their legal nature at all. At the same time, it is incorrect to narrow the scope of relations with IT objects only to the Internet environment. The tools of the Internet only provide access to individual elements of the network, which may be complete "virtual ecosystems" with their own structure, laws of existence and possible behavior of subjects. In this case, the Internet is merely a means of transmitting a request to act on an object in such a virtual system.</w:t>
      </w:r>
    </w:p>
    <w:p w:rsidR="005B6948" w:rsidRDefault="00C87CC6">
      <w:pPr>
        <w:pStyle w:val="normal"/>
      </w:pPr>
      <w:r>
        <w:t>To objectively determine the true range of digital objects, it is proposed to classify the latter by the following criteria: functional, property, axiological, objective, and legal criteria.</w:t>
      </w:r>
    </w:p>
    <w:p w:rsidR="005B6948" w:rsidRDefault="00C87CC6">
      <w:pPr>
        <w:pStyle w:val="normal"/>
      </w:pPr>
      <w:r>
        <w:t>By functional criterion, digital objects include text, graphics, and audio-visual content, software components, social networking tools, virtual money and securities, gaming and other virtual worlds.</w:t>
      </w:r>
    </w:p>
    <w:p w:rsidR="005B6948" w:rsidRDefault="00C87CC6">
      <w:pPr>
        <w:pStyle w:val="normal"/>
      </w:pPr>
      <w:r>
        <w:t>Due to the division by the criterion of "property" the system of objects of civil legal relations can be represented in the following form: property objects (can be adequately valued in money) and non-property objects (do not have equivalent monetary value: personal non-property benefits, information, results of intellectual activity). All digital objects can also be divided into property and non-property. Proprietary assets include token assets, tokens, digital money, and other digital assets. Personal digital archives, messenger histories, online reputations, etc. are exclusively non-property.</w:t>
      </w:r>
    </w:p>
    <w:p w:rsidR="005B6948" w:rsidRDefault="00C87CC6">
      <w:pPr>
        <w:pStyle w:val="normal"/>
      </w:pPr>
      <w:r>
        <w:lastRenderedPageBreak/>
        <w:t>According to the axiological criterion, objects that have informational, cultural, aesthetic, reputational, economic, spiritual or complex value can be distinguished.</w:t>
      </w:r>
    </w:p>
    <w:p w:rsidR="005B6948" w:rsidRDefault="00C87CC6">
      <w:pPr>
        <w:pStyle w:val="normal"/>
      </w:pPr>
      <w:r>
        <w:t>Depending on the form and method of objectification of digital objects, they can be divided into objects that relate to reality objects and objects that only assume a virtual existence (virtual objects). The first type includes, for example, text fonts and printable styles, or customization of hardware, that is, software components that interact with specific mechanisms. The second type includes objects that are impossible to objectify in the real world (for example, weapons or clothing in a computer game; rating points or reputational achievements; elements of socialization individualization; a working version of graphic or audiovisual content in the form of appropriate program editor file, etc.).</w:t>
      </w:r>
    </w:p>
    <w:p w:rsidR="005B6948" w:rsidRDefault="00C87CC6">
      <w:pPr>
        <w:pStyle w:val="normal"/>
      </w:pPr>
      <w:r>
        <w:t>We have defined the concepts of virtual objects that are meant to be understood as elements of virtual space that do not have the same material expression, are of aesthetic, cultural, informational, economic or other value, integrated into the corresponding virtual system, which is accessed through the technical means of using information technology.</w:t>
      </w:r>
    </w:p>
    <w:p w:rsidR="005B6948" w:rsidRDefault="00C87CC6">
      <w:pPr>
        <w:pStyle w:val="normal"/>
      </w:pPr>
      <w:r>
        <w:t>We have also identified features that directly or indirectly affect most digital assets and affect the potential for inheritance in the event of the owner’s death: the dynamism of the existence of IT objects; anonymity and impersonation regarding the ownership and use of individual IT objects; finding individual objects beyond the influence of state and national legislation; unconventional ways to monetize individual IT assets; uncertainty about the real and potential value of individual assets.</w:t>
      </w:r>
    </w:p>
    <w:p w:rsidR="005B6948" w:rsidRDefault="00C87CC6">
      <w:pPr>
        <w:pStyle w:val="normal"/>
      </w:pPr>
      <w:r>
        <w:t xml:space="preserve">It is determined that the dynamics of the emergence and existence of IT objects is reflected in three key factors for their correct legal regulation: the maximum speed of their emergence and dissemination; rapid expansion of the scope and modification of the primary object; the suddenness of their decline and their disappearance due to the replacement of new objects. The first factor in fact eliminates the possibility for the legislature to keep up with the development of information technologies and the </w:t>
      </w:r>
      <w:r>
        <w:lastRenderedPageBreak/>
        <w:t>objects generated by these technologies. Also of great importance is the fact that a large part of IT facilities are implemented today by state-independent IT users. The state is often not included in the system of relations that are formed for a particular digital object, and therefore a considerable amount of research, lawmaking and enforcement work is needed to regulate relations with digital objects and to include these relations in the established system. domestic civil relations.</w:t>
      </w:r>
    </w:p>
    <w:p w:rsidR="005B6948" w:rsidRDefault="00C87CC6">
      <w:pPr>
        <w:pStyle w:val="normal"/>
      </w:pPr>
      <w:r>
        <w:t>It has been proven that unlawful ethical considerations that cannot be avoided in a person’s legal privacy are an obstacle to the typical legal regulation of the inheritance of all IT objects. Unlike copyrighted objects, IT entities that provide personal access to the user may store private, confidential information of others (such as correspondence on performance of duties), disclose personal information, which the deceased person would not wish to disseminate (information about habits, actions, personal contacts) or information about other persons that might have become known as a result of the deceased person’s activity on the Internet. It has been determined that the inclusion of such an IT object in a will allows us to determine the will of the testator in a faithful way, but in the case of inheritance by law, the will of the heir cannot be determined correctly. The solution to this problem may be the signing of a separate user agreement, according to which the user can independently decide the fate of his IT object after his death (this possibility is already provided for users of Google, Facebook and several other services).</w:t>
      </w:r>
    </w:p>
    <w:p w:rsidR="005B6948" w:rsidRDefault="00C87CC6">
      <w:pPr>
        <w:pStyle w:val="normal"/>
      </w:pPr>
      <w:r>
        <w:t>It has been found that inheritance measures taken by a notary or a stakeholder are completely ineffective in the search for digital objects that belong to the heir, since anonymity and privacy are a barrier to search activities.</w:t>
      </w:r>
    </w:p>
    <w:p w:rsidR="005B6948" w:rsidRDefault="00C87CC6">
      <w:pPr>
        <w:pStyle w:val="normal"/>
      </w:pPr>
      <w:r>
        <w:t xml:space="preserve">Based on the analysis of the current legislation and legal practice, it is concluded that information technologies are already widely used in the exercise of hereditary rights. The most typical examples of their application are drawing up a will with the involvement of technical means, fixing the certificate of the will with the help of technical means, the notary’s application in the process of searching for property to electronic registers, keeping a hereditary register. However, there is a lack </w:t>
      </w:r>
      <w:r>
        <w:lastRenderedPageBreak/>
        <w:t>of involvement of existing technologies in relations concerning the drafting, certification and implementation of the will, which is explained by the strict imperative regime established for the form of the will. Only a notarized written form of a will and its subsequent transfer to a special form is a significant obstacle for bringing modern technologies to hereditary relationships. The implementation of the Electronic Testament Institute and the extension of the Secret Testament regime are promising areas of scientific and legislative work in this field.</w:t>
      </w:r>
    </w:p>
    <w:p w:rsidR="005B6948" w:rsidRDefault="00C87CC6">
      <w:pPr>
        <w:pStyle w:val="normal"/>
      </w:pPr>
      <w:r>
        <w:t>The content of the concept of electronic will under which it is proposed to understand this is a unilateral transaction concerning the disposal of rights to virtual property in the event of the death of the owner. At the same time, it is agreed that electronic covenants should be distinguished from electronic covenants, which are foreseen in some foreign countries. The use of electronic will is a progressive property of the information society. However, current opportunities for the use of information technologies are not reflected in the legislation in a timely manner, and therefore legal practice is losing ground.It is noted that current trends in the development of Internet resources allow us to speak about a new way of making a secret testament, namely, placing a text variant of the will or a video of a testamentary disposition on the Website or the website of the testator. When making a will, in this way the testator submits only the web address (links) of the page or site and instructions on how to obtain the access code to these Internet resources in the envelope. Using this method of drafting a secret will gives you the opportunity to make changes and to cancel it without unnecessary access to a notary. It is proposed by supplementing Art. 1249 of the Civil Code of Ukraine to expand the possibilities of making a secret will by determining the possibility of making a secret will by placing a text version, sound or video in electronic resources or on solid media. In notifying such a will, the notary is obliged, when committing notarial acts, to reflect the fact that the secret will was filed in an envelope on the appropriate medium of information.</w:t>
      </w:r>
    </w:p>
    <w:p w:rsidR="005B6948" w:rsidRDefault="00C87CC6">
      <w:pPr>
        <w:pStyle w:val="normal"/>
      </w:pPr>
      <w:r>
        <w:lastRenderedPageBreak/>
        <w:t>It is determined that the heterogeneity of IT objects that may be owned by individuals also determines the differences in their inheritance capabilities. Yes, not all IT objects are intellectual property, and therefore individual IT objects do not fall under the legal regime of inheritance of intellectual property rights. Intellectual property objects, as a specific civil turnover object, have a specific inheritance order, which is due to the fact that both intellectual property and non-property rights exist for the intellectual property object. At the same time, as a general rule, heirs receive only intellectual property rights.</w:t>
      </w:r>
    </w:p>
    <w:p w:rsidR="005B6948" w:rsidRDefault="00C87CC6">
      <w:pPr>
        <w:pStyle w:val="normal"/>
      </w:pPr>
      <w:r>
        <w:t>It is noted that the national legislation does not take into account the evolution of databases, because in practice there are situations when the developer is the author of a computer software or database, but, for example, the principle of searching among audio-visual content or its storage, and therefore does not fall under mode of legal protection.</w:t>
      </w:r>
    </w:p>
    <w:p w:rsidR="005B6948" w:rsidRDefault="00C87CC6">
      <w:pPr>
        <w:pStyle w:val="normal"/>
      </w:pPr>
      <w:r>
        <w:t>It is determined that virtual objects are such elements of virtual space that do not have the same material expression, represent aesthetic, cultural, informational, economic or other value, integrated into the corresponding virtual system, which is accessed by means of information technology technologies. .</w:t>
      </w:r>
    </w:p>
    <w:p w:rsidR="005B6948" w:rsidRDefault="00C87CC6">
      <w:pPr>
        <w:pStyle w:val="normal"/>
      </w:pPr>
      <w:r>
        <w:t>Based on the analysis of jurisprudence, it is determined that the inheritance of any objects that have no expression in the real world is impossible to implement under current law. While intellectual property rights to electronic databases, domains, computer programs with some exceptions have found their place among inheritance rights, the inheritance of cryptocurrency wallets, individual and public pages on social networks, access profiles to electronic resources, e-mail boxes, subscriptions to media products and other virtual objects are not regulated by law. Ukrainian law does not contain rules governing the inheritance of objects in virtual space, such as profiles on social networks, accounts, and other accounts on the Internet or other networks that allow for personal access to them.</w:t>
      </w:r>
    </w:p>
    <w:p w:rsidR="005B6948" w:rsidRDefault="00C87CC6">
      <w:pPr>
        <w:pStyle w:val="normal"/>
      </w:pPr>
      <w:r>
        <w:t xml:space="preserve">Based on the analysis of the practice of using modern payment systems, it is determined that Yandex-money, WebMoney, Qiwi, etc. are payment systems through </w:t>
      </w:r>
      <w:r>
        <w:lastRenderedPageBreak/>
        <w:t>which transactions with different "traditional" currencies - hryvnias, dollars, euros, etc. are carried out. In this case we are talking about electronic money, which is equivalent to the face value in one currency or another. Bitcoin, in turn, has critical differences from such systems. It is proved that the legal nature of cryptocurrency is not defined under Ukrainian law, but at the same time cryptocurrency cannot be equated with the means of payment as well as with the currency value. At the same time, cryptocurrencies created for the purpose of using them as means of payment and by their characteristics are quite capable of performing the basic functions of money.</w:t>
      </w:r>
    </w:p>
    <w:p w:rsidR="005B6948" w:rsidRDefault="00C87CC6">
      <w:pPr>
        <w:pStyle w:val="normal"/>
      </w:pPr>
      <w:r>
        <w:t>Inheriting cryptocurrency assets by law is technically impossible because of the features of the object itself. Regarding a will, under civil law, a person may leave a secret will, the regime of which, of course, allows you to include in the inherited cryptocurrency asset.</w:t>
      </w:r>
    </w:p>
    <w:p w:rsidR="005B6948" w:rsidRDefault="00C87CC6">
      <w:pPr>
        <w:pStyle w:val="normal"/>
      </w:pPr>
      <w:r>
        <w:t>All methods of inheritance are classified as follows: traditional (using the mechanisms enshrined in the current legislation); technological; mixed. Among the traditional methods of inheriting cryptocurrencies is the use of the classic testament, indicating the data of the cryptocurrency wallet and the key to access it. In this way, however, the anonymity of owning such a purse is eliminated and there is a risk of losing money due to the awareness of others. Among the technological ways of transferring cryptocurrency assets to the heirs are the following: deferred payment systems built into the crypto wallet client programs themselves; use of specially created Internet resources for inheritance of digital assets; wallet access deferral systems. Mixed methods include the inheritance of crypto wallets in paper and hardware forms. Access keys can be quite traditional things, and their location may be indicated in the text of the will.</w:t>
      </w:r>
    </w:p>
    <w:p w:rsidR="005B6948" w:rsidRDefault="00C87CC6">
      <w:pPr>
        <w:pStyle w:val="normal"/>
      </w:pPr>
      <w:r>
        <w:t xml:space="preserve">The differences in the inheritance of tokens in relation to other cryptocurrency assets are highlighted. It has been determined that the tokens are characteristic of the entity that may be directed to collect funds for the benefit of the heirs, but this procedure is not regulated by national law, and the courts refuse to resolve disputes </w:t>
      </w:r>
      <w:r>
        <w:lastRenderedPageBreak/>
        <w:t>over such an object as tokens. The analysis of domestic court and notary practice shows a considerable conservatism of judges and notaries when it comes to resolving cases involving attraction of such objects as cryptocurrency assets.</w:t>
      </w:r>
    </w:p>
    <w:p w:rsidR="005B6948" w:rsidRDefault="00C87CC6">
      <w:pPr>
        <w:pStyle w:val="normal"/>
      </w:pPr>
      <w:r>
        <w:rPr>
          <w:b/>
          <w:i/>
        </w:rPr>
        <w:t>Keywords:</w:t>
      </w:r>
      <w:r>
        <w:rPr>
          <w:b/>
        </w:rPr>
        <w:t xml:space="preserve"> </w:t>
      </w:r>
      <w:r>
        <w:t>information technology, digital assets, virtual assets, cryptocurrency assets, digital will, inheritance by law, inheritance by will, protection of inheritance rights.</w:t>
      </w:r>
    </w:p>
    <w:p w:rsidR="005B6948" w:rsidRDefault="00C87CC6">
      <w:pPr>
        <w:pStyle w:val="normal"/>
        <w:jc w:val="center"/>
        <w:rPr>
          <w:b/>
        </w:rPr>
      </w:pPr>
      <w:r>
        <w:rPr>
          <w:b/>
        </w:rPr>
        <w:t>СПИСОК ПУБЛІКАЦІЙ ЗДОБУВАЧКИ:</w:t>
      </w:r>
    </w:p>
    <w:p w:rsidR="005B6948" w:rsidRDefault="00C87CC6">
      <w:pPr>
        <w:pStyle w:val="normal"/>
      </w:pPr>
      <w:r>
        <w:t>1.</w:t>
      </w:r>
      <w:r>
        <w:tab/>
        <w:t xml:space="preserve">Аліна С.С. Спадкування криптовалют, токенів та інших цифрових активів: проблеми та перспективи. </w:t>
      </w:r>
      <w:r>
        <w:rPr>
          <w:i/>
        </w:rPr>
        <w:t>Юридичний вісник</w:t>
      </w:r>
      <w:r>
        <w:t>. 2018. №1. С. 191-195.</w:t>
      </w:r>
    </w:p>
    <w:p w:rsidR="005B6948" w:rsidRDefault="00C87CC6">
      <w:pPr>
        <w:pStyle w:val="normal"/>
      </w:pPr>
      <w:r>
        <w:t>2.</w:t>
      </w:r>
      <w:r>
        <w:tab/>
        <w:t xml:space="preserve">Аліна С.С. Електронний заповіт в системі сучасних спадкових правовідносин. </w:t>
      </w:r>
      <w:r>
        <w:rPr>
          <w:i/>
        </w:rPr>
        <w:t>Науково-практичний журнал «Часопис цивілістики».</w:t>
      </w:r>
      <w:r>
        <w:t xml:space="preserve"> 2018. № 29. С. 119-122.</w:t>
      </w:r>
    </w:p>
    <w:p w:rsidR="005B6948" w:rsidRDefault="00C87CC6">
      <w:pPr>
        <w:pStyle w:val="normal"/>
      </w:pPr>
      <w:r>
        <w:t>3.</w:t>
      </w:r>
      <w:r>
        <w:tab/>
        <w:t xml:space="preserve">Алина С.С. Правовое регулирование наследования цифровых активов в законодательстве зарубежных стран. </w:t>
      </w:r>
      <w:r>
        <w:rPr>
          <w:i/>
        </w:rPr>
        <w:t>Visegrad journal in human rights.</w:t>
      </w:r>
      <w:r>
        <w:t xml:space="preserve"> 2018. №6/1. С. 11-14.</w:t>
      </w:r>
    </w:p>
    <w:p w:rsidR="005B6948" w:rsidRDefault="00C87CC6">
      <w:pPr>
        <w:pStyle w:val="normal"/>
      </w:pPr>
      <w:r>
        <w:t>4.</w:t>
      </w:r>
      <w:r>
        <w:tab/>
        <w:t xml:space="preserve">Adakhovska N., Omelchuk O., Alina S. Legal regulation of the inheritance of personal electronic assets. </w:t>
      </w:r>
      <w:r>
        <w:rPr>
          <w:i/>
        </w:rPr>
        <w:t>Amazon Investiga.</w:t>
      </w:r>
      <w:r>
        <w:t xml:space="preserve"> 2019. № 21. P. 468-476.</w:t>
      </w:r>
    </w:p>
    <w:p w:rsidR="005B6948" w:rsidRDefault="00C87CC6">
      <w:pPr>
        <w:pStyle w:val="normal"/>
      </w:pPr>
      <w:r>
        <w:t>5.</w:t>
      </w:r>
      <w:r>
        <w:tab/>
        <w:t xml:space="preserve">Аліна С.С. Фактори, що виключають можливість традиційного спадкування цифрових об’єктів. </w:t>
      </w:r>
      <w:r>
        <w:rPr>
          <w:i/>
        </w:rPr>
        <w:t>Правова позиція.</w:t>
      </w:r>
      <w:r>
        <w:t xml:space="preserve"> 2019. Вип. № 3 (24). С. 119-123.</w:t>
      </w:r>
    </w:p>
    <w:p w:rsidR="005B6948" w:rsidRDefault="00C87CC6">
      <w:pPr>
        <w:pStyle w:val="normal"/>
      </w:pPr>
      <w:r>
        <w:t>6.</w:t>
      </w:r>
      <w:r>
        <w:tab/>
        <w:t xml:space="preserve">Аліна С.С. Співвідношення правової природи віртуальних об’єктів та речей як об’єктів спадкування. </w:t>
      </w:r>
      <w:r>
        <w:rPr>
          <w:i/>
        </w:rPr>
        <w:t>Правові новели.</w:t>
      </w:r>
      <w:r>
        <w:t xml:space="preserve"> 2019. № 8. С. 40-44.</w:t>
      </w:r>
    </w:p>
    <w:p w:rsidR="005B6948" w:rsidRDefault="00C87CC6">
      <w:pPr>
        <w:pStyle w:val="normal"/>
      </w:pPr>
      <w:r>
        <w:t>7.</w:t>
      </w:r>
      <w:r>
        <w:tab/>
        <w:t xml:space="preserve">Аліна С.С. До питання про спадкування персональних сторінок в мережі Інтернет. </w:t>
      </w:r>
      <w:r>
        <w:rPr>
          <w:i/>
        </w:rPr>
        <w:t>Правове життя сучасної України</w:t>
      </w:r>
      <w:r>
        <w:t xml:space="preserve"> : матеріали Міжнародної науково-практичної конференції (м. Одеса, 17 вересня 2018 р.). Одеса : Видавничий дім «Гельветика», 2018. С. 448-450.</w:t>
      </w:r>
    </w:p>
    <w:p w:rsidR="005B6948" w:rsidRDefault="00C87CC6">
      <w:pPr>
        <w:pStyle w:val="normal"/>
      </w:pPr>
      <w:r>
        <w:t>8.</w:t>
      </w:r>
      <w:r>
        <w:tab/>
        <w:t xml:space="preserve">Аліна С.С. Особливості спадкування криптовалют відповідно до специфіки їх правової природи. </w:t>
      </w:r>
      <w:r>
        <w:rPr>
          <w:i/>
        </w:rPr>
        <w:t xml:space="preserve">Римське приватне право: здобутки європейські </w:t>
      </w:r>
      <w:r>
        <w:rPr>
          <w:i/>
        </w:rPr>
        <w:lastRenderedPageBreak/>
        <w:t>та глобальні:</w:t>
      </w:r>
      <w:r>
        <w:t xml:space="preserve"> матер. міжн. колокв. (м. Одеса, 27 жовтня 2018 р.). Одеса : Фенікс, 2018. С. 98-100.</w:t>
      </w:r>
    </w:p>
    <w:p w:rsidR="005B6948" w:rsidRDefault="00C87CC6">
      <w:pPr>
        <w:pStyle w:val="normal"/>
      </w:pPr>
      <w:r>
        <w:t>9.</w:t>
      </w:r>
      <w:r>
        <w:tab/>
        <w:t xml:space="preserve">Аліна С.С. Ознаки віртуальних об’єктів спадкового права. </w:t>
      </w:r>
      <w:r>
        <w:rPr>
          <w:i/>
        </w:rPr>
        <w:t>Громадянське суспільство в Україні: проблеми забезпечення правотворчої діяльності</w:t>
      </w:r>
      <w:r>
        <w:t>: матер. міжн. науково-практ. конференції. (м. Харків, 5-6 квітня 2019 р.). Х.: Східноукраїнська наукова юридична організація, 2019. С. 37-39.</w:t>
      </w:r>
    </w:p>
    <w:p w:rsidR="005B6948" w:rsidRDefault="00C87CC6">
      <w:pPr>
        <w:pStyle w:val="normal"/>
      </w:pPr>
      <w:r>
        <w:t>10.</w:t>
      </w:r>
      <w:r>
        <w:tab/>
        <w:t xml:space="preserve">Аліна С.С. Перспективи еволюції форми заповіту в системі сучасних спадкових правовідносин. </w:t>
      </w:r>
      <w:r>
        <w:rPr>
          <w:i/>
        </w:rPr>
        <w:t xml:space="preserve">Актуальні проблеми прав людини, держави та вітчизняної правової системи </w:t>
      </w:r>
      <w:r>
        <w:t>: матеріали міжнародної науково-практичної конференції (м. Дніпро, 5–6 квітня 2019 р.). Дніпро : ГО «Правовий світ», 2019. С. 30-31.</w:t>
      </w:r>
    </w:p>
    <w:p w:rsidR="005B6948" w:rsidRDefault="00C87CC6">
      <w:pPr>
        <w:pStyle w:val="normal"/>
      </w:pPr>
      <w:r>
        <w:t>11.</w:t>
      </w:r>
      <w:r>
        <w:tab/>
        <w:t xml:space="preserve">Аліна С.С. Щодо питання використання інформаційних технологій при складанні та посвідченні заповіту. </w:t>
      </w:r>
      <w:r>
        <w:rPr>
          <w:i/>
        </w:rPr>
        <w:t>Правове життя: сучасний стан та перспективи розвитку</w:t>
      </w:r>
      <w:r>
        <w:t xml:space="preserve"> : матеріали міжнародної науково-практичної конференції (м. Запоріжжя, 24–25 травня 2019 року). Запоріжжя : Запорізька міська громадська організація «Істина», 2019. С. 19-21. </w:t>
      </w:r>
    </w:p>
    <w:sectPr w:rsidR="005B6948" w:rsidSect="005B6948">
      <w:headerReference w:type="default" r:id="rId6"/>
      <w:pgSz w:w="11906" w:h="16838"/>
      <w:pgMar w:top="1418" w:right="851" w:bottom="1418" w:left="1418" w:header="708" w:footer="708"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2AE3" w:rsidRDefault="001F2AE3" w:rsidP="005B6948">
      <w:pPr>
        <w:spacing w:line="240" w:lineRule="auto"/>
      </w:pPr>
      <w:r>
        <w:separator/>
      </w:r>
    </w:p>
  </w:endnote>
  <w:endnote w:type="continuationSeparator" w:id="1">
    <w:p w:rsidR="001F2AE3" w:rsidRDefault="001F2AE3" w:rsidP="005B694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2AE3" w:rsidRDefault="001F2AE3" w:rsidP="005B6948">
      <w:pPr>
        <w:spacing w:line="240" w:lineRule="auto"/>
      </w:pPr>
      <w:r>
        <w:separator/>
      </w:r>
    </w:p>
  </w:footnote>
  <w:footnote w:type="continuationSeparator" w:id="1">
    <w:p w:rsidR="001F2AE3" w:rsidRDefault="001F2AE3" w:rsidP="005B694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6948" w:rsidRDefault="00742574">
    <w:pPr>
      <w:pStyle w:val="normal"/>
      <w:pBdr>
        <w:top w:val="nil"/>
        <w:left w:val="nil"/>
        <w:bottom w:val="nil"/>
        <w:right w:val="nil"/>
        <w:between w:val="nil"/>
      </w:pBdr>
      <w:tabs>
        <w:tab w:val="center" w:pos="4513"/>
        <w:tab w:val="right" w:pos="9026"/>
      </w:tabs>
      <w:spacing w:line="240" w:lineRule="auto"/>
      <w:jc w:val="right"/>
      <w:rPr>
        <w:color w:val="000000"/>
      </w:rPr>
    </w:pPr>
    <w:r>
      <w:rPr>
        <w:color w:val="000000"/>
      </w:rPr>
      <w:fldChar w:fldCharType="begin"/>
    </w:r>
    <w:r w:rsidR="00C87CC6">
      <w:rPr>
        <w:color w:val="000000"/>
      </w:rPr>
      <w:instrText>PAGE</w:instrText>
    </w:r>
    <w:r>
      <w:rPr>
        <w:color w:val="000000"/>
      </w:rPr>
      <w:fldChar w:fldCharType="separate"/>
    </w:r>
    <w:r w:rsidR="0045647C">
      <w:rPr>
        <w:noProof/>
        <w:color w:val="000000"/>
      </w:rPr>
      <w:t>16</w:t>
    </w:r>
    <w:r>
      <w:rPr>
        <w:color w:val="000000"/>
      </w:rPr>
      <w:fldChar w:fldCharType="end"/>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20"/>
  <w:characterSpacingControl w:val="doNotCompress"/>
  <w:footnotePr>
    <w:footnote w:id="0"/>
    <w:footnote w:id="1"/>
  </w:footnotePr>
  <w:endnotePr>
    <w:endnote w:id="0"/>
    <w:endnote w:id="1"/>
  </w:endnotePr>
  <w:compat/>
  <w:rsids>
    <w:rsidRoot w:val="005B6948"/>
    <w:rsid w:val="001337D3"/>
    <w:rsid w:val="00137CBA"/>
    <w:rsid w:val="001F2AE3"/>
    <w:rsid w:val="002D79A8"/>
    <w:rsid w:val="004330E3"/>
    <w:rsid w:val="0045647C"/>
    <w:rsid w:val="005B6948"/>
    <w:rsid w:val="00742574"/>
    <w:rsid w:val="00862791"/>
    <w:rsid w:val="00921AC8"/>
    <w:rsid w:val="00C87CC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uk-UA" w:eastAsia="ru-RU"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1AC8"/>
  </w:style>
  <w:style w:type="paragraph" w:styleId="1">
    <w:name w:val="heading 1"/>
    <w:basedOn w:val="normal"/>
    <w:next w:val="normal"/>
    <w:rsid w:val="005B6948"/>
    <w:pPr>
      <w:keepNext/>
      <w:keepLines/>
      <w:spacing w:before="360" w:after="240"/>
      <w:ind w:firstLine="0"/>
      <w:jc w:val="center"/>
      <w:outlineLvl w:val="0"/>
    </w:pPr>
    <w:rPr>
      <w:rFonts w:ascii="Times" w:eastAsia="Times" w:hAnsi="Times" w:cs="Times"/>
      <w:b/>
    </w:rPr>
  </w:style>
  <w:style w:type="paragraph" w:styleId="2">
    <w:name w:val="heading 2"/>
    <w:basedOn w:val="normal"/>
    <w:next w:val="normal"/>
    <w:rsid w:val="005B6948"/>
    <w:pPr>
      <w:keepNext/>
      <w:keepLines/>
      <w:spacing w:before="360" w:after="240"/>
      <w:jc w:val="left"/>
      <w:outlineLvl w:val="1"/>
    </w:pPr>
    <w:rPr>
      <w:rFonts w:ascii="Times" w:eastAsia="Times" w:hAnsi="Times" w:cs="Times"/>
      <w:b/>
      <w:i/>
    </w:rPr>
  </w:style>
  <w:style w:type="paragraph" w:styleId="3">
    <w:name w:val="heading 3"/>
    <w:basedOn w:val="normal"/>
    <w:next w:val="normal"/>
    <w:rsid w:val="005B6948"/>
    <w:pPr>
      <w:keepNext/>
      <w:keepLines/>
      <w:spacing w:before="200"/>
      <w:outlineLvl w:val="2"/>
    </w:pPr>
    <w:rPr>
      <w:rFonts w:ascii="Cambria" w:eastAsia="Cambria" w:hAnsi="Cambria" w:cs="Cambria"/>
      <w:b/>
      <w:color w:val="4F81BD"/>
    </w:rPr>
  </w:style>
  <w:style w:type="paragraph" w:styleId="4">
    <w:name w:val="heading 4"/>
    <w:basedOn w:val="normal"/>
    <w:next w:val="normal"/>
    <w:rsid w:val="005B6948"/>
    <w:pPr>
      <w:keepNext/>
      <w:keepLines/>
      <w:spacing w:before="240" w:after="40"/>
      <w:outlineLvl w:val="3"/>
    </w:pPr>
    <w:rPr>
      <w:b/>
      <w:sz w:val="24"/>
      <w:szCs w:val="24"/>
    </w:rPr>
  </w:style>
  <w:style w:type="paragraph" w:styleId="5">
    <w:name w:val="heading 5"/>
    <w:basedOn w:val="normal"/>
    <w:next w:val="normal"/>
    <w:rsid w:val="005B6948"/>
    <w:pPr>
      <w:keepNext/>
      <w:keepLines/>
      <w:spacing w:before="220" w:after="40"/>
      <w:outlineLvl w:val="4"/>
    </w:pPr>
    <w:rPr>
      <w:b/>
      <w:sz w:val="22"/>
      <w:szCs w:val="22"/>
    </w:rPr>
  </w:style>
  <w:style w:type="paragraph" w:styleId="6">
    <w:name w:val="heading 6"/>
    <w:basedOn w:val="normal"/>
    <w:next w:val="normal"/>
    <w:rsid w:val="005B6948"/>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5B6948"/>
  </w:style>
  <w:style w:type="table" w:customStyle="1" w:styleId="TableNormal">
    <w:name w:val="Table Normal"/>
    <w:rsid w:val="005B6948"/>
    <w:tblPr>
      <w:tblCellMar>
        <w:top w:w="0" w:type="dxa"/>
        <w:left w:w="0" w:type="dxa"/>
        <w:bottom w:w="0" w:type="dxa"/>
        <w:right w:w="0" w:type="dxa"/>
      </w:tblCellMar>
    </w:tblPr>
  </w:style>
  <w:style w:type="paragraph" w:styleId="a3">
    <w:name w:val="Title"/>
    <w:basedOn w:val="normal"/>
    <w:next w:val="normal"/>
    <w:rsid w:val="005B6948"/>
    <w:pPr>
      <w:keepNext/>
      <w:keepLines/>
      <w:spacing w:before="480" w:after="120"/>
    </w:pPr>
    <w:rPr>
      <w:b/>
      <w:sz w:val="72"/>
      <w:szCs w:val="72"/>
    </w:rPr>
  </w:style>
  <w:style w:type="paragraph" w:styleId="a4">
    <w:name w:val="Subtitle"/>
    <w:basedOn w:val="normal"/>
    <w:next w:val="normal"/>
    <w:rsid w:val="005B6948"/>
    <w:pPr>
      <w:keepNext/>
      <w:keepLines/>
      <w:spacing w:before="360" w:after="80"/>
    </w:pPr>
    <w:rPr>
      <w:rFonts w:ascii="Georgia" w:eastAsia="Georgia" w:hAnsi="Georgia" w:cs="Georgia"/>
      <w:i/>
      <w:color w:val="666666"/>
      <w:sz w:val="48"/>
      <w:szCs w:val="48"/>
    </w:rPr>
  </w:style>
</w:styles>
</file>

<file path=word/webSettings.xml><?xml version="1.0" encoding="utf-8"?>
<w:webSettings xmlns:r="http://schemas.openxmlformats.org/officeDocument/2006/relationships" xmlns:w="http://schemas.openxmlformats.org/wordprocessingml/2006/main">
  <w:divs>
    <w:div w:id="8102449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16</Pages>
  <Words>4798</Words>
  <Characters>27353</Characters>
  <Application>Microsoft Office Word</Application>
  <DocSecurity>0</DocSecurity>
  <Lines>227</Lines>
  <Paragraphs>64</Paragraphs>
  <ScaleCrop>false</ScaleCrop>
  <Company/>
  <LinksUpToDate>false</LinksUpToDate>
  <CharactersWithSpaces>32087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1</cp:lastModifiedBy>
  <cp:revision>6</cp:revision>
  <dcterms:created xsi:type="dcterms:W3CDTF">2020-05-11T11:28:00Z</dcterms:created>
  <dcterms:modified xsi:type="dcterms:W3CDTF">2020-05-12T14:37:00Z</dcterms:modified>
</cp:coreProperties>
</file>