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F1C10" w14:textId="77777777" w:rsidR="00984EA9" w:rsidRDefault="00E225DE">
      <w:pPr>
        <w:keepNext/>
        <w:ind w:firstLine="0"/>
        <w:jc w:val="center"/>
        <w:rPr>
          <w:b/>
          <w:lang w:val="uk-UA"/>
        </w:rPr>
      </w:pPr>
      <w:bookmarkStart w:id="0" w:name="_Toc530603900"/>
      <w:bookmarkStart w:id="1" w:name="_Toc527958074"/>
      <w:bookmarkStart w:id="2" w:name="_Toc527621608"/>
      <w:bookmarkStart w:id="3" w:name="_Toc527619505"/>
      <w:r>
        <w:rPr>
          <w:b/>
          <w:lang w:val="uk-UA"/>
        </w:rPr>
        <w:t>АНОТАЦІЯ</w:t>
      </w:r>
      <w:bookmarkEnd w:id="0"/>
      <w:bookmarkEnd w:id="1"/>
      <w:bookmarkEnd w:id="2"/>
      <w:bookmarkEnd w:id="3"/>
    </w:p>
    <w:p w14:paraId="34A48D4C" w14:textId="78122D0A" w:rsidR="00984EA9" w:rsidRDefault="00E225DE">
      <w:pPr>
        <w:rPr>
          <w:rFonts w:cs="Times New Roman"/>
          <w:szCs w:val="28"/>
          <w:lang w:val="uk-UA" w:eastAsia="ru-RU"/>
        </w:rPr>
      </w:pPr>
      <w:proofErr w:type="spellStart"/>
      <w:r>
        <w:rPr>
          <w:rFonts w:cs="Times New Roman"/>
          <w:b/>
          <w:i/>
          <w:szCs w:val="28"/>
          <w:lang w:val="uk-UA" w:eastAsia="ru-RU"/>
        </w:rPr>
        <w:t>Хижняк</w:t>
      </w:r>
      <w:proofErr w:type="spellEnd"/>
      <w:r>
        <w:rPr>
          <w:rFonts w:cs="Times New Roman"/>
          <w:b/>
          <w:i/>
          <w:szCs w:val="28"/>
          <w:lang w:val="uk-UA" w:eastAsia="ru-RU"/>
        </w:rPr>
        <w:t xml:space="preserve"> А.В. </w:t>
      </w:r>
      <w:r>
        <w:rPr>
          <w:b/>
          <w:lang w:val="uk-UA"/>
        </w:rPr>
        <w:t xml:space="preserve">Цивільно-правовий аспект банківської таємниці. </w:t>
      </w:r>
      <w:r>
        <w:rPr>
          <w:rFonts w:cs="Times New Roman"/>
          <w:szCs w:val="28"/>
          <w:lang w:val="uk-UA" w:eastAsia="ru-RU"/>
        </w:rPr>
        <w:t xml:space="preserve">– </w:t>
      </w:r>
      <w:r>
        <w:rPr>
          <w:lang w:val="uk-UA"/>
        </w:rPr>
        <w:t xml:space="preserve">Кваліфікаційна наукова праця на правах рукопису. Дисертація на здобуття ступеня доктора філософії за спеціальністю 081 </w:t>
      </w:r>
      <w:r w:rsidR="009E5148">
        <w:rPr>
          <w:lang w:val="uk-UA"/>
        </w:rPr>
        <w:t>«</w:t>
      </w:r>
      <w:r>
        <w:rPr>
          <w:lang w:val="uk-UA"/>
        </w:rPr>
        <w:t>Право</w:t>
      </w:r>
      <w:r w:rsidR="009E5148">
        <w:rPr>
          <w:lang w:val="uk-UA"/>
        </w:rPr>
        <w:t>»</w:t>
      </w:r>
      <w:r>
        <w:rPr>
          <w:lang w:val="uk-UA"/>
        </w:rPr>
        <w:t>. – Національний університет «Одеська юридична академія», Одеса, 2021.</w:t>
      </w:r>
    </w:p>
    <w:p w14:paraId="27CD5D46" w14:textId="77777777" w:rsidR="00984EA9" w:rsidRDefault="00E225DE">
      <w:pPr>
        <w:rPr>
          <w:rFonts w:cs="Times New Roman"/>
          <w:szCs w:val="28"/>
          <w:lang w:val="uk-UA"/>
        </w:rPr>
      </w:pPr>
      <w:r>
        <w:rPr>
          <w:rFonts w:cs="Times New Roman"/>
          <w:szCs w:val="28"/>
          <w:lang w:val="uk-UA" w:eastAsia="ru-RU"/>
        </w:rPr>
        <w:t xml:space="preserve">Дисертація </w:t>
      </w:r>
      <w:r>
        <w:rPr>
          <w:lang w:val="uk-UA"/>
        </w:rPr>
        <w:t xml:space="preserve">є першим у вітчизняній науці цивільного права спеціальним комплексним дослідженням </w:t>
      </w:r>
      <w:r>
        <w:rPr>
          <w:rFonts w:cs="Times New Roman"/>
          <w:szCs w:val="28"/>
          <w:lang w:val="uk-UA"/>
        </w:rPr>
        <w:t>цивільно-правового аспекту правового регулювання відносин в сфері збереження та розкриття банківської таємниці</w:t>
      </w:r>
      <w:r>
        <w:rPr>
          <w:lang w:val="uk-UA"/>
        </w:rPr>
        <w:t>. У</w:t>
      </w:r>
      <w:r>
        <w:rPr>
          <w:rFonts w:cs="Times New Roman"/>
          <w:szCs w:val="28"/>
          <w:lang w:val="uk-UA"/>
        </w:rPr>
        <w:t xml:space="preserve"> межах дослідження здійснено комплексний аналіз наукових підходів до визначення банківської таємниці, законодавства в сфері реалізації суб’єктивного цивільного права на захист фінансової інформації особи та юридичної практики з питань захисту даного права та відшкодування завданої шкоди.</w:t>
      </w:r>
    </w:p>
    <w:p w14:paraId="0C8016E8" w14:textId="77777777" w:rsidR="00984EA9" w:rsidRDefault="00E225DE">
      <w:pPr>
        <w:rPr>
          <w:rFonts w:cs="Times New Roman"/>
          <w:szCs w:val="28"/>
          <w:lang w:val="uk-UA"/>
        </w:rPr>
      </w:pPr>
      <w:r>
        <w:rPr>
          <w:rFonts w:cs="Times New Roman"/>
          <w:szCs w:val="28"/>
          <w:lang w:val="uk-UA"/>
        </w:rPr>
        <w:t>В ході дослідження історичних та теоретичних засад формування інституту банківської таємниці було проаналізовано основні етапи генезису інституту банківської таємниці, визначено поняття останньої, виокремлено функції, ознаки та місце банківської таємниці в правовій дійсності.</w:t>
      </w:r>
    </w:p>
    <w:p w14:paraId="28FB78E8" w14:textId="77777777" w:rsidR="00984EA9" w:rsidRDefault="00E225DE">
      <w:pPr>
        <w:rPr>
          <w:lang w:val="uk-UA"/>
        </w:rPr>
      </w:pPr>
      <w:r>
        <w:rPr>
          <w:lang w:val="uk-UA"/>
        </w:rPr>
        <w:t xml:space="preserve">За результатами дослідження історії розвитку вітчизняного законодавства в сфері охорони банківської таємниці, з’ясовано, що норми цивільного права в сфері захисту банківської таємниці зароджуються в епоху переходу від феодального до капіталістичного укладу, коли правом починають враховуватися як приватні інтереси окремих господарюючих суб’єктів, так і публічні інтереси держави. На українських землях перші норми в сфері захисту інформації, отриманої фінансовими установами, були закріплені в Уложенні про покарання кримінальні та виправні 1845 року (у редакціях від 1866 і 1885 років). Положеннями акту встановлювалась відповідальність за посягання на різні види комерційної інформації, в тому числі і на таємницю інформації, що отримувалася кредитними установами. </w:t>
      </w:r>
    </w:p>
    <w:p w14:paraId="525A1FB7" w14:textId="77777777" w:rsidR="00984EA9" w:rsidRDefault="00E225DE">
      <w:pPr>
        <w:rPr>
          <w:rFonts w:cs="Times New Roman"/>
          <w:szCs w:val="28"/>
          <w:lang w:val="uk-UA"/>
        </w:rPr>
      </w:pPr>
      <w:r>
        <w:rPr>
          <w:lang w:val="uk-UA"/>
        </w:rPr>
        <w:t xml:space="preserve">На основі аналізу історичних етапів формування інституту банківської таємниці визначено, що витоки генезису інституту банківської таємниці </w:t>
      </w:r>
      <w:r>
        <w:rPr>
          <w:lang w:val="uk-UA"/>
        </w:rPr>
        <w:lastRenderedPageBreak/>
        <w:t xml:space="preserve">формувалися задовго до створення перших банківських установ у їх сучасному розумінні. Правове регулювання банківської таємниці стало похідним від сформованої раніше комерційної таємниці, врегульованої звичаями ділового обороту. Формування конфіденційного статусу особи вкладника відбулося ще за часів діяльності індивідуальних лихварів, в період коли останні перейшли від здійснення виключно кредитних операцій до прийому грошей на збереження. Досить часто протиправне походження коштів призводило до ситуації, за якої клієнти лихварів були зацікавлені в </w:t>
      </w:r>
      <w:proofErr w:type="spellStart"/>
      <w:r>
        <w:rPr>
          <w:lang w:val="uk-UA"/>
        </w:rPr>
        <w:t>утаємненні</w:t>
      </w:r>
      <w:proofErr w:type="spellEnd"/>
      <w:r>
        <w:rPr>
          <w:lang w:val="uk-UA"/>
        </w:rPr>
        <w:t xml:space="preserve"> відомостей про їх вклади, тому такі якості лихваря, як ступінь його надійності, здатність зберігати таємницю вкладу безпосередньо впливали на вибір лихваря клієнтом.</w:t>
      </w:r>
    </w:p>
    <w:p w14:paraId="667F9B9A" w14:textId="77777777" w:rsidR="00984EA9" w:rsidRDefault="00E225DE">
      <w:pPr>
        <w:rPr>
          <w:szCs w:val="28"/>
          <w:lang w:val="uk-UA"/>
        </w:rPr>
      </w:pPr>
      <w:r>
        <w:rPr>
          <w:lang w:val="uk-UA"/>
        </w:rPr>
        <w:t xml:space="preserve">Аналіз вітчизняного законодавства в сфері охорони банківської таємниці свідчить про перманентні спроби покращення нормативно-правового регулювання даних відносин та підвищення ефективності </w:t>
      </w:r>
      <w:proofErr w:type="spellStart"/>
      <w:r>
        <w:rPr>
          <w:lang w:val="uk-UA"/>
        </w:rPr>
        <w:t>правозастосовчої</w:t>
      </w:r>
      <w:proofErr w:type="spellEnd"/>
      <w:r>
        <w:rPr>
          <w:lang w:val="uk-UA"/>
        </w:rPr>
        <w:t xml:space="preserve"> практики в даній сфері. </w:t>
      </w:r>
      <w:r>
        <w:rPr>
          <w:szCs w:val="28"/>
          <w:lang w:val="uk-UA"/>
        </w:rPr>
        <w:t xml:space="preserve">В межах </w:t>
      </w:r>
      <w:proofErr w:type="spellStart"/>
      <w:r>
        <w:rPr>
          <w:szCs w:val="28"/>
          <w:lang w:val="uk-UA"/>
        </w:rPr>
        <w:t>дослідженя</w:t>
      </w:r>
      <w:proofErr w:type="spellEnd"/>
      <w:r>
        <w:rPr>
          <w:szCs w:val="28"/>
          <w:lang w:val="uk-UA"/>
        </w:rPr>
        <w:t xml:space="preserve"> аргументовано позицію, що на сучасному етапі розвитку інституту банківської таємниці проходить зміна підходів до розуміння банківської таємниці від конкурентної переваги, яку отримують клієнти окремих банків з огляду на інформаційну політику такого банку та його незалежний статус, до невід’ємного </w:t>
      </w:r>
      <w:proofErr w:type="spellStart"/>
      <w:r>
        <w:rPr>
          <w:szCs w:val="28"/>
          <w:lang w:val="uk-UA"/>
        </w:rPr>
        <w:t>засадницького</w:t>
      </w:r>
      <w:proofErr w:type="spellEnd"/>
      <w:r>
        <w:rPr>
          <w:szCs w:val="28"/>
          <w:lang w:val="uk-UA"/>
        </w:rPr>
        <w:t xml:space="preserve"> регулятивного положення у відносинах між банком та клієнтом.</w:t>
      </w:r>
    </w:p>
    <w:p w14:paraId="488140E8" w14:textId="77777777" w:rsidR="00984EA9" w:rsidRDefault="00E225DE">
      <w:pPr>
        <w:rPr>
          <w:szCs w:val="28"/>
          <w:lang w:val="uk-UA"/>
        </w:rPr>
      </w:pPr>
      <w:r>
        <w:rPr>
          <w:szCs w:val="28"/>
          <w:lang w:val="uk-UA"/>
        </w:rPr>
        <w:t xml:space="preserve">Удосконалено доктринальне положення щодо галузевої приналежності інституту банківської таємниці. Визначено, що відносини в сфері банківської діяльності найчастіше відносять до публічних відносин та відзначають пріоритет їх правового регулювання відповідним галузевим законодавством, що має публічний характер. Однак, в межах дослідження доведено, що попри </w:t>
      </w:r>
      <w:proofErr w:type="spellStart"/>
      <w:r>
        <w:rPr>
          <w:szCs w:val="28"/>
          <w:lang w:val="uk-UA"/>
        </w:rPr>
        <w:t>загальноімперативний</w:t>
      </w:r>
      <w:proofErr w:type="spellEnd"/>
      <w:r>
        <w:rPr>
          <w:szCs w:val="28"/>
          <w:lang w:val="uk-UA"/>
        </w:rPr>
        <w:t xml:space="preserve"> характер таких відносин вони не ізольовані від цивільних правовідносин. Чинне законодавство про банки та банківську діяльність надає фінансовим, податковим, антимонопольним та правоохоронним органам широкі можливості для отримання інформації, що становить банківську таємницю. Треба неодмінно мати на увазі, що весь публічний елемент є невід’ємною </w:t>
      </w:r>
      <w:r>
        <w:rPr>
          <w:szCs w:val="28"/>
          <w:lang w:val="uk-UA"/>
        </w:rPr>
        <w:lastRenderedPageBreak/>
        <w:t>часткою забезпечення та охорони банківської таємниці, а згодом і захисту приватного інтересу.</w:t>
      </w:r>
    </w:p>
    <w:p w14:paraId="21A3D595" w14:textId="77777777" w:rsidR="00984EA9" w:rsidRDefault="00E225DE">
      <w:pPr>
        <w:rPr>
          <w:lang w:val="uk-UA"/>
        </w:rPr>
      </w:pPr>
      <w:r>
        <w:rPr>
          <w:lang w:val="uk-UA"/>
        </w:rPr>
        <w:t xml:space="preserve">Визначено, що в фаховій літературі немає єдності у визначенні місця банківської таємниці в системі права України, адже дослідниками даних відносин сукупність правових норм, що регулюють питання збереження та розголошення банківської таємниці, ідентифікуються як інститут банківського права, як міжгалузевий комплексний інститут, як </w:t>
      </w:r>
      <w:proofErr w:type="spellStart"/>
      <w:r>
        <w:rPr>
          <w:lang w:val="uk-UA"/>
        </w:rPr>
        <w:t>субінститут</w:t>
      </w:r>
      <w:proofErr w:type="spellEnd"/>
      <w:r>
        <w:rPr>
          <w:lang w:val="uk-UA"/>
        </w:rPr>
        <w:t xml:space="preserve">, який входить до інституту права конфіденційності комерційної діяльності в галузі інформаційного права України бо </w:t>
      </w:r>
      <w:proofErr w:type="spellStart"/>
      <w:r>
        <w:rPr>
          <w:lang w:val="uk-UA"/>
        </w:rPr>
        <w:t>субінститут</w:t>
      </w:r>
      <w:proofErr w:type="spellEnd"/>
      <w:r>
        <w:rPr>
          <w:lang w:val="uk-UA"/>
        </w:rPr>
        <w:t xml:space="preserve"> фінансового права. Набагато менше в літературі зустрічається визначень банківської таємниці як інституту цивільного права або розуміння відносин щодо банківської таємниці як таких, що мають приватно-правовий характер в той час, як загальні засади банківської таємниці закріплені в положеннях Цивільного кодексу України (ст. 1076 ЦК України називається «Банківська таємниця» та передбачає обов’язок банку гарантувати таємницю банківського рахунка, операцій за рахунком і відомостей про клієнта.</w:t>
      </w:r>
    </w:p>
    <w:p w14:paraId="25456BAE" w14:textId="77777777" w:rsidR="00984EA9" w:rsidRDefault="00E225DE">
      <w:pPr>
        <w:rPr>
          <w:lang w:val="uk-UA"/>
        </w:rPr>
      </w:pPr>
      <w:r>
        <w:rPr>
          <w:lang w:val="uk-UA"/>
        </w:rPr>
        <w:t>Аргументовано позицію, що особливим об’єктом цивільних інформаційних правовідносин є банківська таємниця. Питання визначення категорії «банківська таємниця» не має однозначного вирішення через заявлені в роботі дискусійні моменти щодо юридичної природи відповідних суспільних відносин, відсутність єдності у визначені галузевої приналежності даних відносин, меж здійснення правового регулювання щодо таких відносин, статусів суб’єктів даних правовідносин тощо.</w:t>
      </w:r>
    </w:p>
    <w:p w14:paraId="7340AEAD" w14:textId="77777777" w:rsidR="00984EA9" w:rsidRDefault="00E225DE">
      <w:pPr>
        <w:rPr>
          <w:lang w:val="uk-UA"/>
        </w:rPr>
      </w:pPr>
      <w:r>
        <w:rPr>
          <w:lang w:val="uk-UA"/>
        </w:rPr>
        <w:t xml:space="preserve">Визначено, що в Україні законодавчо встановлений певний механізм збереження, охорони та розкриття банківської таємниці, який врегульований нормами Цивільного, Цивільного процесуального та Кримінально-процесуального кодексів України, а також Законами «Про банки і банківську діяльність», «Про Національний банк України», «Про інформацію», «Про захист персональних даних», «Про державну податкову службу в Україні», «Про </w:t>
      </w:r>
      <w:r>
        <w:rPr>
          <w:lang w:val="uk-UA"/>
        </w:rPr>
        <w:lastRenderedPageBreak/>
        <w:t>Національну поліцію», «Про прокуратуру», «Про Службу безпеки України», «Про основні засади здійснення державного фінансового контролю в Україні», «Про організацію формування та обігу кредитних історій», «Про споживче кредитування», підзаконних актів тощо.</w:t>
      </w:r>
    </w:p>
    <w:p w14:paraId="137A1318" w14:textId="77777777" w:rsidR="00984EA9" w:rsidRDefault="00E225DE">
      <w:pPr>
        <w:rPr>
          <w:lang w:val="uk-UA"/>
        </w:rPr>
      </w:pPr>
      <w:r>
        <w:rPr>
          <w:lang w:val="uk-UA"/>
        </w:rPr>
        <w:t>Аргументовано думку, що історія розвитку інституту банківської таємниці не припиняється, а окремі зміни в правовому регулюванні даних відносин відбуваються синхронно до наукової роботи над осмисленням цивільно-правового аспекту банківської таємниці. Визначено, що сучасний нормативний базис інституту банківської таємниці встановлює правове становище суб’єктів правовідносин в сфері використання, надання та охорони інформації, якою володіє банківська установа; зміст інформації, яка знаходиться в таємному режимі; умови і порядок надання і використання інформації, якою володіє банківська установа; порядок правового захисту інформації, а також відповідальність за розголошення такої інформації.</w:t>
      </w:r>
    </w:p>
    <w:p w14:paraId="4D3B3717" w14:textId="77777777" w:rsidR="00984EA9" w:rsidRDefault="00E225DE">
      <w:pPr>
        <w:rPr>
          <w:lang w:val="uk-UA"/>
        </w:rPr>
      </w:pPr>
      <w:r>
        <w:rPr>
          <w:lang w:val="uk-UA"/>
        </w:rPr>
        <w:t>Доведено, що розвиток та видозміна, а також зміна значимості окремих суспільних відносин в сфері захисту банківської таємниці зумовлюють звернення уваги законодавця на практичні проблеми реалізації права осіб на таємницю їх фінансової інформації та захисту публічних інтересів в контексті реалізації вищезазначеного права особами всупереч його призначенню (зловживання правом).</w:t>
      </w:r>
    </w:p>
    <w:p w14:paraId="73BD501C" w14:textId="77777777" w:rsidR="00984EA9" w:rsidRDefault="00E225DE">
      <w:pPr>
        <w:rPr>
          <w:lang w:val="uk-UA"/>
        </w:rPr>
      </w:pPr>
      <w:r>
        <w:rPr>
          <w:lang w:val="uk-UA"/>
        </w:rPr>
        <w:t xml:space="preserve">Відзначено, що попри поширену думку, що найбільшу загрозу для особи становить розголошення даних, що містяться в документах, отриманих банком при оформленні договірних відносин з клієнтом, фінансова інформація, отримана банком може передбачати небезпеку розголошення сукупності даних, що визначають наявність або відсутність депозитного/кредитного/поточного рахунку в конкретному банку; наявність або відсутність коштів на банківському рахунку; контрагентів за транзакціями, призначення платежів, відомості з особистого листування (з огляду на функціонал сучасних онлайн- банків); періодичність і розміри надходжень на банківський рахунок; періодичність і </w:t>
      </w:r>
      <w:r>
        <w:rPr>
          <w:lang w:val="uk-UA"/>
        </w:rPr>
        <w:lastRenderedPageBreak/>
        <w:t>розміри витрат за банківським рахунком; місця та конкретні найменування покупок, що здійснювалися; послуги, що оплачувалися, тощо; дані про осіб, що мають доступ до банківського рахунку клієнта; дані для ідентифікації правочинів, що здійснювалися клієнтом, виплати за якими здійснювалися за банківським рахунком; дані про місцезнаходження клієнта (за умови бронювання готелю, попереднього внесення суми на витрати, утримання залогової суми для оренди автомобіля тощо).</w:t>
      </w:r>
    </w:p>
    <w:p w14:paraId="40B72B72" w14:textId="77777777" w:rsidR="00984EA9" w:rsidRDefault="00E225DE">
      <w:pPr>
        <w:rPr>
          <w:lang w:val="uk-UA"/>
        </w:rPr>
      </w:pPr>
      <w:r>
        <w:rPr>
          <w:lang w:val="uk-UA"/>
        </w:rPr>
        <w:t>Розголошення кожного виду вищезазначених відомостей може мати для особи різні наслідки у відповідності до того значення, яке особа надає тій чи іншій інформації про себе. Дана інформація може висвітлювати соціальний та фінансовий стан особи, родинні та особисті зв’язки, напрямки та способи переміщення особи, місце проживання або перебування тощо. Такі дані можуть бути свідомо утаємничені особою з мотивів особистої безпеки та безпеки членів родини, з метою збереження таємниці особистого життя, з репутаційних або навіть з економічно-обґрунтованих мотивів.</w:t>
      </w:r>
    </w:p>
    <w:p w14:paraId="4E0A9632" w14:textId="77777777" w:rsidR="00984EA9" w:rsidRDefault="00E225DE">
      <w:pPr>
        <w:rPr>
          <w:lang w:val="uk-UA"/>
        </w:rPr>
      </w:pPr>
      <w:r>
        <w:rPr>
          <w:lang w:val="uk-UA"/>
        </w:rPr>
        <w:t xml:space="preserve">Проаналізовано значення фактору цінності інформації, що складає банківську таємницю. Аргументовано, що цінність інформації визначається корисністю та здатністю її забезпечити суб’єкта необхідними умовами для досягнення ним поставленої мети. Цінність інформації – властивість, яке визначається її придатністю до практичного використання в різних областях цілеспрямованої діяльності. Цінність і корисність інформації </w:t>
      </w:r>
      <w:proofErr w:type="spellStart"/>
      <w:r>
        <w:rPr>
          <w:lang w:val="uk-UA"/>
        </w:rPr>
        <w:t>детермінуються</w:t>
      </w:r>
      <w:proofErr w:type="spellEnd"/>
      <w:r>
        <w:rPr>
          <w:lang w:val="uk-UA"/>
        </w:rPr>
        <w:t xml:space="preserve"> її якісними і кількісними характеристиками.</w:t>
      </w:r>
    </w:p>
    <w:p w14:paraId="0730D795" w14:textId="77777777" w:rsidR="00984EA9" w:rsidRDefault="00E225DE">
      <w:pPr>
        <w:rPr>
          <w:lang w:val="uk-UA"/>
        </w:rPr>
      </w:pPr>
      <w:r>
        <w:rPr>
          <w:lang w:val="uk-UA"/>
        </w:rPr>
        <w:t>Доведено, що актуальність дослідження саме ціннісних (аксіологічних) параметрів інформації, що підпадає під режим банківської таємниці, зумовлюється необхідністю знаходження об’єктивного балансу приватних та публічних інтересів в методах правового регулювання відносин щодо отримання, збереження та розпорядження банківською установою інформації про свого клієнта.</w:t>
      </w:r>
    </w:p>
    <w:p w14:paraId="77CB1351" w14:textId="77777777" w:rsidR="00984EA9" w:rsidRDefault="00E225DE">
      <w:pPr>
        <w:rPr>
          <w:szCs w:val="28"/>
          <w:lang w:val="uk-UA"/>
        </w:rPr>
      </w:pPr>
      <w:r>
        <w:rPr>
          <w:szCs w:val="28"/>
          <w:lang w:val="uk-UA"/>
        </w:rPr>
        <w:lastRenderedPageBreak/>
        <w:t xml:space="preserve">За результатами дослідження </w:t>
      </w:r>
      <w:r>
        <w:rPr>
          <w:lang w:val="uk-UA"/>
        </w:rPr>
        <w:t>характеру інформації, що підпадає під режим банківської таємниці, к</w:t>
      </w:r>
      <w:r>
        <w:rPr>
          <w:szCs w:val="28"/>
          <w:lang w:val="uk-UA"/>
        </w:rPr>
        <w:t>ласифіковано аксіологічні властивості даної інформації за наступними критеріями: за суб’єктом потенційної цінності інформації (індивідуальна цінність інформації, групова або публічна цінність); за природою цінності (комерційна, особиста, сімейна); за наявністю матеріальної основи цінності (економічно-обґрунтована цінність, нематеріальна цінність).</w:t>
      </w:r>
    </w:p>
    <w:p w14:paraId="44B1005D" w14:textId="77777777" w:rsidR="00984EA9" w:rsidRDefault="00E225DE">
      <w:pPr>
        <w:rPr>
          <w:lang w:val="uk-UA"/>
        </w:rPr>
      </w:pPr>
      <w:r>
        <w:rPr>
          <w:lang w:val="uk-UA"/>
        </w:rPr>
        <w:t>Доведено, що, попри формулювання норми у вигляді «гарантії», слід констатувати, що відповідно до цивільного законодавства саме за банками як юридичними особами закріплюється цивільний обов’язок збереження банківської таємниці. Аргументовано доцільність віднесення даного обов’язку саме до цивільних через специфіку об’єкта даних правовідносин. Попри цивільно-правовий характер відносин щодо реалізації обов’язку збереження банківської таємниці, відзначено значний ступінь впливу публічного аспекту правового регулювання відносин здійснення обов’язку збереження банківської таємниці, адже практичні механізми реалізації даного обов’язку закріплюються нормами як адміністративного права, так і встановлюються на міжнародному рівні.</w:t>
      </w:r>
    </w:p>
    <w:p w14:paraId="5567C607" w14:textId="77777777" w:rsidR="00984EA9" w:rsidRDefault="00E225DE">
      <w:pPr>
        <w:rPr>
          <w:lang w:val="uk-UA"/>
        </w:rPr>
      </w:pPr>
      <w:r>
        <w:rPr>
          <w:lang w:val="uk-UA"/>
        </w:rPr>
        <w:t>Визначено, що основним об’єктом відносин в сфері обігу банківської таємниці є інформація, яка має особистий непублічний характер. Що ж до суб’єктів даних відносин, то їх коло не є однорідним, адже клієнти банку як фізичні і юридичні особи є класичними суб’єктами цивільних правовідносин, в той час я фінансові установи є спеціальними суб’єктами, а отже, окрім положень цивільного законодавства, їх діяльність врегульована й нормативно-правовими актами публічних галузей законодавства.</w:t>
      </w:r>
    </w:p>
    <w:p w14:paraId="0924D702" w14:textId="77777777" w:rsidR="00984EA9" w:rsidRDefault="00E225DE">
      <w:pPr>
        <w:rPr>
          <w:lang w:val="uk-UA"/>
        </w:rPr>
      </w:pPr>
      <w:r>
        <w:rPr>
          <w:lang w:val="uk-UA"/>
        </w:rPr>
        <w:t xml:space="preserve">Відзначено, що обов’язковим елементом будь-яких правовідносин є зміст таких правовідносин, який складають права та обов’язки учасників. У правовідносинах банківської таємниці ними є: право клієнта банку вимагати збереження переданої банку інформації, що становить банківську таємницю, у порядку та спосіб, що передбачений законодавством, локальними нормативними </w:t>
      </w:r>
      <w:r>
        <w:rPr>
          <w:lang w:val="uk-UA"/>
        </w:rPr>
        <w:lastRenderedPageBreak/>
        <w:t>актами банку, та договором між банком та клієнтом, а також відшкодування збитків, у тому числі моральної шкоди, заподіяних внаслідок розголошення інформації, що становить банківську таємницю; право осіб, зазначених у статті 62 Закону України «Про банки і банківську діяльність», вимагати надання їм інформації, що становить банківську таємницю у спосіб та в межах, передбачених законом; обов’язок банку та його співробітників утримувати інформації щодо своїх клієнтів у таємниці, запобігати її розголошенню.</w:t>
      </w:r>
    </w:p>
    <w:p w14:paraId="655920BF" w14:textId="77777777" w:rsidR="00984EA9" w:rsidRDefault="00E225DE">
      <w:pPr>
        <w:rPr>
          <w:lang w:val="uk-UA"/>
        </w:rPr>
      </w:pPr>
      <w:r>
        <w:rPr>
          <w:lang w:val="uk-UA"/>
        </w:rPr>
        <w:t>Перша категорія прав безсумнівно відноситься до цивільних, а його захист та реалізація знаходиться в сфері регулювання норм цивільного права. Зазначено, що нормативно-правові засади цивільно-правової відповідальності за розголошення банківської таємниці в Україні встановлені ч.2 ст. 1076 ЦК України. У разі розголошення банком відомостей, що становлять банківську таємницю, клієнт має право вимагати від банку відшкодування завданих збитків та моральної шкоди, що є класичним для приватного права способом захисту порушених цивільних прав. Що ж до обов’язку банку, то питання віднесення даного обов’язку до цивільно-правових є дискусійним.</w:t>
      </w:r>
    </w:p>
    <w:p w14:paraId="274A21FF" w14:textId="77777777" w:rsidR="00984EA9" w:rsidRDefault="00E225DE">
      <w:pPr>
        <w:rPr>
          <w:lang w:val="uk-UA"/>
        </w:rPr>
      </w:pPr>
      <w:r>
        <w:rPr>
          <w:lang w:val="uk-UA"/>
        </w:rPr>
        <w:t>Визначено, що до основних об’єктів банківської таємниці відносяться: таємниця банківського рахунку – відомості про рахунки клієнтів і кореспондентів і діях з ними в кредитній організації; таємниця операцій по банківському рахунку - відомості про прийняття і зарахування вступників на рахунок клієнта грошових коштів, про виконання його розпоряджень по перерахуванню та видачу відповідних сум з рахунку, а також проведення інших операцій і угод з банківського рахунку, передбачених договором банківського рахунку або законом , встановленими відповідно до нього банківськими правилами, звичаями ділового обороту; таємниця банківського вкладу – відомості про всіх видах вкладів клієнта в кредитній організації; таємниця приватного життя клієнта або кореспондента - відомості про клієнта або кореспонденті, які становлять його особисту, сімейну таємницю і зберігаються законом як персональні дані цього клієнта або кореспондента.</w:t>
      </w:r>
    </w:p>
    <w:p w14:paraId="6206E89C" w14:textId="77777777" w:rsidR="00984EA9" w:rsidRDefault="00E225DE">
      <w:pPr>
        <w:rPr>
          <w:szCs w:val="28"/>
          <w:lang w:val="uk-UA"/>
        </w:rPr>
      </w:pPr>
      <w:r>
        <w:rPr>
          <w:lang w:val="uk-UA"/>
        </w:rPr>
        <w:lastRenderedPageBreak/>
        <w:t xml:space="preserve">Визначено, що точне визначення змісту банківської таємниці також залежить від коректного з’ясування моменту виникнення у банку обов’язку збереження банківської таємниці, адже належне виконання обов’язку збереження банківської таємниці має темпоральні межі. </w:t>
      </w:r>
      <w:r>
        <w:rPr>
          <w:szCs w:val="28"/>
          <w:lang w:val="uk-UA"/>
        </w:rPr>
        <w:t xml:space="preserve">За результатами критичного аналізу наукової доктрини, законодавства та </w:t>
      </w:r>
      <w:proofErr w:type="spellStart"/>
      <w:r>
        <w:rPr>
          <w:szCs w:val="28"/>
          <w:lang w:val="uk-UA"/>
        </w:rPr>
        <w:t>правозастосовчої</w:t>
      </w:r>
      <w:proofErr w:type="spellEnd"/>
      <w:r>
        <w:rPr>
          <w:szCs w:val="28"/>
          <w:lang w:val="uk-UA"/>
        </w:rPr>
        <w:t xml:space="preserve"> практики з питань термінологічних меж дії режиму банківської таємниці щодо фінансової інформації клієнта банку доведено хибність позиції Верховного Суду щодо початку правової охорони прав власника банківської таємниці з моменту укладення в письмовій формі договору між клієнтом – з одного боку, та банківською установою – з іншого. Визначено, що даний підхід суперечить законодавчо закріпленому розумінню банківської таємниці як інформації щодо діяльності та фінансового стану клієнта, яка стала відомою банку у процесі обслуговування клієнта та взаємовідносин з ним чи третіми особами при наданні послуг банку і розголошення якої може завдати матеріальної чи моральної шкоди клієнту, адже така інформація може бути відомою банку ще до укладення відповідного договору (наприклад, у випадках отримання первинної інформації для визначення кредитоспроможності клієнта при споживчому кредитуванні.</w:t>
      </w:r>
    </w:p>
    <w:p w14:paraId="3E16929F" w14:textId="77777777" w:rsidR="00984EA9" w:rsidRDefault="00E225DE">
      <w:pPr>
        <w:rPr>
          <w:lang w:val="uk-UA"/>
        </w:rPr>
      </w:pPr>
      <w:r>
        <w:rPr>
          <w:lang w:val="uk-UA"/>
        </w:rPr>
        <w:t>Визначено, що первинна інформація щодо статусу фізичної особи одержується банком із таких документів як паспорт, довідка з місця роботи, документи які підтверджують прибутки по вкладах в банках і цінним паперам тощо. Отримання співробітником банку вищезгаданих документів в межах процесу перевірки кредитоспроможності фактично передбачає отримання інформації щодо діяльності та фінансового стану клієнта, а розголошення такої інформації може завдати матеріальної чи моральної шкоди клієнту.</w:t>
      </w:r>
    </w:p>
    <w:p w14:paraId="0303B176" w14:textId="77777777" w:rsidR="00984EA9" w:rsidRDefault="00E225DE">
      <w:pPr>
        <w:rPr>
          <w:szCs w:val="28"/>
          <w:lang w:val="uk-UA"/>
        </w:rPr>
      </w:pPr>
      <w:r>
        <w:rPr>
          <w:szCs w:val="28"/>
          <w:lang w:val="uk-UA"/>
        </w:rPr>
        <w:t xml:space="preserve">Окремо аргументовано позицію, що </w:t>
      </w:r>
      <w:r>
        <w:rPr>
          <w:lang w:val="uk-UA"/>
        </w:rPr>
        <w:t xml:space="preserve">режим банківської таємниці не припиняється зі смертю клієнта банку. Підтверджено прикладами з практики, що режим банківської таємниці зберігається після смерті власника фінансової інформації, адже згідно з ч. 3 ст. 62 Закону № 2121-ІІІ довідки по рахунках (вкладах) у разі смерті їх власників надаються банком особам, зазначеним </w:t>
      </w:r>
      <w:r>
        <w:rPr>
          <w:lang w:val="uk-UA"/>
        </w:rPr>
        <w:lastRenderedPageBreak/>
        <w:t>власником рахунку (вкладу) в заповідальному розпорядженні банку, державним нотаріальним конторам або приватним нотаріусам, іноземним консульським установам у справах спадщини за рахунками (вкладами) померлих власників рахунків (вкладів), що свідчить про продовження дії банківської таємниці щодо такої інформації.</w:t>
      </w:r>
    </w:p>
    <w:p w14:paraId="3FBBAB39" w14:textId="77777777" w:rsidR="00984EA9" w:rsidRDefault="00E225DE">
      <w:pPr>
        <w:rPr>
          <w:szCs w:val="28"/>
          <w:lang w:val="uk-UA"/>
        </w:rPr>
      </w:pPr>
      <w:r>
        <w:rPr>
          <w:szCs w:val="28"/>
          <w:lang w:val="uk-UA"/>
        </w:rPr>
        <w:t xml:space="preserve">Доведено, що перелік суб’єктів, які можуть отримати доступ до банківської таємниці, не обмежується суб’єктами, переліченими в </w:t>
      </w:r>
      <w:proofErr w:type="spellStart"/>
      <w:r>
        <w:rPr>
          <w:szCs w:val="28"/>
          <w:lang w:val="uk-UA"/>
        </w:rPr>
        <w:t>п.п</w:t>
      </w:r>
      <w:proofErr w:type="spellEnd"/>
      <w:r>
        <w:rPr>
          <w:szCs w:val="28"/>
          <w:lang w:val="uk-UA"/>
        </w:rPr>
        <w:t>. 2-6 ч. 1 ст. 62 Закону «Про банки і банківську діяльність», а бюро кредитних історій у випадку отримання даних, що становлять банківську таємницю, повинні визнаватися утримувачами банківської таємниці.</w:t>
      </w:r>
    </w:p>
    <w:p w14:paraId="1DA47BC2" w14:textId="77777777" w:rsidR="00984EA9" w:rsidRDefault="00E225DE">
      <w:pPr>
        <w:rPr>
          <w:szCs w:val="28"/>
          <w:lang w:val="uk-UA"/>
        </w:rPr>
      </w:pPr>
      <w:r>
        <w:rPr>
          <w:szCs w:val="28"/>
          <w:lang w:val="uk-UA"/>
        </w:rPr>
        <w:t>Обґрунтовано незаконність формування будь-яких інших баз даних, що передбачають включення інформації, віднесеної законом до банківської таємниці, а також доведено, що надання доступу компетентними суб’єктами до таких даних є прикладом неналежного здійснення обов’язку дотримання банківської таємниці.</w:t>
      </w:r>
    </w:p>
    <w:p w14:paraId="4A2C87FC" w14:textId="77777777" w:rsidR="00984EA9" w:rsidRDefault="00E225DE">
      <w:pPr>
        <w:rPr>
          <w:lang w:val="uk-UA"/>
        </w:rPr>
      </w:pPr>
      <w:r>
        <w:rPr>
          <w:lang w:val="uk-UA"/>
        </w:rPr>
        <w:t xml:space="preserve">Відзначено, що в даний час з боку банків досить затребувані послуги третіх осіб з повернення простроченої заборгованості за кредитними договорами. З’ясовано, що нещодавнє ухвалення Закону № 1349-IX «Про внесення змін до деяких законодавчих актів України щодо захисту боржників при врегулюванні простроченої заборгованості» дозволило врегулювати даний тип діяльності та встановити законні межі «колекторської» діяльності. Однак, в межах дослідження аргументовано думку, що суб’єктам відповідних правовідносин в процесі надання та споживання таких послуг необхідно дотримуватися правового режиму банківської таємниці. Аргументовано думку, що банку і колекторській службі дотримання режиму банківської таємниці дозволить уникнути негативних наслідків його порушення, а клієнту </w:t>
      </w:r>
      <w:proofErr w:type="spellStart"/>
      <w:r>
        <w:rPr>
          <w:lang w:val="uk-UA"/>
        </w:rPr>
        <w:t>надасть</w:t>
      </w:r>
      <w:proofErr w:type="spellEnd"/>
      <w:r>
        <w:rPr>
          <w:lang w:val="uk-UA"/>
        </w:rPr>
        <w:t xml:space="preserve"> можливість захисту своїх прав та інтересів.</w:t>
      </w:r>
    </w:p>
    <w:p w14:paraId="2969A577" w14:textId="77777777" w:rsidR="00984EA9" w:rsidRDefault="00E225DE">
      <w:pPr>
        <w:rPr>
          <w:lang w:val="uk-UA"/>
        </w:rPr>
      </w:pPr>
      <w:r>
        <w:rPr>
          <w:lang w:val="uk-UA"/>
        </w:rPr>
        <w:t xml:space="preserve">На </w:t>
      </w:r>
      <w:proofErr w:type="spellStart"/>
      <w:r>
        <w:rPr>
          <w:lang w:val="uk-UA"/>
        </w:rPr>
        <w:t>підстві</w:t>
      </w:r>
      <w:proofErr w:type="spellEnd"/>
      <w:r>
        <w:rPr>
          <w:lang w:val="uk-UA"/>
        </w:rPr>
        <w:t xml:space="preserve"> аналізу актуальної практики Європейського суду з прав людини зроблено висновок, що позивачам у справах про відшкодування моральної </w:t>
      </w:r>
      <w:r>
        <w:rPr>
          <w:lang w:val="uk-UA"/>
        </w:rPr>
        <w:lastRenderedPageBreak/>
        <w:t>шкоди внаслідок розкриття банківської таємниці не може бути пред’явлено вимогу надання підтвердження отриманої моральної шкоди. Специфіка природи моральної шкоди у випадках порушення немайнових прав осіб передбачає безумовний характер наявності моральної шкоди у разі наявності встановленого факту порушення права особи. Одночасно обґрунтування матеріального еквіваленту спричиненої шкоди потребує оцінки характеру та обсягу моральних страждань, їх тривалості та впливу на життя особи, права якої були порушені.</w:t>
      </w:r>
    </w:p>
    <w:p w14:paraId="54FD94AE" w14:textId="77777777" w:rsidR="00984EA9" w:rsidRDefault="00E225DE">
      <w:pPr>
        <w:rPr>
          <w:rFonts w:cs="Times New Roman"/>
          <w:szCs w:val="28"/>
          <w:lang w:val="uk-UA" w:eastAsia="ru-RU"/>
        </w:rPr>
      </w:pPr>
      <w:r>
        <w:rPr>
          <w:rFonts w:cs="Times New Roman"/>
          <w:b/>
          <w:i/>
          <w:szCs w:val="28"/>
          <w:lang w:val="uk-UA" w:eastAsia="ru-RU"/>
        </w:rPr>
        <w:t xml:space="preserve">Ключові слова: </w:t>
      </w:r>
      <w:r>
        <w:rPr>
          <w:lang w:val="uk-UA" w:eastAsia="ru-RU"/>
        </w:rPr>
        <w:t>банківська таємниця, цивільно-правовий обов’язок, розкриття банківської таємниці, фінансова інформація, захист інформації, таємна інформація, комерційна таємниця, конфіденційна інформація</w:t>
      </w:r>
      <w:r w:rsidR="00FC2C8B">
        <w:rPr>
          <w:lang w:val="uk-UA" w:eastAsia="ru-RU"/>
        </w:rPr>
        <w:t>,</w:t>
      </w:r>
      <w:r>
        <w:rPr>
          <w:lang w:val="uk-UA" w:eastAsia="ru-RU"/>
        </w:rPr>
        <w:t xml:space="preserve"> захист немайнових цивільних прав, цивільно-правове регулювання, договірне регулювання</w:t>
      </w:r>
    </w:p>
    <w:p w14:paraId="1F3DB7DF" w14:textId="77777777" w:rsidR="00984EA9" w:rsidRDefault="00984EA9">
      <w:pPr>
        <w:keepNext/>
        <w:ind w:firstLine="0"/>
        <w:jc w:val="center"/>
        <w:rPr>
          <w:b/>
          <w:lang w:val="uk-UA"/>
        </w:rPr>
      </w:pPr>
    </w:p>
    <w:p w14:paraId="1DC3A5A1" w14:textId="77777777" w:rsidR="00984EA9" w:rsidRPr="00FC2C8B" w:rsidRDefault="00E225DE">
      <w:pPr>
        <w:keepNext/>
        <w:ind w:firstLine="0"/>
        <w:jc w:val="center"/>
        <w:rPr>
          <w:b/>
          <w:lang w:val="en-US"/>
        </w:rPr>
      </w:pPr>
      <w:r w:rsidRPr="00FC2C8B">
        <w:rPr>
          <w:b/>
          <w:lang w:val="en-US"/>
        </w:rPr>
        <w:t>SUMMARY</w:t>
      </w:r>
    </w:p>
    <w:p w14:paraId="75B5CD21" w14:textId="0B71D4D6" w:rsidR="00984EA9" w:rsidRPr="00FC2C8B" w:rsidRDefault="00E225DE">
      <w:pPr>
        <w:rPr>
          <w:lang w:val="en-US" w:eastAsia="ru-RU"/>
        </w:rPr>
      </w:pPr>
      <w:proofErr w:type="spellStart"/>
      <w:r w:rsidRPr="00FC2C8B">
        <w:rPr>
          <w:b/>
          <w:i/>
          <w:lang w:val="en-US" w:eastAsia="ru-RU"/>
        </w:rPr>
        <w:t>Khizhnyak</w:t>
      </w:r>
      <w:proofErr w:type="spellEnd"/>
      <w:r w:rsidRPr="00FC2C8B">
        <w:rPr>
          <w:b/>
          <w:i/>
          <w:lang w:val="en-US" w:eastAsia="ru-RU"/>
        </w:rPr>
        <w:t xml:space="preserve"> O.V.</w:t>
      </w:r>
      <w:r w:rsidRPr="00FC2C8B">
        <w:rPr>
          <w:b/>
          <w:lang w:val="en-US" w:eastAsia="ru-RU"/>
        </w:rPr>
        <w:t xml:space="preserve"> Civil law aspect of banking secrecy. </w:t>
      </w:r>
      <w:r w:rsidRPr="00FC2C8B">
        <w:rPr>
          <w:lang w:val="en-US" w:eastAsia="ru-RU"/>
        </w:rPr>
        <w:t xml:space="preserve">– Qualification scientific work, manuscript copyright. Thesis for a Ph.D. degree in specialty 081 </w:t>
      </w:r>
      <w:r w:rsidR="009E5148">
        <w:rPr>
          <w:lang w:eastAsia="ru-RU"/>
        </w:rPr>
        <w:t>«</w:t>
      </w:r>
      <w:r w:rsidRPr="00FC2C8B">
        <w:rPr>
          <w:lang w:val="en-US" w:eastAsia="ru-RU"/>
        </w:rPr>
        <w:t>Law</w:t>
      </w:r>
      <w:r w:rsidR="009E5148">
        <w:rPr>
          <w:lang w:eastAsia="ru-RU"/>
        </w:rPr>
        <w:t>»</w:t>
      </w:r>
      <w:r w:rsidRPr="00FC2C8B">
        <w:rPr>
          <w:lang w:val="en-US" w:eastAsia="ru-RU"/>
        </w:rPr>
        <w:t>. – National University “Odessa Law Academy”, Odesa, 2021.</w:t>
      </w:r>
    </w:p>
    <w:p w14:paraId="5A8B5B4E" w14:textId="77777777" w:rsidR="00984EA9" w:rsidRPr="00FC2C8B" w:rsidRDefault="00E225DE">
      <w:pPr>
        <w:rPr>
          <w:lang w:val="en-US"/>
        </w:rPr>
      </w:pPr>
      <w:bookmarkStart w:id="4" w:name="_Toc530603901"/>
      <w:bookmarkStart w:id="5" w:name="_Toc527958075"/>
      <w:bookmarkStart w:id="6" w:name="_Toc527621609"/>
      <w:bookmarkStart w:id="7" w:name="_Toc527619506"/>
      <w:bookmarkEnd w:id="4"/>
      <w:bookmarkEnd w:id="5"/>
      <w:bookmarkEnd w:id="6"/>
      <w:bookmarkEnd w:id="7"/>
      <w:r w:rsidRPr="00FC2C8B">
        <w:rPr>
          <w:lang w:val="en-US"/>
        </w:rPr>
        <w:t>The dissertation is the first in the domestic science of civil law special comprehensive study of the civil law aspect of legal regulation of relations in the field of preservation and disclosure of banking secrecy. The study included a comprehensive analysis of scientific approaches to the definition of banking secrecy, legislation in the field of subjective civil rights to protect financial information and legal practice on the protection of this right and compensation.</w:t>
      </w:r>
    </w:p>
    <w:p w14:paraId="2F3AA3F7" w14:textId="77777777" w:rsidR="00984EA9" w:rsidRPr="00FC2C8B" w:rsidRDefault="00E225DE">
      <w:pPr>
        <w:rPr>
          <w:lang w:val="en-US"/>
        </w:rPr>
      </w:pPr>
      <w:r w:rsidRPr="00FC2C8B">
        <w:rPr>
          <w:lang w:val="en-US"/>
        </w:rPr>
        <w:t>In the course of research of historical and theoretical bases of formation of institute of bank secrecy the basic stages of genesis of institute of bank secrecy were analyzed, the concept of the last is defined, functions, signs and place of bank secret in legal reality are allocated.</w:t>
      </w:r>
    </w:p>
    <w:p w14:paraId="77B11265" w14:textId="77777777" w:rsidR="00984EA9" w:rsidRPr="00FC2C8B" w:rsidRDefault="00E225DE">
      <w:pPr>
        <w:rPr>
          <w:lang w:val="en-US"/>
        </w:rPr>
      </w:pPr>
      <w:r w:rsidRPr="00FC2C8B">
        <w:rPr>
          <w:lang w:val="en-US"/>
        </w:rPr>
        <w:t xml:space="preserve">According to a study of the history of domestic legislation in the field of banking secrecy, it is clear that the rules of civil law in the field of banking secrecy originate in </w:t>
      </w:r>
      <w:r w:rsidRPr="00FC2C8B">
        <w:rPr>
          <w:lang w:val="en-US"/>
        </w:rPr>
        <w:lastRenderedPageBreak/>
        <w:t xml:space="preserve">the era of transition from feudal to capitalist system, when the law begins to take into account the private interests of individual businesses and </w:t>
      </w:r>
      <w:proofErr w:type="spellStart"/>
      <w:r w:rsidRPr="00FC2C8B">
        <w:rPr>
          <w:lang w:val="en-US"/>
        </w:rPr>
        <w:t>and</w:t>
      </w:r>
      <w:proofErr w:type="spellEnd"/>
      <w:r w:rsidRPr="00FC2C8B">
        <w:rPr>
          <w:lang w:val="en-US"/>
        </w:rPr>
        <w:t xml:space="preserve"> public interests of the state. In the Ukrainian lands, the first norms in the field of protection of information received by financial institutions were enshrined in the Criminal and Correctional Penal Code of 1845 (as amended in 1866 and 1885). The provisions of the act established liability for encroachment on various types of commercial information, including the secrecy of information obtained by credit institutions.</w:t>
      </w:r>
    </w:p>
    <w:p w14:paraId="5F1B9A76" w14:textId="77777777" w:rsidR="00984EA9" w:rsidRPr="00FC2C8B" w:rsidRDefault="00E225DE">
      <w:pPr>
        <w:rPr>
          <w:lang w:val="en-US"/>
        </w:rPr>
      </w:pPr>
      <w:r w:rsidRPr="00FC2C8B">
        <w:rPr>
          <w:lang w:val="en-US"/>
        </w:rPr>
        <w:t>Based on the analysis of the historical stages of the formation of the institute of banking secrecy, it is determined that the origins of the genesis of the institute of banking secrecy were formed long before the creation of the first banking institutions in their modern sense. Legal regulation of banking secrecy became derived from the previously formed trade secrecy, governed by the customs of business. The formation of the confidential status of the depositor took place during the activities of individual moneylenders, in the period when the latter moved from the implementation of exclusively credit operations to the acceptance of money for safekeeping. Quite often, the illegal origin of funds led to a situation in which clients of moneylenders were interested in withholding information about their deposits, so such qualities of the moneylender as the degree of its reliability, ability to maintain the secrecy of the deposit directly influenced the choice of moneylender.</w:t>
      </w:r>
    </w:p>
    <w:p w14:paraId="41017EC1" w14:textId="77777777" w:rsidR="00984EA9" w:rsidRPr="00FC2C8B" w:rsidRDefault="00E225DE">
      <w:pPr>
        <w:rPr>
          <w:lang w:val="en-US"/>
        </w:rPr>
      </w:pPr>
      <w:r w:rsidRPr="00FC2C8B">
        <w:rPr>
          <w:lang w:val="en-US"/>
        </w:rPr>
        <w:t>The analysis of domestic legislation in the field of protection of banking secrecy shows that there are permanent attempts to improve the legal regulation of these relations and increase the effectiveness of law enforcement practice in this area. The study argues that at the present stage of development of the institution of banking secrecy is changing approaches to understanding banking secrecy from competitive advantage received by customers of individual banks given the information policy of such a bank and its independent status, to an integral fundamental regulatory position in the relationship between the bank and the client.</w:t>
      </w:r>
    </w:p>
    <w:p w14:paraId="71687C71" w14:textId="77777777" w:rsidR="00984EA9" w:rsidRPr="00FC2C8B" w:rsidRDefault="00E225DE">
      <w:pPr>
        <w:rPr>
          <w:lang w:val="en-US"/>
        </w:rPr>
      </w:pPr>
      <w:r w:rsidRPr="00FC2C8B">
        <w:rPr>
          <w:lang w:val="en-US"/>
        </w:rPr>
        <w:t xml:space="preserve">The doctrinal position on the branch affiliation of the institute of banking secrecy has been improved. It is determined that relations in the field of banking are most often </w:t>
      </w:r>
      <w:r w:rsidRPr="00FC2C8B">
        <w:rPr>
          <w:lang w:val="en-US"/>
        </w:rPr>
        <w:lastRenderedPageBreak/>
        <w:t>related to public relations and note the priority of their legal regulation by the relevant sectoral legislation of a public nature. However, the study proved that despite the general imperative nature of such relations, they are not isolated from civil relations. Current legislation on banks and banking provides financial, tax, antitrust and law enforcement agencies with ample opportunities to obtain information that constitutes banking secrecy. It must be borne in mind that the entire public element is an integral part of ensuring and protecting banking secrecy, and subsequently protecting the private interest.</w:t>
      </w:r>
    </w:p>
    <w:p w14:paraId="507ADC15" w14:textId="77777777" w:rsidR="00984EA9" w:rsidRPr="00FC2C8B" w:rsidRDefault="00E225DE">
      <w:pPr>
        <w:rPr>
          <w:lang w:val="en-US"/>
        </w:rPr>
      </w:pPr>
      <w:r w:rsidRPr="00FC2C8B">
        <w:rPr>
          <w:lang w:val="en-US"/>
        </w:rPr>
        <w:t xml:space="preserve">It is determined that in the professional literature there is no unity in determining the place of banking secrecy in the legal system of Ukraine, because researchers of these relations set a set of legal rules governing the preservation and disclosure of banking secrecy, identified as an institution of banking law, as a cross-sectoral is part of the Institute of Confidentiality Law in the field of information law of Ukraine because the </w:t>
      </w:r>
      <w:proofErr w:type="spellStart"/>
      <w:r w:rsidRPr="00FC2C8B">
        <w:rPr>
          <w:lang w:val="en-US"/>
        </w:rPr>
        <w:t>subinstitution</w:t>
      </w:r>
      <w:proofErr w:type="spellEnd"/>
      <w:r w:rsidRPr="00FC2C8B">
        <w:rPr>
          <w:lang w:val="en-US"/>
        </w:rPr>
        <w:t xml:space="preserve"> of financial law. Much less in the literature there are definitions of banking secrecy as an institution of civil law or understanding of the relationship to banking secrecy as having a private law nature, while the general principles of banking secrecy enshrined in the Civil Code of Ukraine (Article 1076 CC of Ukraine is called " Bank secrecy "and provides for the obligation of the bank to guarantee the secrecy of the bank account, account transactions and customer information.</w:t>
      </w:r>
    </w:p>
    <w:p w14:paraId="1459F42A" w14:textId="77777777" w:rsidR="00984EA9" w:rsidRPr="00FC2C8B" w:rsidRDefault="00E225DE">
      <w:pPr>
        <w:rPr>
          <w:lang w:val="en-US"/>
        </w:rPr>
      </w:pPr>
      <w:r w:rsidRPr="00FC2C8B">
        <w:rPr>
          <w:lang w:val="en-US"/>
        </w:rPr>
        <w:t>The position that banking secrecy is a special object of civil information legal relations is argued. The issue of defining the category of "banking secrecy" has no unambiguous solution due to the discussed points of discussion on the legal nature of relevant public relations, lack of unity in the defined sectoral affiliation of these relations, the limits of legal regulation of such relations, the status of subjects of these relations.</w:t>
      </w:r>
    </w:p>
    <w:p w14:paraId="59F89D43" w14:textId="77777777" w:rsidR="00984EA9" w:rsidRPr="00FC2C8B" w:rsidRDefault="00E225DE">
      <w:pPr>
        <w:rPr>
          <w:lang w:val="en-US"/>
        </w:rPr>
      </w:pPr>
      <w:r w:rsidRPr="00FC2C8B">
        <w:rPr>
          <w:lang w:val="en-US"/>
        </w:rPr>
        <w:t xml:space="preserve">It is determined that Ukraine has a certain mechanism for preserving, protecting and disclosing banking secrecy, which is regulated by the Civil, Civil Procedure and Criminal Procedure Codes of Ukraine, as well as the Laws "On Banks and Banking", </w:t>
      </w:r>
      <w:r w:rsidRPr="00FC2C8B">
        <w:rPr>
          <w:lang w:val="en-US"/>
        </w:rPr>
        <w:lastRenderedPageBreak/>
        <w:t>"On the National Bank of Ukraine", " On Information "," On Personal Data Protection "," On the State Tax Service in Ukraine "," On the National Police "," On the Prosecutor's Office "," On the Security Service of Ukraine "," On the Basic Principles of Public Financial Control in Ukraine ", "On the organization of the formation and circulation of credit histories", "On consumer lending", bylaws, etc.</w:t>
      </w:r>
    </w:p>
    <w:p w14:paraId="31B60169" w14:textId="77777777" w:rsidR="00984EA9" w:rsidRPr="00FC2C8B" w:rsidRDefault="00E225DE">
      <w:pPr>
        <w:rPr>
          <w:lang w:val="en-US"/>
        </w:rPr>
      </w:pPr>
      <w:r w:rsidRPr="00FC2C8B">
        <w:rPr>
          <w:lang w:val="en-US"/>
        </w:rPr>
        <w:t>It is argued that the history of the development of the institution of banking secrecy does not end, and some changes in the legal regulation of these relations occur synchronously with the scientific work on understanding the civil law aspect of banking secrecy. It is determined that the current regulatory framework of the institute of banking secrecy establishes the legal status of the subjects of legal relations in the field of use, provision and protection of information owned by the banking institution; the content of information that is in secret; conditions and procedure for providing and using information owned by a banking institution; the procedure for legal protection of information, as well as responsibility for the disclosure of such information.</w:t>
      </w:r>
    </w:p>
    <w:p w14:paraId="2E60EC77" w14:textId="77777777" w:rsidR="00984EA9" w:rsidRPr="00FC2C8B" w:rsidRDefault="00E225DE">
      <w:pPr>
        <w:rPr>
          <w:lang w:val="en-US"/>
        </w:rPr>
      </w:pPr>
      <w:r w:rsidRPr="00FC2C8B">
        <w:rPr>
          <w:lang w:val="en-US"/>
        </w:rPr>
        <w:t>It is proved that the development and modification, as well as changes in the importance of certain public relations in the field of banking secrecy cause the legislator's attention to the practical problems of exercising the right of individuals to the secrecy of their financial information and protection of public interests in the context of the implementation of the above right of persons contrary to its purpose (abuse of rights).</w:t>
      </w:r>
    </w:p>
    <w:p w14:paraId="575C6A78" w14:textId="77777777" w:rsidR="00984EA9" w:rsidRPr="00FC2C8B" w:rsidRDefault="00E225DE">
      <w:pPr>
        <w:rPr>
          <w:lang w:val="en-US"/>
        </w:rPr>
      </w:pPr>
      <w:r w:rsidRPr="00FC2C8B">
        <w:rPr>
          <w:lang w:val="en-US"/>
        </w:rPr>
        <w:t xml:space="preserve">It is noted that despite the popular belief that the greatest threat to the individual is the disclosure of data contained in documents obtained by the bank in the contractual relationship with the client, financial information obtained by the bank may pose a risk of disclosure / current account in a particular bank; presence or absence of funds in the bank account; counterparties for transactions, purpose of payments, information from personal correspondence (given the functionality of modern online banking); frequency and amount of receipts to the bank account; frequency and amount of expenses on the bank account; places and specific names of purchases made; paid services, </w:t>
      </w:r>
      <w:proofErr w:type="spellStart"/>
      <w:r w:rsidRPr="00FC2C8B">
        <w:rPr>
          <w:lang w:val="en-US"/>
        </w:rPr>
        <w:t>etc</w:t>
      </w:r>
      <w:proofErr w:type="spellEnd"/>
      <w:r w:rsidRPr="00FC2C8B">
        <w:rPr>
          <w:lang w:val="en-US"/>
        </w:rPr>
        <w:t xml:space="preserve"> .; data on persons who have access to the client's bank account; data for </w:t>
      </w:r>
      <w:r w:rsidRPr="00FC2C8B">
        <w:rPr>
          <w:lang w:val="en-US"/>
        </w:rPr>
        <w:lastRenderedPageBreak/>
        <w:t>identification of transactions made by the client, payments on which were made to the bank account; data on the client's location (when booking a hotel, pre-payment of the amount, withholding of the deposit for car rental, etc.).</w:t>
      </w:r>
    </w:p>
    <w:p w14:paraId="0F6D6440" w14:textId="77777777" w:rsidR="00984EA9" w:rsidRPr="00FC2C8B" w:rsidRDefault="00E225DE">
      <w:pPr>
        <w:rPr>
          <w:lang w:val="en-US"/>
        </w:rPr>
      </w:pPr>
      <w:r w:rsidRPr="00FC2C8B">
        <w:rPr>
          <w:lang w:val="en-US"/>
        </w:rPr>
        <w:t>Disclosure of each type of the above information may have different consequences for the person according to the importance that the person attaches to this or that information about himself. This information can cover the social and financial status of the person, family and personal ties, directions and ways of moving the person, place of residence or stay, etc. Such data may be deliberately kept secret by a person for reasons of personal safety and the safety of family members, in order to maintain the secrecy of privacy, for reputational or even economically justified reasons.</w:t>
      </w:r>
    </w:p>
    <w:p w14:paraId="72AB98E1" w14:textId="77777777" w:rsidR="00984EA9" w:rsidRPr="00FC2C8B" w:rsidRDefault="00E225DE">
      <w:pPr>
        <w:rPr>
          <w:lang w:val="en-US"/>
        </w:rPr>
      </w:pPr>
      <w:r w:rsidRPr="00FC2C8B">
        <w:rPr>
          <w:lang w:val="en-US"/>
        </w:rPr>
        <w:t>The significance of the value factor of information that constitutes banking secrecy is analyzed. It is argued that the value of information is determined by the usefulness and ability to provide the subject with the necessary conditions to achieve its goal. The value of information - a property that is determined by its suitability for practical use in various areas of purposeful activity. The value and usefulness of information is determined by its qualitative and quantitative characteristics.</w:t>
      </w:r>
    </w:p>
    <w:p w14:paraId="3C14E155" w14:textId="77777777" w:rsidR="00984EA9" w:rsidRPr="00FC2C8B" w:rsidRDefault="00E225DE">
      <w:pPr>
        <w:rPr>
          <w:lang w:val="en-US"/>
        </w:rPr>
      </w:pPr>
      <w:r w:rsidRPr="00FC2C8B">
        <w:rPr>
          <w:lang w:val="en-US"/>
        </w:rPr>
        <w:t>It is proved that the relevance of the study of value (axiological) parameters of information covered by banking secrecy is due to the need to find an objective balance of private and public interests in the methods of legal regulation of relations to obtain, store and dispose of information about its client.</w:t>
      </w:r>
    </w:p>
    <w:p w14:paraId="08153B72" w14:textId="77777777" w:rsidR="00984EA9" w:rsidRPr="00FC2C8B" w:rsidRDefault="00E225DE">
      <w:pPr>
        <w:rPr>
          <w:lang w:val="en-US"/>
        </w:rPr>
      </w:pPr>
      <w:r w:rsidRPr="00FC2C8B">
        <w:rPr>
          <w:lang w:val="en-US"/>
        </w:rPr>
        <w:t>According to the results of the study of the nature of information that falls under the regime of bank secrecy, the axiological properties of this information are classified according to the following criteria: the subject of potential value of information (individual value of information, group or public value); by the nature of the value (commercial, personal, family); in the presence of the material basis of value (economically justified value, intangible value).</w:t>
      </w:r>
    </w:p>
    <w:p w14:paraId="3196356B" w14:textId="77777777" w:rsidR="00984EA9" w:rsidRPr="00FC2C8B" w:rsidRDefault="00E225DE">
      <w:pPr>
        <w:rPr>
          <w:lang w:val="en-US"/>
        </w:rPr>
      </w:pPr>
      <w:r w:rsidRPr="00FC2C8B">
        <w:rPr>
          <w:lang w:val="en-US"/>
        </w:rPr>
        <w:t xml:space="preserve">It has been proved that, despite the wording of the norm in the form of a "guarantee", it should be noted that according to civil law, it is the banks as legal </w:t>
      </w:r>
      <w:r w:rsidRPr="00FC2C8B">
        <w:rPr>
          <w:lang w:val="en-US"/>
        </w:rPr>
        <w:lastRenderedPageBreak/>
        <w:t>entities that have a civil obligation to maintain banking secrecy. The expediency of assigning this duty to civil ones due to the specifics of the object of these legal relations is argued. Despite the civil nature of the relationship on the implementation of the obligation to maintain banking secrecy, a significant degree of influence of the public aspect of the legal regulation of the implementation of the obligation to maintain banking secrecy, as practical mechanisms for implementing this obligation are enshrined in both administrative law and established by international level.</w:t>
      </w:r>
    </w:p>
    <w:p w14:paraId="6A8C1BC4" w14:textId="77777777" w:rsidR="00984EA9" w:rsidRPr="00FC2C8B" w:rsidRDefault="00E225DE">
      <w:pPr>
        <w:rPr>
          <w:lang w:val="en-US"/>
        </w:rPr>
      </w:pPr>
      <w:r w:rsidRPr="00FC2C8B">
        <w:rPr>
          <w:lang w:val="en-US"/>
        </w:rPr>
        <w:t>It is determined that the main object of relations in the field of banking secrecy is information that has a personal non-public nature. As for the subjects of these relations, their range is not homogeneous, because the bank's customers as individuals and legal entities are classic subjects of civil law, while financial institutions are special entities, and therefore, in addition to the provisions of civil legislation, their activities are regulated by regulations of public branches of law.</w:t>
      </w:r>
    </w:p>
    <w:p w14:paraId="1C121C80" w14:textId="77777777" w:rsidR="00984EA9" w:rsidRPr="00FC2C8B" w:rsidRDefault="00E225DE">
      <w:pPr>
        <w:rPr>
          <w:lang w:val="en-US"/>
        </w:rPr>
      </w:pPr>
      <w:r w:rsidRPr="00FC2C8B">
        <w:rPr>
          <w:lang w:val="en-US"/>
        </w:rPr>
        <w:t>It is noted that a mandatory element of any legal relationship is the content of such legal relationship, which is the rights and responsibilities of the participants. In terms of banking secrecy, they are: the right of the bank's client to require the preservation of information transferred to the bank that constitutes bank secrecy, in the manner and manner prescribed by law, local regulations of the bank and the agreement between the bank and the client, as well as damages, including non-pecuniary damage caused by the disclosure of information constituting a bank secret; the right of persons specified in Article 62 of the Law of Ukraine "On Banks and Banking" to require the provision of information that constitutes banking secrecy in the manner and within the limits prescribed by law; the obligation of the bank and its employees to keep information about its customers secret, to prevent its disclosure.</w:t>
      </w:r>
    </w:p>
    <w:p w14:paraId="7DDC1C5C" w14:textId="77777777" w:rsidR="00984EA9" w:rsidRPr="00FC2C8B" w:rsidRDefault="00E225DE">
      <w:pPr>
        <w:rPr>
          <w:lang w:val="en-US"/>
        </w:rPr>
      </w:pPr>
      <w:r w:rsidRPr="00FC2C8B">
        <w:rPr>
          <w:lang w:val="en-US"/>
        </w:rPr>
        <w:t xml:space="preserve">The first category of rights undoubtedly refers to civil, and its protection and implementation is in the field of regulation of civil law. It is noted that the legal basis of civil liability for the disclosure of banking secrecy in Ukraine is established by Part 2 of Art. 1076 of the Civil Code of Ukraine. If the bank discloses information that constitutes a bank secret, the client has the right to demand from the bank compensation </w:t>
      </w:r>
      <w:r w:rsidRPr="00FC2C8B">
        <w:rPr>
          <w:lang w:val="en-US"/>
        </w:rPr>
        <w:lastRenderedPageBreak/>
        <w:t>for damages and non-pecuniary damage, which is a classic private law way to protect violated civil rights. As for the bank's obligation, the question of classifying this obligation as civil law is debatable.</w:t>
      </w:r>
    </w:p>
    <w:p w14:paraId="0038E8AA" w14:textId="77777777" w:rsidR="00984EA9" w:rsidRPr="00FC2C8B" w:rsidRDefault="00E225DE">
      <w:pPr>
        <w:rPr>
          <w:lang w:val="en-US"/>
        </w:rPr>
      </w:pPr>
      <w:r w:rsidRPr="00FC2C8B">
        <w:rPr>
          <w:lang w:val="en-US"/>
        </w:rPr>
        <w:t>It is determined that the main objects of bank secrecy include: bank account secrecy - information about the accounts of customers and correspondents and actions with them in the credit institution; secrecy of bank account operations - information on acceptance and crediting of entrants to the client's account, on execution of his orders on transfer and issuance of relevant amounts from the account, as well as other operations and transactions on the bank account provided by the bank account agreement or law in accordance with the banking rules, customs of business; bank deposit secrecy - information on all types of client deposits in a credit institution; privacy of a client or correspondent - information about the client or correspondent, which is his personal, family secret and is stored by law as personal data of the client or correspondent.</w:t>
      </w:r>
    </w:p>
    <w:p w14:paraId="22428352" w14:textId="77777777" w:rsidR="00984EA9" w:rsidRPr="00FC2C8B" w:rsidRDefault="00E225DE">
      <w:pPr>
        <w:rPr>
          <w:lang w:val="en-US"/>
        </w:rPr>
      </w:pPr>
      <w:r w:rsidRPr="00FC2C8B">
        <w:rPr>
          <w:lang w:val="en-US"/>
        </w:rPr>
        <w:t xml:space="preserve">It is determined that the exact definition of the content of banking secrecy also depends on the correct clarification of the moment of occurrence of the bank's obligation to maintain banking secrecy, as the proper implementation of the obligation to maintain banking secrecy has temporal limits. According to the results of a critical analysis of scientific doctrine, legislation and law enforcement practice on the terminological limits of the bank secrecy regime on the bank's client's financial information, the Supreme Court's position on the beginning of legal protection of bank secrecy owner's rights from the moment of concluding a written agreement between the </w:t>
      </w:r>
      <w:proofErr w:type="gramStart"/>
      <w:r w:rsidRPr="00FC2C8B">
        <w:rPr>
          <w:lang w:val="en-US"/>
        </w:rPr>
        <w:t>client ,</w:t>
      </w:r>
      <w:proofErr w:type="gramEnd"/>
      <w:r w:rsidRPr="00FC2C8B">
        <w:rPr>
          <w:lang w:val="en-US"/>
        </w:rPr>
        <w:t xml:space="preserve"> and a banking institution - on the other. It is determined that this approach contradicts the statutory understanding of banking secrecy as information about the client's activities and financial condition, which became known to the bank in the process of customer service and relationships with him or third parties in providing bank services and disclosure of which may cause material or moral damage to the client. after all, such information may be known to the bank before the conclusion of </w:t>
      </w:r>
      <w:r w:rsidRPr="00FC2C8B">
        <w:rPr>
          <w:lang w:val="en-US"/>
        </w:rPr>
        <w:lastRenderedPageBreak/>
        <w:t>the relevant agreement (for example, in cases of obtaining primary information to determine the creditworthiness of the client in consumer lending.</w:t>
      </w:r>
    </w:p>
    <w:p w14:paraId="6CB4B828" w14:textId="77777777" w:rsidR="00984EA9" w:rsidRPr="00FC2C8B" w:rsidRDefault="00E225DE">
      <w:pPr>
        <w:rPr>
          <w:lang w:val="en-US"/>
        </w:rPr>
      </w:pPr>
      <w:r w:rsidRPr="00FC2C8B">
        <w:rPr>
          <w:lang w:val="en-US"/>
        </w:rPr>
        <w:t>It is determined that the primary information on the status of an individual is obtained by the bank from such documents as passport, certificate of employment, documents confirming income from deposits in banks and securities, etc. Receipt of the above-mentioned documents by a bank employee within the creditworthiness review process actually involves obtaining information on the client's activities and financial condition, and disclosure of such information may cause material or moral damage to the client.</w:t>
      </w:r>
    </w:p>
    <w:p w14:paraId="6C09B6D0" w14:textId="77777777" w:rsidR="00984EA9" w:rsidRPr="00FC2C8B" w:rsidRDefault="00E225DE">
      <w:pPr>
        <w:rPr>
          <w:lang w:val="en-US"/>
        </w:rPr>
      </w:pPr>
      <w:r w:rsidRPr="00FC2C8B">
        <w:rPr>
          <w:lang w:val="en-US"/>
        </w:rPr>
        <w:t>The position that the regime of bank secrecy does not end with the death of a bank client is separately argued. It is confirmed by examples from practice that the regime of banking secrecy is maintained after the death of the owner of financial information, because according to Part 3 of Art. 62 of the Law № 2121-III certificates on accounts (deposits) in case of death of their owners are provided by the bank to persons specified by the owner of the account (deposit) in the testamentary disposition of the bank, state notaries or private notaries, foreign consulates for inheritance (deposits) deceased holders of accounts (deposits), which indicates the continuation of bank secrecy regarding such information.</w:t>
      </w:r>
    </w:p>
    <w:p w14:paraId="4BB73323" w14:textId="77777777" w:rsidR="00984EA9" w:rsidRPr="00FC2C8B" w:rsidRDefault="00E225DE">
      <w:pPr>
        <w:rPr>
          <w:lang w:val="en-US"/>
        </w:rPr>
      </w:pPr>
      <w:r w:rsidRPr="00FC2C8B">
        <w:rPr>
          <w:lang w:val="en-US"/>
        </w:rPr>
        <w:t>It is proved that the list of entities that can gain access to banking secrecy is not limited to the entities listed in p. 2-6 h. 1 tbsp. 62 of the Law "On Banks and Banking", and credit bureaus in the case of data that constitute banking secrecy, must be recognized as holders of banking secrecy.</w:t>
      </w:r>
    </w:p>
    <w:p w14:paraId="4E319D01" w14:textId="77777777" w:rsidR="00984EA9" w:rsidRPr="00FC2C8B" w:rsidRDefault="00E225DE">
      <w:pPr>
        <w:rPr>
          <w:lang w:val="en-US"/>
        </w:rPr>
      </w:pPr>
      <w:r w:rsidRPr="00FC2C8B">
        <w:rPr>
          <w:lang w:val="en-US"/>
        </w:rPr>
        <w:t>The illegality of the formation of any other databases involving the inclusion of information classified by law as banking secrecy has been substantiated, and it has been proved that providing access to such data by competent entities is an example of improper enforcement of banking secrecy.</w:t>
      </w:r>
    </w:p>
    <w:p w14:paraId="606120A7" w14:textId="77777777" w:rsidR="00984EA9" w:rsidRPr="00FC2C8B" w:rsidRDefault="00E225DE">
      <w:pPr>
        <w:rPr>
          <w:lang w:val="en-US"/>
        </w:rPr>
      </w:pPr>
      <w:r w:rsidRPr="00FC2C8B">
        <w:rPr>
          <w:lang w:val="en-US"/>
        </w:rPr>
        <w:t xml:space="preserve">It is noted that currently the services of third parties to repay overdue debts under credit agreements are in high demand by banks. It was found that the recent adoption of the Law № 1349-IX "On Amendments to Certain Legislative Acts of Ukraine on </w:t>
      </w:r>
      <w:r w:rsidRPr="00FC2C8B">
        <w:rPr>
          <w:lang w:val="en-US"/>
        </w:rPr>
        <w:lastRenderedPageBreak/>
        <w:t>Protection of Debtors in Settlement of Overdue Debts" allowed to regulate this type of activity and establish legal limits of "collection" activities. However, the study argues that the subjects of the relevant legal relations in the process of providing and consuming such services must comply with the legal regime of banking secrecy. It is argued that the bank and the collection service will comply with the regime of banking secrecy will avoid the negative consequences of its violation, and will give the client the opportunity to protect their rights and interests.</w:t>
      </w:r>
    </w:p>
    <w:p w14:paraId="092E9916" w14:textId="77777777" w:rsidR="00984EA9" w:rsidRPr="00FC2C8B" w:rsidRDefault="00E225DE">
      <w:pPr>
        <w:rPr>
          <w:lang w:val="en-US"/>
        </w:rPr>
      </w:pPr>
      <w:r w:rsidRPr="00FC2C8B">
        <w:rPr>
          <w:lang w:val="en-US"/>
        </w:rPr>
        <w:t xml:space="preserve">Based on the analysis of the current case law of the European Court of Human Rights, it was concluded that the plaintiffs in cases of compensation for non-pecuniary damage due to the disclosure of banking secrecy </w:t>
      </w:r>
      <w:proofErr w:type="spellStart"/>
      <w:r w:rsidRPr="00FC2C8B">
        <w:rPr>
          <w:lang w:val="en-US"/>
        </w:rPr>
        <w:t>can not</w:t>
      </w:r>
      <w:proofErr w:type="spellEnd"/>
      <w:r w:rsidRPr="00FC2C8B">
        <w:rPr>
          <w:lang w:val="en-US"/>
        </w:rPr>
        <w:t xml:space="preserve"> be required to provide proof of non-pecuniary damage. The specifics of the nature of non-pecuniary damage in cases of violation of non-property rights of persons implies the unconditional nature of the existence of non-pecuniary damage in the case of an established fact of violation of individual rights. At the same time, substantiation of the material equivalent of the damage caused requires an assessment of the nature and extent of moral suffering, its duration and impact on the life of the person whose rights have been violated.</w:t>
      </w:r>
    </w:p>
    <w:p w14:paraId="5BB3A27A" w14:textId="77777777" w:rsidR="00984EA9" w:rsidRPr="00FC2C8B" w:rsidRDefault="00E225DE">
      <w:pPr>
        <w:rPr>
          <w:iCs/>
          <w:lang w:val="en-US"/>
        </w:rPr>
      </w:pPr>
      <w:r w:rsidRPr="00FC2C8B">
        <w:rPr>
          <w:b/>
          <w:i/>
          <w:iCs/>
          <w:lang w:val="en-US"/>
        </w:rPr>
        <w:t>Keywords:</w:t>
      </w:r>
      <w:r w:rsidRPr="00FC2C8B">
        <w:rPr>
          <w:i/>
          <w:iCs/>
          <w:lang w:val="en-US"/>
        </w:rPr>
        <w:t xml:space="preserve"> </w:t>
      </w:r>
      <w:r w:rsidRPr="00FC2C8B">
        <w:rPr>
          <w:iCs/>
          <w:lang w:val="en-US"/>
        </w:rPr>
        <w:t>bank secrecy, civil law obligation, bank secrecy disclosure, financial information, information protection, secret information, trade secret, confidential information</w:t>
      </w:r>
      <w:r w:rsidR="00FC2C8B" w:rsidRPr="00FC2C8B">
        <w:rPr>
          <w:iCs/>
          <w:lang w:val="en-US"/>
        </w:rPr>
        <w:t>,</w:t>
      </w:r>
      <w:r w:rsidRPr="00FC2C8B">
        <w:rPr>
          <w:iCs/>
          <w:lang w:val="en-US"/>
        </w:rPr>
        <w:t xml:space="preserve"> protection of non-property civil rights, civil law regulation, contractual regulation</w:t>
      </w:r>
    </w:p>
    <w:sectPr w:rsidR="00984EA9" w:rsidRPr="00FC2C8B">
      <w:headerReference w:type="default" r:id="rId7"/>
      <w:pgSz w:w="11906" w:h="16838"/>
      <w:pgMar w:top="1418" w:right="851" w:bottom="1418" w:left="1418" w:header="708" w:footer="0" w:gutter="0"/>
      <w:pgNumType w:start="1"/>
      <w:cols w:space="720"/>
      <w:formProt w:val="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AB98E" w14:textId="77777777" w:rsidR="008950B0" w:rsidRDefault="008950B0">
      <w:pPr>
        <w:spacing w:line="240" w:lineRule="auto"/>
      </w:pPr>
      <w:r>
        <w:separator/>
      </w:r>
    </w:p>
  </w:endnote>
  <w:endnote w:type="continuationSeparator" w:id="0">
    <w:p w14:paraId="78BD79F5" w14:textId="77777777" w:rsidR="008950B0" w:rsidRDefault="008950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Полужирный">
    <w:altName w:val="Times New Roman"/>
    <w:panose1 w:val="020B0604020202020204"/>
    <w:charset w:val="01"/>
    <w:family w:val="roman"/>
    <w:pitch w:val="variable"/>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1"/>
    <w:family w:val="swiss"/>
    <w:pitch w:val="variable"/>
  </w:font>
  <w:font w:name="Noto Sans CJK SC">
    <w:panose1 w:val="020B0604020202020204"/>
    <w:charset w:val="00"/>
    <w:family w:val="roman"/>
    <w:notTrueType/>
    <w:pitch w:val="default"/>
  </w:font>
  <w:font w:name="Lohit Devanagari">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F76862" w14:textId="77777777" w:rsidR="008950B0" w:rsidRDefault="008950B0">
      <w:pPr>
        <w:spacing w:line="240" w:lineRule="auto"/>
      </w:pPr>
      <w:r>
        <w:separator/>
      </w:r>
    </w:p>
  </w:footnote>
  <w:footnote w:type="continuationSeparator" w:id="0">
    <w:p w14:paraId="05A5C2F0" w14:textId="77777777" w:rsidR="008950B0" w:rsidRDefault="008950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2394232"/>
      <w:docPartObj>
        <w:docPartGallery w:val="Page Numbers (Top of Page)"/>
        <w:docPartUnique/>
      </w:docPartObj>
    </w:sdtPr>
    <w:sdtEndPr/>
    <w:sdtContent>
      <w:p w14:paraId="39AB702C" w14:textId="77777777" w:rsidR="00984EA9" w:rsidRDefault="00E225DE">
        <w:pPr>
          <w:pStyle w:val="ad"/>
          <w:jc w:val="right"/>
        </w:pPr>
        <w:r>
          <w:fldChar w:fldCharType="begin"/>
        </w:r>
        <w:r>
          <w:instrText>PAGE</w:instrText>
        </w:r>
        <w:r>
          <w:fldChar w:fldCharType="separate"/>
        </w:r>
        <w:r w:rsidR="00305DEB">
          <w:rPr>
            <w:noProof/>
          </w:rPr>
          <w:t>15</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EA9"/>
    <w:rsid w:val="00305DEB"/>
    <w:rsid w:val="008950B0"/>
    <w:rsid w:val="00984EA9"/>
    <w:rsid w:val="009E5148"/>
    <w:rsid w:val="00E225DE"/>
    <w:rsid w:val="00FC2C8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F48FA"/>
  <w15:docId w15:val="{5086CF3E-A30C-4275-AA13-D7498FC8A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1521"/>
    <w:pPr>
      <w:spacing w:line="360" w:lineRule="auto"/>
      <w:ind w:firstLine="709"/>
      <w:jc w:val="both"/>
    </w:pPr>
    <w:rPr>
      <w:rFonts w:ascii="Times New Roman" w:hAnsi="Times New Roman"/>
      <w:sz w:val="28"/>
    </w:rPr>
  </w:style>
  <w:style w:type="paragraph" w:styleId="1">
    <w:name w:val="heading 1"/>
    <w:basedOn w:val="a"/>
    <w:next w:val="a"/>
    <w:uiPriority w:val="9"/>
    <w:qFormat/>
    <w:rsid w:val="001735BB"/>
    <w:pPr>
      <w:keepNext/>
      <w:keepLines/>
      <w:spacing w:before="360" w:after="240"/>
      <w:ind w:firstLine="0"/>
      <w:jc w:val="center"/>
      <w:outlineLvl w:val="0"/>
    </w:pPr>
    <w:rPr>
      <w:rFonts w:ascii="Times New Roman Полужирный" w:eastAsiaTheme="majorEastAsia" w:hAnsi="Times New Roman Полужирный" w:cstheme="majorBidi"/>
      <w:b/>
      <w:bCs/>
      <w:kern w:val="2"/>
      <w:szCs w:val="28"/>
      <w:lang w:val="uk-UA"/>
    </w:rPr>
  </w:style>
  <w:style w:type="paragraph" w:styleId="2">
    <w:name w:val="heading 2"/>
    <w:basedOn w:val="a"/>
    <w:next w:val="a"/>
    <w:uiPriority w:val="9"/>
    <w:unhideWhenUsed/>
    <w:qFormat/>
    <w:rsid w:val="001735BB"/>
    <w:pPr>
      <w:keepNext/>
      <w:keepLines/>
      <w:spacing w:before="360" w:after="240"/>
      <w:jc w:val="left"/>
      <w:outlineLvl w:val="1"/>
    </w:pPr>
    <w:rPr>
      <w:rFonts w:ascii="Times New Roman Полужирный" w:eastAsiaTheme="majorEastAsia" w:hAnsi="Times New Roman Полужирный" w:cstheme="majorBidi"/>
      <w:b/>
      <w:bCs/>
      <w:i/>
      <w:kern w:val="2"/>
      <w:szCs w:val="26"/>
    </w:rPr>
  </w:style>
  <w:style w:type="paragraph" w:styleId="3">
    <w:name w:val="heading 3"/>
    <w:basedOn w:val="a"/>
    <w:next w:val="a"/>
    <w:uiPriority w:val="9"/>
    <w:semiHidden/>
    <w:unhideWhenUsed/>
    <w:qFormat/>
    <w:rsid w:val="00103B9E"/>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uiPriority w:val="9"/>
    <w:qFormat/>
    <w:rsid w:val="001735BB"/>
    <w:rPr>
      <w:rFonts w:ascii="Times New Roman Полужирный" w:eastAsiaTheme="majorEastAsia" w:hAnsi="Times New Roman Полужирный" w:cstheme="majorBidi"/>
      <w:b/>
      <w:bCs/>
      <w:kern w:val="2"/>
      <w:sz w:val="28"/>
      <w:szCs w:val="28"/>
      <w:lang w:val="uk-UA"/>
    </w:rPr>
  </w:style>
  <w:style w:type="character" w:customStyle="1" w:styleId="20">
    <w:name w:val="Заголовок 2 Знак"/>
    <w:basedOn w:val="a0"/>
    <w:uiPriority w:val="9"/>
    <w:qFormat/>
    <w:rsid w:val="001735BB"/>
    <w:rPr>
      <w:rFonts w:ascii="Times New Roman Полужирный" w:eastAsiaTheme="majorEastAsia" w:hAnsi="Times New Roman Полужирный" w:cstheme="majorBidi"/>
      <w:b/>
      <w:bCs/>
      <w:i/>
      <w:kern w:val="2"/>
      <w:sz w:val="28"/>
      <w:szCs w:val="26"/>
    </w:rPr>
  </w:style>
  <w:style w:type="character" w:customStyle="1" w:styleId="a3">
    <w:name w:val="Верхний колонтитул Знак"/>
    <w:basedOn w:val="a0"/>
    <w:uiPriority w:val="99"/>
    <w:qFormat/>
    <w:rsid w:val="0019746B"/>
    <w:rPr>
      <w:rFonts w:ascii="Times New Roman" w:hAnsi="Times New Roman"/>
      <w:sz w:val="28"/>
    </w:rPr>
  </w:style>
  <w:style w:type="character" w:customStyle="1" w:styleId="a4">
    <w:name w:val="Нижний колонтитул Знак"/>
    <w:basedOn w:val="a0"/>
    <w:uiPriority w:val="99"/>
    <w:qFormat/>
    <w:rsid w:val="0019746B"/>
    <w:rPr>
      <w:rFonts w:ascii="Times New Roman" w:hAnsi="Times New Roman"/>
      <w:sz w:val="28"/>
    </w:rPr>
  </w:style>
  <w:style w:type="character" w:customStyle="1" w:styleId="rvts11">
    <w:name w:val="rvts11"/>
    <w:basedOn w:val="a0"/>
    <w:qFormat/>
    <w:rsid w:val="00285B99"/>
  </w:style>
  <w:style w:type="character" w:styleId="a5">
    <w:name w:val="Hyperlink"/>
    <w:basedOn w:val="a0"/>
    <w:uiPriority w:val="99"/>
    <w:unhideWhenUsed/>
    <w:rsid w:val="00285B99"/>
    <w:rPr>
      <w:color w:val="0000FF" w:themeColor="hyperlink"/>
      <w:u w:val="single"/>
    </w:rPr>
  </w:style>
  <w:style w:type="character" w:customStyle="1" w:styleId="a6">
    <w:name w:val="Текст выноски Знак"/>
    <w:basedOn w:val="a0"/>
    <w:uiPriority w:val="99"/>
    <w:semiHidden/>
    <w:qFormat/>
    <w:rsid w:val="00285B99"/>
    <w:rPr>
      <w:rFonts w:ascii="Tahoma" w:hAnsi="Tahoma" w:cs="Tahoma"/>
      <w:sz w:val="16"/>
      <w:szCs w:val="16"/>
    </w:rPr>
  </w:style>
  <w:style w:type="character" w:customStyle="1" w:styleId="30">
    <w:name w:val="Заголовок 3 Знак"/>
    <w:basedOn w:val="a0"/>
    <w:uiPriority w:val="9"/>
    <w:semiHidden/>
    <w:qFormat/>
    <w:rsid w:val="00103B9E"/>
    <w:rPr>
      <w:rFonts w:asciiTheme="majorHAnsi" w:eastAsiaTheme="majorEastAsia" w:hAnsiTheme="majorHAnsi" w:cstheme="majorBidi"/>
      <w:b/>
      <w:bCs/>
      <w:color w:val="4F81BD" w:themeColor="accent1"/>
      <w:sz w:val="28"/>
    </w:rPr>
  </w:style>
  <w:style w:type="character" w:customStyle="1" w:styleId="a7">
    <w:name w:val="Текст сноски Знак"/>
    <w:basedOn w:val="a0"/>
    <w:semiHidden/>
    <w:qFormat/>
    <w:rsid w:val="00BD1D4B"/>
    <w:rPr>
      <w:rFonts w:ascii="Times New Roman" w:eastAsia="Times New Roman" w:hAnsi="Times New Roman" w:cs="Times New Roman"/>
      <w:sz w:val="20"/>
      <w:szCs w:val="20"/>
    </w:rPr>
  </w:style>
  <w:style w:type="character" w:customStyle="1" w:styleId="FootnoteCharacters">
    <w:name w:val="Footnote Characters"/>
    <w:basedOn w:val="a0"/>
    <w:semiHidden/>
    <w:qFormat/>
    <w:rsid w:val="00BD1D4B"/>
    <w:rPr>
      <w:vertAlign w:val="superscript"/>
    </w:rPr>
  </w:style>
  <w:style w:type="character" w:customStyle="1" w:styleId="FootnoteAnchor">
    <w:name w:val="Footnote Anchor"/>
    <w:rPr>
      <w:vertAlign w:val="superscript"/>
    </w:rPr>
  </w:style>
  <w:style w:type="character" w:customStyle="1" w:styleId="a8">
    <w:name w:val="Основной текст_"/>
    <w:link w:val="5"/>
    <w:qFormat/>
    <w:rsid w:val="00B579E9"/>
    <w:rPr>
      <w:rFonts w:ascii="Times New Roman" w:eastAsia="Times New Roman" w:hAnsi="Times New Roman" w:cs="Times New Roman"/>
      <w:sz w:val="26"/>
      <w:szCs w:val="26"/>
      <w:shd w:val="clear" w:color="auto" w:fill="FFFFFF"/>
    </w:rPr>
  </w:style>
  <w:style w:type="character" w:customStyle="1" w:styleId="31">
    <w:name w:val="Основной текст3"/>
    <w:qFormat/>
    <w:rsid w:val="004021DA"/>
    <w:rPr>
      <w:rFonts w:ascii="Times New Roman" w:hAnsi="Times New Roman"/>
      <w:spacing w:val="0"/>
      <w:sz w:val="26"/>
    </w:rPr>
  </w:style>
  <w:style w:type="paragraph" w:customStyle="1" w:styleId="Heading">
    <w:name w:val="Heading"/>
    <w:basedOn w:val="a"/>
    <w:next w:val="a9"/>
    <w:qFormat/>
    <w:pPr>
      <w:keepNext/>
      <w:spacing w:before="240" w:after="120"/>
    </w:pPr>
    <w:rPr>
      <w:rFonts w:ascii="Liberation Sans" w:eastAsia="Noto Sans CJK SC" w:hAnsi="Liberation Sans" w:cs="Lohit Devanagari"/>
      <w:szCs w:val="28"/>
    </w:rPr>
  </w:style>
  <w:style w:type="paragraph" w:styleId="a9">
    <w:name w:val="Body Text"/>
    <w:basedOn w:val="a"/>
    <w:pPr>
      <w:spacing w:after="140" w:line="276" w:lineRule="auto"/>
    </w:pPr>
  </w:style>
  <w:style w:type="paragraph" w:styleId="aa">
    <w:name w:val="List"/>
    <w:basedOn w:val="a9"/>
    <w:rPr>
      <w:rFonts w:cs="Lohit Devanagari"/>
    </w:rPr>
  </w:style>
  <w:style w:type="paragraph" w:styleId="ab">
    <w:name w:val="caption"/>
    <w:basedOn w:val="a"/>
    <w:qFormat/>
    <w:pPr>
      <w:suppressLineNumbers/>
      <w:spacing w:before="120" w:after="120"/>
    </w:pPr>
    <w:rPr>
      <w:rFonts w:cs="Lohit Devanagari"/>
      <w:i/>
      <w:iCs/>
      <w:sz w:val="24"/>
      <w:szCs w:val="24"/>
    </w:rPr>
  </w:style>
  <w:style w:type="paragraph" w:customStyle="1" w:styleId="Index">
    <w:name w:val="Index"/>
    <w:basedOn w:val="a"/>
    <w:qFormat/>
    <w:pPr>
      <w:suppressLineNumbers/>
    </w:pPr>
    <w:rPr>
      <w:rFonts w:cs="Lohit Devanagari"/>
    </w:rPr>
  </w:style>
  <w:style w:type="paragraph" w:styleId="ac">
    <w:name w:val="List Paragraph"/>
    <w:basedOn w:val="a"/>
    <w:uiPriority w:val="34"/>
    <w:qFormat/>
    <w:rsid w:val="00A55119"/>
    <w:pPr>
      <w:ind w:left="720"/>
      <w:contextualSpacing/>
    </w:pPr>
  </w:style>
  <w:style w:type="paragraph" w:customStyle="1" w:styleId="HeaderandFooter">
    <w:name w:val="Header and Footer"/>
    <w:basedOn w:val="a"/>
    <w:qFormat/>
  </w:style>
  <w:style w:type="paragraph" w:styleId="ad">
    <w:name w:val="header"/>
    <w:basedOn w:val="a"/>
    <w:uiPriority w:val="99"/>
    <w:unhideWhenUsed/>
    <w:rsid w:val="0019746B"/>
    <w:pPr>
      <w:tabs>
        <w:tab w:val="center" w:pos="4513"/>
        <w:tab w:val="right" w:pos="9026"/>
      </w:tabs>
      <w:spacing w:line="240" w:lineRule="auto"/>
    </w:pPr>
  </w:style>
  <w:style w:type="paragraph" w:styleId="ae">
    <w:name w:val="footer"/>
    <w:basedOn w:val="a"/>
    <w:uiPriority w:val="99"/>
    <w:unhideWhenUsed/>
    <w:rsid w:val="0019746B"/>
    <w:pPr>
      <w:tabs>
        <w:tab w:val="center" w:pos="4513"/>
        <w:tab w:val="right" w:pos="9026"/>
      </w:tabs>
      <w:spacing w:line="240" w:lineRule="auto"/>
    </w:pPr>
  </w:style>
  <w:style w:type="paragraph" w:styleId="af">
    <w:name w:val="index heading"/>
    <w:basedOn w:val="Heading"/>
  </w:style>
  <w:style w:type="paragraph" w:styleId="af0">
    <w:name w:val="TOC Heading"/>
    <w:basedOn w:val="1"/>
    <w:next w:val="a"/>
    <w:uiPriority w:val="39"/>
    <w:semiHidden/>
    <w:unhideWhenUsed/>
    <w:qFormat/>
    <w:rsid w:val="00285B99"/>
    <w:pPr>
      <w:spacing w:before="480" w:line="276" w:lineRule="auto"/>
      <w:jc w:val="left"/>
      <w:outlineLvl w:val="9"/>
    </w:pPr>
    <w:rPr>
      <w:rFonts w:asciiTheme="majorHAnsi" w:hAnsiTheme="majorHAnsi"/>
      <w:color w:val="365F91" w:themeColor="accent1" w:themeShade="BF"/>
      <w:lang w:eastAsia="ru-RU"/>
    </w:rPr>
  </w:style>
  <w:style w:type="paragraph" w:styleId="11">
    <w:name w:val="toc 1"/>
    <w:basedOn w:val="a"/>
    <w:next w:val="a"/>
    <w:autoRedefine/>
    <w:uiPriority w:val="39"/>
    <w:unhideWhenUsed/>
    <w:rsid w:val="00285B99"/>
    <w:pPr>
      <w:spacing w:after="100"/>
    </w:pPr>
  </w:style>
  <w:style w:type="paragraph" w:styleId="21">
    <w:name w:val="toc 2"/>
    <w:basedOn w:val="a"/>
    <w:next w:val="a"/>
    <w:autoRedefine/>
    <w:uiPriority w:val="39"/>
    <w:unhideWhenUsed/>
    <w:rsid w:val="00285B99"/>
    <w:pPr>
      <w:spacing w:after="100"/>
      <w:ind w:left="280"/>
    </w:pPr>
  </w:style>
  <w:style w:type="paragraph" w:styleId="af1">
    <w:name w:val="Balloon Text"/>
    <w:basedOn w:val="a"/>
    <w:uiPriority w:val="99"/>
    <w:semiHidden/>
    <w:unhideWhenUsed/>
    <w:qFormat/>
    <w:rsid w:val="00285B99"/>
    <w:pPr>
      <w:spacing w:line="240" w:lineRule="auto"/>
    </w:pPr>
    <w:rPr>
      <w:rFonts w:ascii="Tahoma" w:hAnsi="Tahoma" w:cs="Tahoma"/>
      <w:sz w:val="16"/>
      <w:szCs w:val="16"/>
    </w:rPr>
  </w:style>
  <w:style w:type="paragraph" w:styleId="af2">
    <w:name w:val="footnote text"/>
    <w:basedOn w:val="a"/>
    <w:semiHidden/>
    <w:rsid w:val="00BD1D4B"/>
    <w:pPr>
      <w:spacing w:line="240" w:lineRule="auto"/>
      <w:ind w:firstLine="0"/>
      <w:jc w:val="left"/>
    </w:pPr>
    <w:rPr>
      <w:rFonts w:eastAsia="Times New Roman" w:cs="Times New Roman"/>
      <w:sz w:val="20"/>
      <w:szCs w:val="20"/>
    </w:rPr>
  </w:style>
  <w:style w:type="paragraph" w:customStyle="1" w:styleId="tj">
    <w:name w:val="tj"/>
    <w:basedOn w:val="a"/>
    <w:qFormat/>
    <w:rsid w:val="00F85415"/>
    <w:pPr>
      <w:spacing w:beforeAutospacing="1" w:afterAutospacing="1" w:line="240" w:lineRule="auto"/>
      <w:ind w:firstLine="0"/>
      <w:jc w:val="left"/>
    </w:pPr>
    <w:rPr>
      <w:rFonts w:eastAsia="Times New Roman" w:cs="Times New Roman"/>
      <w:sz w:val="24"/>
      <w:szCs w:val="24"/>
      <w:lang w:eastAsia="ru-RU"/>
    </w:rPr>
  </w:style>
  <w:style w:type="paragraph" w:customStyle="1" w:styleId="5">
    <w:name w:val="Основной текст5"/>
    <w:basedOn w:val="a"/>
    <w:link w:val="a8"/>
    <w:qFormat/>
    <w:rsid w:val="00B579E9"/>
    <w:pPr>
      <w:shd w:val="clear" w:color="auto" w:fill="FFFFFF"/>
      <w:spacing w:after="960" w:line="0" w:lineRule="atLeast"/>
    </w:pPr>
    <w:rPr>
      <w:rFonts w:eastAsia="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2763F-FFEE-4F51-8DBE-99238540F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5620</Words>
  <Characters>32034</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Microsoft Office User</cp:lastModifiedBy>
  <cp:revision>3</cp:revision>
  <dcterms:created xsi:type="dcterms:W3CDTF">2021-12-16T22:53:00Z</dcterms:created>
  <dcterms:modified xsi:type="dcterms:W3CDTF">2021-12-17T15:23:00Z</dcterms:modified>
  <dc:language>en-US</dc:language>
</cp:coreProperties>
</file>