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7E4" w:rsidRPr="00B05341" w:rsidRDefault="00E447E4" w:rsidP="00B05341">
      <w:pPr>
        <w:spacing w:after="0" w:line="360" w:lineRule="auto"/>
        <w:jc w:val="center"/>
        <w:rPr>
          <w:rFonts w:ascii="Times New Roman" w:hAnsi="Times New Roman" w:cs="Times New Roman"/>
          <w:b/>
          <w:i/>
          <w:sz w:val="28"/>
          <w:szCs w:val="28"/>
        </w:rPr>
      </w:pPr>
      <w:r w:rsidRPr="00B05341">
        <w:rPr>
          <w:rFonts w:ascii="Times New Roman" w:hAnsi="Times New Roman" w:cs="Times New Roman"/>
          <w:b/>
          <w:i/>
          <w:sz w:val="28"/>
          <w:szCs w:val="28"/>
        </w:rPr>
        <w:t>Михайленко Д.Г.</w:t>
      </w:r>
    </w:p>
    <w:p w:rsidR="00E447E4" w:rsidRPr="00B05341" w:rsidRDefault="00E447E4" w:rsidP="00B05341">
      <w:pPr>
        <w:spacing w:after="0" w:line="360" w:lineRule="auto"/>
        <w:jc w:val="center"/>
        <w:rPr>
          <w:rFonts w:ascii="Times New Roman" w:hAnsi="Times New Roman" w:cs="Times New Roman"/>
          <w:i/>
          <w:sz w:val="28"/>
          <w:szCs w:val="28"/>
        </w:rPr>
      </w:pPr>
      <w:r w:rsidRPr="00B05341">
        <w:rPr>
          <w:rFonts w:ascii="Times New Roman" w:hAnsi="Times New Roman" w:cs="Times New Roman"/>
          <w:i/>
          <w:sz w:val="28"/>
          <w:szCs w:val="28"/>
        </w:rPr>
        <w:t>Національний університет «Одеська юридична академія»,</w:t>
      </w:r>
    </w:p>
    <w:p w:rsidR="00E447E4" w:rsidRPr="00B05341" w:rsidRDefault="00E447E4" w:rsidP="00B05341">
      <w:pPr>
        <w:spacing w:after="0" w:line="360" w:lineRule="auto"/>
        <w:jc w:val="center"/>
        <w:rPr>
          <w:rFonts w:ascii="Times New Roman" w:hAnsi="Times New Roman" w:cs="Times New Roman"/>
          <w:i/>
          <w:sz w:val="28"/>
          <w:szCs w:val="28"/>
        </w:rPr>
      </w:pPr>
      <w:r w:rsidRPr="00B05341">
        <w:rPr>
          <w:rFonts w:ascii="Times New Roman" w:hAnsi="Times New Roman" w:cs="Times New Roman"/>
          <w:i/>
          <w:sz w:val="28"/>
          <w:szCs w:val="28"/>
        </w:rPr>
        <w:t>докторант кафедри кримінального права, кандидат юридичних наук, доцент</w:t>
      </w:r>
    </w:p>
    <w:p w:rsidR="009A5E23" w:rsidRPr="00B05341" w:rsidRDefault="009A5E23" w:rsidP="00B05341">
      <w:pPr>
        <w:spacing w:after="0" w:line="360" w:lineRule="auto"/>
        <w:ind w:firstLine="567"/>
        <w:jc w:val="both"/>
        <w:rPr>
          <w:rFonts w:ascii="Times New Roman" w:hAnsi="Times New Roman" w:cs="Times New Roman"/>
          <w:sz w:val="28"/>
          <w:szCs w:val="28"/>
        </w:rPr>
      </w:pPr>
    </w:p>
    <w:p w:rsidR="00FE66BC" w:rsidRPr="00B05341" w:rsidRDefault="00FE66BC" w:rsidP="00B05341">
      <w:pPr>
        <w:spacing w:after="0" w:line="360" w:lineRule="auto"/>
        <w:jc w:val="center"/>
        <w:rPr>
          <w:rFonts w:ascii="Times New Roman" w:hAnsi="Times New Roman" w:cs="Times New Roman"/>
          <w:b/>
          <w:caps/>
          <w:sz w:val="28"/>
          <w:szCs w:val="28"/>
        </w:rPr>
      </w:pPr>
      <w:r w:rsidRPr="00B05341">
        <w:rPr>
          <w:rFonts w:ascii="Times New Roman" w:hAnsi="Times New Roman" w:cs="Times New Roman"/>
          <w:b/>
          <w:caps/>
          <w:sz w:val="28"/>
          <w:szCs w:val="28"/>
        </w:rPr>
        <w:t>Норма про незаконне збагачення у контексті тесту на пропорційність</w:t>
      </w:r>
    </w:p>
    <w:p w:rsidR="00DC3591" w:rsidRPr="00B05341" w:rsidRDefault="00DC3591"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Введення такого інструменту, як кримінальна відповідальність за незаконне збагачення (у моделі ст.20 Конвенції</w:t>
      </w:r>
      <w:r w:rsidR="007D3843" w:rsidRPr="00B05341">
        <w:rPr>
          <w:rFonts w:ascii="Times New Roman" w:hAnsi="Times New Roman" w:cs="Times New Roman"/>
          <w:sz w:val="28"/>
          <w:szCs w:val="28"/>
        </w:rPr>
        <w:t xml:space="preserve"> ООН проти корупції</w:t>
      </w:r>
      <w:r w:rsidRPr="00B05341">
        <w:rPr>
          <w:rFonts w:ascii="Times New Roman" w:hAnsi="Times New Roman" w:cs="Times New Roman"/>
          <w:sz w:val="28"/>
          <w:szCs w:val="28"/>
        </w:rPr>
        <w:t xml:space="preserve">, за якою </w:t>
      </w:r>
      <w:r w:rsidR="003039F9" w:rsidRPr="00B05341">
        <w:rPr>
          <w:rFonts w:ascii="Times New Roman" w:hAnsi="Times New Roman" w:cs="Times New Roman"/>
          <w:sz w:val="28"/>
          <w:szCs w:val="28"/>
        </w:rPr>
        <w:t xml:space="preserve">слід розглянути питання про </w:t>
      </w:r>
      <w:r w:rsidR="003039F9" w:rsidRPr="003039F9">
        <w:rPr>
          <w:rFonts w:ascii="Times New Roman" w:hAnsi="Times New Roman" w:cs="Times New Roman"/>
          <w:sz w:val="28"/>
          <w:szCs w:val="28"/>
        </w:rPr>
        <w:t>визнання злочином умисне незаконне збагачення, тобто значне збільшення активів державної посадової особи, яке перевищує її законні доходи і які вона не може раціонально обґрунтувати</w:t>
      </w:r>
      <w:r w:rsidR="007D3843" w:rsidRPr="00B05341">
        <w:rPr>
          <w:rFonts w:ascii="Times New Roman" w:hAnsi="Times New Roman" w:cs="Times New Roman"/>
          <w:sz w:val="28"/>
          <w:szCs w:val="28"/>
        </w:rPr>
        <w:t>)</w:t>
      </w:r>
      <w:r w:rsidRPr="00B05341">
        <w:rPr>
          <w:rFonts w:ascii="Times New Roman" w:hAnsi="Times New Roman" w:cs="Times New Roman"/>
          <w:sz w:val="28"/>
          <w:szCs w:val="28"/>
        </w:rPr>
        <w:t xml:space="preserve"> та його ефективна дія неминуче пов’язані із необхідність обмеження деяких прав людини (принципу презумпції невинуватості, права не свідчити проти себе тощо) та законодавчого закріплення можливості та умов такого обмеження. Пропоновані способи обійти означені втручання в основоположні права людини були відкинуті при затверджені чинної редакції ст.20 Конвенції та приречені вихолощувати суть і дієву силу норми про незаконне збагачення.</w:t>
      </w:r>
    </w:p>
    <w:p w:rsidR="00DC3591" w:rsidRPr="00B05341" w:rsidRDefault="008C61E6" w:rsidP="00B05341">
      <w:pPr>
        <w:spacing w:after="0" w:line="360" w:lineRule="auto"/>
        <w:ind w:firstLine="567"/>
        <w:jc w:val="both"/>
        <w:rPr>
          <w:rFonts w:ascii="Times New Roman" w:hAnsi="Times New Roman" w:cs="Times New Roman"/>
          <w:sz w:val="28"/>
          <w:szCs w:val="28"/>
        </w:rPr>
      </w:pPr>
      <w:r w:rsidRPr="00B05341">
        <w:rPr>
          <w:rFonts w:ascii="Times New Roman" w:eastAsia="TimesNewRomanPSMT" w:hAnsi="Times New Roman" w:cs="Times New Roman"/>
          <w:sz w:val="28"/>
          <w:szCs w:val="28"/>
        </w:rPr>
        <w:t>Н</w:t>
      </w:r>
      <w:r w:rsidR="00DC3591" w:rsidRPr="00B05341">
        <w:rPr>
          <w:rFonts w:ascii="Times New Roman" w:eastAsia="TimesNewRomanPSMT" w:hAnsi="Times New Roman" w:cs="Times New Roman"/>
          <w:sz w:val="28"/>
          <w:szCs w:val="28"/>
        </w:rPr>
        <w:t>орма про незаконне збагачення, передбачаючи обов’язок суб’єкта обґрунтувати законність непропорційного збільшення своїх майнових активів, не перекладає на останнього весь тягар доказування, а лише його незначну частину, оскільки перед цим сторона обвинувачення зобов’язана довести, що майнові активи значно зросли і що це не відповідає офіційним доходам суб’єкта.</w:t>
      </w:r>
      <w:r w:rsidR="00FD3303" w:rsidRPr="00B05341">
        <w:rPr>
          <w:rFonts w:ascii="Times New Roman" w:eastAsia="TimesNewRomanPSMT" w:hAnsi="Times New Roman" w:cs="Times New Roman"/>
          <w:sz w:val="28"/>
          <w:szCs w:val="28"/>
        </w:rPr>
        <w:t xml:space="preserve"> </w:t>
      </w:r>
      <w:r w:rsidR="00DC3591" w:rsidRPr="00B05341">
        <w:rPr>
          <w:rFonts w:ascii="Times New Roman" w:hAnsi="Times New Roman" w:cs="Times New Roman"/>
          <w:sz w:val="28"/>
          <w:szCs w:val="28"/>
        </w:rPr>
        <w:t xml:space="preserve">На користь позитивного вирішення питання про формулювання статті про незаконне збагачення у </w:t>
      </w:r>
      <w:r w:rsidR="00FD3303" w:rsidRPr="00B05341">
        <w:rPr>
          <w:rFonts w:ascii="Times New Roman" w:hAnsi="Times New Roman" w:cs="Times New Roman"/>
          <w:sz w:val="28"/>
          <w:szCs w:val="28"/>
        </w:rPr>
        <w:t xml:space="preserve">зазначеному вище </w:t>
      </w:r>
      <w:r w:rsidR="00DC3591" w:rsidRPr="00B05341">
        <w:rPr>
          <w:rFonts w:ascii="Times New Roman" w:hAnsi="Times New Roman" w:cs="Times New Roman"/>
          <w:sz w:val="28"/>
          <w:szCs w:val="28"/>
        </w:rPr>
        <w:t>вигляді, свідчить вже помічена в юридичній літературі криза ліберального підходу до сучасної правової системи. Так, у кримінальній політиці держави ліберальний напрямок домінує в умовах зростання злочинності, у тому числі корупційної</w:t>
      </w:r>
      <w:r w:rsidR="00FD3303" w:rsidRPr="00B05341">
        <w:rPr>
          <w:rFonts w:ascii="Times New Roman" w:hAnsi="Times New Roman" w:cs="Times New Roman"/>
          <w:sz w:val="28"/>
          <w:szCs w:val="28"/>
        </w:rPr>
        <w:t xml:space="preserve"> (</w:t>
      </w:r>
      <w:proofErr w:type="spellStart"/>
      <w:r w:rsidR="00FD3303" w:rsidRPr="00B05341">
        <w:rPr>
          <w:rFonts w:ascii="Times New Roman" w:hAnsi="Times New Roman" w:cs="Times New Roman"/>
          <w:sz w:val="28"/>
          <w:szCs w:val="28"/>
        </w:rPr>
        <w:t>Кленоа</w:t>
      </w:r>
      <w:proofErr w:type="spellEnd"/>
      <w:r w:rsidR="00FD3303" w:rsidRPr="00B05341">
        <w:rPr>
          <w:rFonts w:ascii="Times New Roman" w:hAnsi="Times New Roman" w:cs="Times New Roman"/>
          <w:sz w:val="28"/>
          <w:szCs w:val="28"/>
        </w:rPr>
        <w:t xml:space="preserve"> Т.В.)</w:t>
      </w:r>
      <w:r w:rsidR="00DC3591" w:rsidRPr="00B05341">
        <w:rPr>
          <w:rFonts w:ascii="Times New Roman" w:hAnsi="Times New Roman" w:cs="Times New Roman"/>
          <w:sz w:val="28"/>
          <w:szCs w:val="28"/>
        </w:rPr>
        <w:t>, що, як видається, є одним із чинників перебування сучасного кримінального права у стані системної кризи.</w:t>
      </w:r>
    </w:p>
    <w:p w:rsidR="00DC3591" w:rsidRPr="00B05341" w:rsidRDefault="00DC3591"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 xml:space="preserve">Так, ліберально-демократична система (яка ґрунтується на збереженні, або й, навіть, розширенні прав обвинуваченого), виявляється малоефективною у боротьбі з наркобізнесом, службовими злочинами, торгівлею людьми, глобальним </w:t>
      </w:r>
      <w:r w:rsidRPr="00B05341">
        <w:rPr>
          <w:rFonts w:ascii="Times New Roman" w:hAnsi="Times New Roman" w:cs="Times New Roman"/>
          <w:sz w:val="28"/>
          <w:szCs w:val="28"/>
        </w:rPr>
        <w:lastRenderedPageBreak/>
        <w:t>тероризмом тощо. Адже за подібних демократичних тенденцій законодавець неповною мірою враховує ту ціну, яку за них платить суспільство – зростання кількості нерозкритих злочинів, і, відповідно, ріст злочинності у цілому</w:t>
      </w:r>
      <w:r w:rsidR="005F487E" w:rsidRPr="00B05341">
        <w:rPr>
          <w:rFonts w:ascii="Times New Roman" w:hAnsi="Times New Roman" w:cs="Times New Roman"/>
          <w:sz w:val="28"/>
          <w:szCs w:val="28"/>
        </w:rPr>
        <w:t xml:space="preserve"> (</w:t>
      </w:r>
      <w:proofErr w:type="spellStart"/>
      <w:r w:rsidR="005F487E" w:rsidRPr="00B05341">
        <w:rPr>
          <w:rFonts w:ascii="Times New Roman" w:hAnsi="Times New Roman" w:cs="Times New Roman"/>
          <w:sz w:val="28"/>
          <w:szCs w:val="28"/>
        </w:rPr>
        <w:t>Навроцька</w:t>
      </w:r>
      <w:proofErr w:type="spellEnd"/>
      <w:r w:rsidR="005F487E" w:rsidRPr="00B05341">
        <w:rPr>
          <w:rFonts w:ascii="Times New Roman" w:hAnsi="Times New Roman" w:cs="Times New Roman"/>
          <w:sz w:val="28"/>
          <w:szCs w:val="28"/>
        </w:rPr>
        <w:t xml:space="preserve"> В.В.)</w:t>
      </w:r>
      <w:r w:rsidRPr="00B05341">
        <w:rPr>
          <w:rFonts w:ascii="Times New Roman" w:hAnsi="Times New Roman" w:cs="Times New Roman"/>
          <w:sz w:val="28"/>
          <w:szCs w:val="28"/>
        </w:rPr>
        <w:t>. У зв’язку із цим, кримінальна політика не може і не повинна бути «сліпо» ліберальною під час тотального поширення корупції, оскільки у такому разі підривається інституційна безпека держави, що загрожує національній безпеці України.</w:t>
      </w:r>
      <w:r w:rsidR="00A553D8" w:rsidRPr="00B05341">
        <w:rPr>
          <w:rFonts w:ascii="Times New Roman" w:hAnsi="Times New Roman" w:cs="Times New Roman"/>
          <w:sz w:val="28"/>
          <w:szCs w:val="28"/>
        </w:rPr>
        <w:t xml:space="preserve"> </w:t>
      </w:r>
      <w:r w:rsidRPr="00B05341">
        <w:rPr>
          <w:rFonts w:ascii="Times New Roman" w:hAnsi="Times New Roman" w:cs="Times New Roman"/>
          <w:sz w:val="28"/>
          <w:szCs w:val="28"/>
        </w:rPr>
        <w:t xml:space="preserve">Разом із тим, зазначене вище не слід сприймати як засудження положення про те, що індивідуальні </w:t>
      </w:r>
      <w:hyperlink r:id="rId7" w:tooltip="Свобода" w:history="1">
        <w:r w:rsidRPr="00B05341">
          <w:rPr>
            <w:rFonts w:ascii="Times New Roman" w:hAnsi="Times New Roman" w:cs="Times New Roman"/>
            <w:sz w:val="28"/>
            <w:szCs w:val="28"/>
          </w:rPr>
          <w:t>свободи</w:t>
        </w:r>
      </w:hyperlink>
      <w:r w:rsidRPr="00B05341">
        <w:rPr>
          <w:rFonts w:ascii="Times New Roman" w:hAnsi="Times New Roman" w:cs="Times New Roman"/>
          <w:sz w:val="28"/>
          <w:szCs w:val="28"/>
        </w:rPr>
        <w:t xml:space="preserve"> людини є </w:t>
      </w:r>
      <w:hyperlink r:id="rId8" w:tooltip="Право" w:history="1">
        <w:r w:rsidRPr="00B05341">
          <w:rPr>
            <w:rFonts w:ascii="Times New Roman" w:hAnsi="Times New Roman" w:cs="Times New Roman"/>
            <w:sz w:val="28"/>
            <w:szCs w:val="28"/>
          </w:rPr>
          <w:t>правовим</w:t>
        </w:r>
      </w:hyperlink>
      <w:r w:rsidRPr="00B05341">
        <w:rPr>
          <w:rFonts w:ascii="Times New Roman" w:hAnsi="Times New Roman" w:cs="Times New Roman"/>
          <w:sz w:val="28"/>
          <w:szCs w:val="28"/>
        </w:rPr>
        <w:t xml:space="preserve"> базисом </w:t>
      </w:r>
      <w:hyperlink r:id="rId9" w:tooltip="Суспільство" w:history="1">
        <w:r w:rsidRPr="00B05341">
          <w:rPr>
            <w:rFonts w:ascii="Times New Roman" w:hAnsi="Times New Roman" w:cs="Times New Roman"/>
            <w:sz w:val="28"/>
            <w:szCs w:val="28"/>
          </w:rPr>
          <w:t>суспільства</w:t>
        </w:r>
      </w:hyperlink>
      <w:r w:rsidRPr="00B05341">
        <w:rPr>
          <w:rFonts w:ascii="Times New Roman" w:hAnsi="Times New Roman" w:cs="Times New Roman"/>
          <w:sz w:val="28"/>
          <w:szCs w:val="28"/>
        </w:rPr>
        <w:t xml:space="preserve"> та </w:t>
      </w:r>
      <w:hyperlink r:id="rId10" w:tooltip="Економіка" w:history="1">
        <w:r w:rsidRPr="00B05341">
          <w:rPr>
            <w:rFonts w:ascii="Times New Roman" w:hAnsi="Times New Roman" w:cs="Times New Roman"/>
            <w:sz w:val="28"/>
            <w:szCs w:val="28"/>
          </w:rPr>
          <w:t>економічного</w:t>
        </w:r>
      </w:hyperlink>
      <w:r w:rsidRPr="00B05341">
        <w:rPr>
          <w:rFonts w:ascii="Times New Roman" w:hAnsi="Times New Roman" w:cs="Times New Roman"/>
          <w:sz w:val="28"/>
          <w:szCs w:val="28"/>
        </w:rPr>
        <w:t xml:space="preserve"> ладу. Як видається, наведені вище критичні міркування щодо лібералізації зумовлені тим, що в Україні, як і в багатьох інших державах, відсутній правовий досвід щодо допустимого, пропорційного обмеження прав людини. За такої ситуації актуальним та необхідним є вироблення науково обґрунтованої нормативної основи допустимої межі втручання в основоположні права людини, а не відмова від лібералізму взагалі.</w:t>
      </w:r>
    </w:p>
    <w:p w:rsidR="00F25CA6" w:rsidRPr="00B05341" w:rsidRDefault="00DC3591"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 xml:space="preserve">Таким чином, слід погодитися, що при вивченні проблеми відповідальності за незаконне збагачення у центрі дискусії постає питання про співвідношення презумпції невинуватості особи та законних інтересів суспільства у забезпеченні безпеки держави. Разом із тим, при вирішенні означеного питання не слід зміщувати правові проблеми, які виникають при реалізації ст.20 </w:t>
      </w:r>
      <w:r w:rsidR="00F25CA6" w:rsidRPr="00B05341">
        <w:rPr>
          <w:rFonts w:ascii="Times New Roman" w:hAnsi="Times New Roman" w:cs="Times New Roman"/>
          <w:sz w:val="28"/>
          <w:szCs w:val="28"/>
        </w:rPr>
        <w:t>К</w:t>
      </w:r>
      <w:r w:rsidRPr="00B05341">
        <w:rPr>
          <w:rFonts w:ascii="Times New Roman" w:hAnsi="Times New Roman" w:cs="Times New Roman"/>
          <w:sz w:val="28"/>
          <w:szCs w:val="28"/>
        </w:rPr>
        <w:t>онвенції, з дискусії про баланс в доказуванні, який встановлюється системою тягаря доказування, і переносити їх в площину безпосереднього порушення презумпції невинуватості. Адже встановлення того, що ніхто не зобов’язаний доводити свою невинуватість є лише одним із правових наслідків дії презумпції невинуватості, а не нею самою, і разом із іншими її наслідками утворює принцип презумпції невинуватості, який є комплексним правовим явищем.</w:t>
      </w:r>
    </w:p>
    <w:p w:rsidR="00DC3591" w:rsidRPr="00B05341" w:rsidRDefault="00DC3591"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 xml:space="preserve">Як резюмується в літературі – </w:t>
      </w:r>
      <w:r w:rsidR="008F73CA" w:rsidRPr="00B05341">
        <w:rPr>
          <w:rFonts w:ascii="Times New Roman" w:hAnsi="Times New Roman" w:cs="Times New Roman"/>
          <w:sz w:val="28"/>
          <w:szCs w:val="28"/>
        </w:rPr>
        <w:t>зазначена</w:t>
      </w:r>
      <w:r w:rsidRPr="00B05341">
        <w:rPr>
          <w:rFonts w:ascii="Times New Roman" w:hAnsi="Times New Roman" w:cs="Times New Roman"/>
          <w:sz w:val="28"/>
          <w:szCs w:val="28"/>
        </w:rPr>
        <w:t xml:space="preserve"> норма не цілком узгоджується з положеннями про презумпцію невинності і вводить в кримінальне право елементи об'єктивного ставлення у вину, а криміналізація незаконного збагачення неможлива без порушення концептуальних основ кримінального права</w:t>
      </w:r>
      <w:r w:rsidR="008F73CA" w:rsidRPr="00B05341">
        <w:rPr>
          <w:rFonts w:ascii="Times New Roman" w:hAnsi="Times New Roman" w:cs="Times New Roman"/>
          <w:sz w:val="28"/>
          <w:szCs w:val="28"/>
        </w:rPr>
        <w:t xml:space="preserve"> (</w:t>
      </w:r>
      <w:proofErr w:type="spellStart"/>
      <w:r w:rsidR="008F73CA" w:rsidRPr="00B05341">
        <w:rPr>
          <w:rFonts w:ascii="Times New Roman" w:hAnsi="Times New Roman" w:cs="Times New Roman"/>
          <w:sz w:val="28"/>
          <w:szCs w:val="28"/>
        </w:rPr>
        <w:t>Богуш</w:t>
      </w:r>
      <w:proofErr w:type="spellEnd"/>
      <w:r w:rsidR="008F73CA" w:rsidRPr="00B05341">
        <w:rPr>
          <w:rFonts w:ascii="Times New Roman" w:hAnsi="Times New Roman" w:cs="Times New Roman"/>
          <w:sz w:val="28"/>
          <w:szCs w:val="28"/>
        </w:rPr>
        <w:t xml:space="preserve"> Г.І.)</w:t>
      </w:r>
      <w:r w:rsidRPr="00B05341">
        <w:rPr>
          <w:rFonts w:ascii="Times New Roman" w:hAnsi="Times New Roman" w:cs="Times New Roman"/>
          <w:sz w:val="28"/>
          <w:szCs w:val="28"/>
        </w:rPr>
        <w:t xml:space="preserve">. </w:t>
      </w:r>
      <w:r w:rsidR="009F4BCB" w:rsidRPr="00B05341">
        <w:rPr>
          <w:rFonts w:ascii="Times New Roman" w:hAnsi="Times New Roman" w:cs="Times New Roman"/>
          <w:sz w:val="28"/>
          <w:szCs w:val="28"/>
        </w:rPr>
        <w:t xml:space="preserve">Наведена </w:t>
      </w:r>
      <w:r w:rsidRPr="00B05341">
        <w:rPr>
          <w:rFonts w:ascii="Times New Roman" w:hAnsi="Times New Roman" w:cs="Times New Roman"/>
          <w:sz w:val="28"/>
          <w:szCs w:val="28"/>
        </w:rPr>
        <w:t xml:space="preserve">теза є значним перебільшенням, яке стримує правоохоронну систему у протидії сучасній корупції та використовується особами, які не </w:t>
      </w:r>
      <w:r w:rsidRPr="00B05341">
        <w:rPr>
          <w:rFonts w:ascii="Times New Roman" w:hAnsi="Times New Roman" w:cs="Times New Roman"/>
          <w:sz w:val="28"/>
          <w:szCs w:val="28"/>
        </w:rPr>
        <w:lastRenderedPageBreak/>
        <w:t>бажають проводити модернізацію існуючого неефективного антикорупційного правового механізму.</w:t>
      </w:r>
    </w:p>
    <w:p w:rsidR="00DC3591" w:rsidRPr="00B05341" w:rsidRDefault="009F4BCB"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О</w:t>
      </w:r>
      <w:r w:rsidR="00DC3591" w:rsidRPr="00B05341">
        <w:rPr>
          <w:rFonts w:ascii="Times New Roman" w:hAnsi="Times New Roman" w:cs="Times New Roman"/>
          <w:sz w:val="28"/>
          <w:szCs w:val="28"/>
        </w:rPr>
        <w:t xml:space="preserve">б’єктивний стан судової практики свідчить, що більшість основоположних прав і свобод людини, які одночасно також грають роль принципів права, при реалізації суб’єктами права можуть вступати в протиріччя не тільки із незаконними інтересами, а й з правами чи законними інтересами окремих індивідів, суспільства чи держави. Означена можливість зумовлює необхідність у кожному випадку такого протиріччя віддавати пріоритет тому чи іншому праву чи законному інтересу, що є невід’ємною складовою концепції прав людини. </w:t>
      </w:r>
      <w:r w:rsidR="005D06CE" w:rsidRPr="00B05341">
        <w:rPr>
          <w:rFonts w:ascii="Times New Roman" w:hAnsi="Times New Roman" w:cs="Times New Roman"/>
          <w:sz w:val="28"/>
          <w:szCs w:val="28"/>
        </w:rPr>
        <w:t>Н</w:t>
      </w:r>
      <w:r w:rsidR="00DC3591" w:rsidRPr="00B05341">
        <w:rPr>
          <w:rFonts w:ascii="Times New Roman" w:hAnsi="Times New Roman" w:cs="Times New Roman"/>
          <w:sz w:val="28"/>
          <w:szCs w:val="28"/>
        </w:rPr>
        <w:t>езважаючи на відсутність нормативної основи прямо застосовувати принцип пропорційності зазначається, що без його реалізації неможливими є побудова соціальної, правової держави та досягнення громадянського суспільства, тому що саме за допомогою цього принципу здійснюється розв’язання проблеми збалансування публічного та приватного інтересів, відшукання оптимальних поступок і компромісів</w:t>
      </w:r>
      <w:r w:rsidR="005D06CE" w:rsidRPr="00B05341">
        <w:rPr>
          <w:rFonts w:ascii="Times New Roman" w:hAnsi="Times New Roman" w:cs="Times New Roman"/>
          <w:sz w:val="28"/>
          <w:szCs w:val="28"/>
        </w:rPr>
        <w:t xml:space="preserve"> (С. Прийма)</w:t>
      </w:r>
      <w:r w:rsidR="00DC3591" w:rsidRPr="00B05341">
        <w:rPr>
          <w:rFonts w:ascii="Times New Roman" w:hAnsi="Times New Roman" w:cs="Times New Roman"/>
          <w:sz w:val="28"/>
          <w:szCs w:val="28"/>
        </w:rPr>
        <w:t xml:space="preserve">. У зв’язку із цим слушним є Висновок Венеціанської комісії </w:t>
      </w:r>
      <w:r w:rsidR="00AB20CB" w:rsidRPr="00B05341">
        <w:rPr>
          <w:rFonts w:ascii="Times New Roman" w:hAnsi="Times New Roman" w:cs="Times New Roman"/>
          <w:sz w:val="28"/>
          <w:szCs w:val="28"/>
        </w:rPr>
        <w:t xml:space="preserve">1997 року </w:t>
      </w:r>
      <w:r w:rsidR="00DC3591" w:rsidRPr="00B05341">
        <w:rPr>
          <w:rFonts w:ascii="Times New Roman" w:hAnsi="Times New Roman" w:cs="Times New Roman"/>
          <w:sz w:val="28"/>
          <w:szCs w:val="28"/>
        </w:rPr>
        <w:t>щодо Конституції України, як</w:t>
      </w:r>
      <w:r w:rsidR="00AB20CB" w:rsidRPr="00B05341">
        <w:rPr>
          <w:rFonts w:ascii="Times New Roman" w:hAnsi="Times New Roman" w:cs="Times New Roman"/>
          <w:sz w:val="28"/>
          <w:szCs w:val="28"/>
        </w:rPr>
        <w:t xml:space="preserve">ий </w:t>
      </w:r>
      <w:r w:rsidR="00DC3591" w:rsidRPr="00B05341">
        <w:rPr>
          <w:rFonts w:ascii="Times New Roman" w:hAnsi="Times New Roman" w:cs="Times New Roman"/>
          <w:sz w:val="28"/>
          <w:szCs w:val="28"/>
        </w:rPr>
        <w:t>рекомендує в Основному законі України передбачити принцип пропорційності тоді, коли йдеться про можливість обмеження конституційних прав і свобод людини і громадянина.</w:t>
      </w:r>
      <w:r w:rsidR="002D3FC2" w:rsidRPr="00B05341">
        <w:rPr>
          <w:rFonts w:ascii="Times New Roman" w:hAnsi="Times New Roman" w:cs="Times New Roman"/>
          <w:sz w:val="28"/>
          <w:szCs w:val="28"/>
        </w:rPr>
        <w:t xml:space="preserve"> </w:t>
      </w:r>
      <w:r w:rsidR="00DC3591" w:rsidRPr="00B05341">
        <w:rPr>
          <w:rFonts w:ascii="Times New Roman" w:hAnsi="Times New Roman" w:cs="Times New Roman"/>
          <w:sz w:val="28"/>
          <w:szCs w:val="28"/>
        </w:rPr>
        <w:t xml:space="preserve">У цьому контексті слушною є думка проф. В.О. </w:t>
      </w:r>
      <w:proofErr w:type="spellStart"/>
      <w:r w:rsidR="00DC3591" w:rsidRPr="00B05341">
        <w:rPr>
          <w:rFonts w:ascii="Times New Roman" w:hAnsi="Times New Roman" w:cs="Times New Roman"/>
          <w:sz w:val="28"/>
          <w:szCs w:val="28"/>
        </w:rPr>
        <w:t>Тулякова</w:t>
      </w:r>
      <w:proofErr w:type="spellEnd"/>
      <w:r w:rsidR="00DC3591" w:rsidRPr="00B05341">
        <w:rPr>
          <w:rFonts w:ascii="Times New Roman" w:hAnsi="Times New Roman" w:cs="Times New Roman"/>
          <w:sz w:val="28"/>
          <w:szCs w:val="28"/>
        </w:rPr>
        <w:t>, за якою при забезпеченні охорони громадського порядку й суспільної безпеки в сучасних умовах обов’язком кожної демократичної держави є визначення меж між процесом реалізації політичних прав та свобод, законних інтересів громадян і порушеннями громадського порядку. Зазначене показує необхідність застосування тесту на пропорційність на полі дії кримінального права України.</w:t>
      </w:r>
    </w:p>
    <w:p w:rsidR="00DC3591" w:rsidRPr="00B05341" w:rsidRDefault="00DC3591"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 xml:space="preserve">Концептуальна різниця між об’ємом права і правомірністю його обмеження є вкрай важливою для застосування такого права, що у повній мірі стосується і презумпції невинуватості. Враховуючи наведене, необхідно виробити критерії правомірності обмеження відповідного права, у тому числі наслідків із презумпції невинуватості, і на підставі цього резюмувати про можливість чи неможливість реалізації кримінальної відповідальності за незаконне збагачення в редакції </w:t>
      </w:r>
      <w:r w:rsidRPr="00B05341">
        <w:rPr>
          <w:rFonts w:ascii="Times New Roman" w:hAnsi="Times New Roman" w:cs="Times New Roman"/>
          <w:sz w:val="28"/>
          <w:szCs w:val="28"/>
        </w:rPr>
        <w:lastRenderedPageBreak/>
        <w:t>Конвенції, а не обмежуватись у такому разі загальною вказівкою про порушення презумпції невинуватості.</w:t>
      </w:r>
    </w:p>
    <w:p w:rsidR="00DC3591" w:rsidRPr="00B05341" w:rsidRDefault="00210206"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Т</w:t>
      </w:r>
      <w:r w:rsidR="00DC3591" w:rsidRPr="00B05341">
        <w:rPr>
          <w:rFonts w:ascii="Times New Roman" w:hAnsi="Times New Roman" w:cs="Times New Roman"/>
          <w:sz w:val="28"/>
          <w:szCs w:val="28"/>
        </w:rPr>
        <w:t xml:space="preserve">ест на пропорційність на сьогодні є найбільш прийнятним методом визначення міри обмеження тих чи інших прав людини. </w:t>
      </w:r>
      <w:r w:rsidR="0089518C" w:rsidRPr="00B05341">
        <w:rPr>
          <w:rFonts w:ascii="Times New Roman" w:hAnsi="Times New Roman" w:cs="Times New Roman"/>
          <w:sz w:val="28"/>
          <w:szCs w:val="28"/>
        </w:rPr>
        <w:t xml:space="preserve">Цей </w:t>
      </w:r>
      <w:r w:rsidR="00DC3591" w:rsidRPr="00B05341">
        <w:rPr>
          <w:rFonts w:ascii="Times New Roman" w:hAnsi="Times New Roman" w:cs="Times New Roman"/>
          <w:sz w:val="28"/>
          <w:szCs w:val="28"/>
        </w:rPr>
        <w:t>т</w:t>
      </w:r>
      <w:r w:rsidR="00DC3591" w:rsidRPr="00B05341">
        <w:rPr>
          <w:rFonts w:ascii="Times New Roman" w:hAnsi="Times New Roman" w:cs="Times New Roman"/>
          <w:color w:val="000000"/>
          <w:sz w:val="28"/>
          <w:szCs w:val="28"/>
        </w:rPr>
        <w:t xml:space="preserve">ест має </w:t>
      </w:r>
      <w:proofErr w:type="spellStart"/>
      <w:r w:rsidR="00DC3591" w:rsidRPr="00B05341">
        <w:rPr>
          <w:rFonts w:ascii="Times New Roman" w:hAnsi="Times New Roman" w:cs="Times New Roman"/>
          <w:color w:val="000000"/>
          <w:sz w:val="28"/>
          <w:szCs w:val="28"/>
        </w:rPr>
        <w:t>двоетапну</w:t>
      </w:r>
      <w:proofErr w:type="spellEnd"/>
      <w:r w:rsidR="00DC3591" w:rsidRPr="00B05341">
        <w:rPr>
          <w:rFonts w:ascii="Times New Roman" w:hAnsi="Times New Roman" w:cs="Times New Roman"/>
          <w:color w:val="000000"/>
          <w:sz w:val="28"/>
          <w:szCs w:val="28"/>
        </w:rPr>
        <w:t xml:space="preserve"> структуру (на першому етапі слід встановити, що діями уряду виявилося обмежене деяке право, а на другому уряд повинен показати, що він переслідував деяку легітимну мету і що обмеження було пропорційно цій меті) і включає в себе три критерії: по-перше, засіб, призначений для досягнення мети уряду, повинен підходити для досягнення цієї мети (доречність); по-друге, з усіх підходящих повинно бути вибрано той засіб, який в найменшій мірі обмежує право приватної особи (необхідність); по-третє, збиток приватній особі від обмеження її права повинен бути пропорційний вигоді уряду відносно досягнення поставленої мети (пропорційність у вузькому сенсі)</w:t>
      </w:r>
      <w:r w:rsidR="00ED0B19" w:rsidRPr="00B05341">
        <w:rPr>
          <w:rFonts w:ascii="Times New Roman" w:hAnsi="Times New Roman" w:cs="Times New Roman"/>
          <w:color w:val="000000"/>
          <w:sz w:val="28"/>
          <w:szCs w:val="28"/>
        </w:rPr>
        <w:t xml:space="preserve"> (М. </w:t>
      </w:r>
      <w:proofErr w:type="spellStart"/>
      <w:r w:rsidR="00ED0B19" w:rsidRPr="00B05341">
        <w:rPr>
          <w:rFonts w:ascii="Times New Roman" w:hAnsi="Times New Roman" w:cs="Times New Roman"/>
          <w:color w:val="000000"/>
          <w:sz w:val="28"/>
          <w:szCs w:val="28"/>
        </w:rPr>
        <w:t>Ко</w:t>
      </w:r>
      <w:r w:rsidR="00CC332C" w:rsidRPr="00B05341">
        <w:rPr>
          <w:rFonts w:ascii="Times New Roman" w:hAnsi="Times New Roman" w:cs="Times New Roman"/>
          <w:color w:val="000000"/>
          <w:sz w:val="28"/>
          <w:szCs w:val="28"/>
        </w:rPr>
        <w:t>е</w:t>
      </w:r>
      <w:r w:rsidR="00ED0B19" w:rsidRPr="00B05341">
        <w:rPr>
          <w:rFonts w:ascii="Times New Roman" w:hAnsi="Times New Roman" w:cs="Times New Roman"/>
          <w:color w:val="000000"/>
          <w:sz w:val="28"/>
          <w:szCs w:val="28"/>
        </w:rPr>
        <w:t>н-Эл</w:t>
      </w:r>
      <w:r w:rsidR="00CC332C" w:rsidRPr="00B05341">
        <w:rPr>
          <w:rFonts w:ascii="Times New Roman" w:hAnsi="Times New Roman" w:cs="Times New Roman"/>
          <w:color w:val="000000"/>
          <w:sz w:val="28"/>
          <w:szCs w:val="28"/>
        </w:rPr>
        <w:t>і</w:t>
      </w:r>
      <w:r w:rsidR="00ED0B19" w:rsidRPr="00B05341">
        <w:rPr>
          <w:rFonts w:ascii="Times New Roman" w:hAnsi="Times New Roman" w:cs="Times New Roman"/>
          <w:color w:val="000000"/>
          <w:sz w:val="28"/>
          <w:szCs w:val="28"/>
        </w:rPr>
        <w:t>я</w:t>
      </w:r>
      <w:proofErr w:type="spellEnd"/>
      <w:r w:rsidR="00ED0B19" w:rsidRPr="00B05341">
        <w:rPr>
          <w:rFonts w:ascii="Times New Roman" w:hAnsi="Times New Roman" w:cs="Times New Roman"/>
          <w:color w:val="000000"/>
          <w:sz w:val="28"/>
          <w:szCs w:val="28"/>
        </w:rPr>
        <w:t xml:space="preserve">, І. </w:t>
      </w:r>
      <w:proofErr w:type="spellStart"/>
      <w:r w:rsidR="00ED0B19" w:rsidRPr="00B05341">
        <w:rPr>
          <w:rFonts w:ascii="Times New Roman" w:hAnsi="Times New Roman" w:cs="Times New Roman"/>
          <w:color w:val="000000"/>
          <w:sz w:val="28"/>
          <w:szCs w:val="28"/>
        </w:rPr>
        <w:t>Порат</w:t>
      </w:r>
      <w:proofErr w:type="spellEnd"/>
      <w:r w:rsidR="00ED0B19" w:rsidRPr="00B05341">
        <w:rPr>
          <w:rFonts w:ascii="Times New Roman" w:hAnsi="Times New Roman" w:cs="Times New Roman"/>
          <w:color w:val="000000"/>
          <w:sz w:val="28"/>
          <w:szCs w:val="28"/>
        </w:rPr>
        <w:t xml:space="preserve">, М. </w:t>
      </w:r>
      <w:proofErr w:type="spellStart"/>
      <w:r w:rsidR="00ED0B19" w:rsidRPr="00B05341">
        <w:rPr>
          <w:rFonts w:ascii="Times New Roman" w:hAnsi="Times New Roman" w:cs="Times New Roman"/>
          <w:color w:val="000000"/>
          <w:sz w:val="28"/>
          <w:szCs w:val="28"/>
        </w:rPr>
        <w:t>Косла</w:t>
      </w:r>
      <w:proofErr w:type="spellEnd"/>
      <w:r w:rsidR="00ED0B19" w:rsidRPr="00B05341">
        <w:rPr>
          <w:rFonts w:ascii="Times New Roman" w:hAnsi="Times New Roman" w:cs="Times New Roman"/>
          <w:color w:val="000000"/>
          <w:sz w:val="28"/>
          <w:szCs w:val="28"/>
        </w:rPr>
        <w:t xml:space="preserve">, </w:t>
      </w:r>
      <w:r w:rsidR="00CC332C" w:rsidRPr="00B05341">
        <w:rPr>
          <w:rFonts w:ascii="Times New Roman" w:hAnsi="Times New Roman" w:cs="Times New Roman"/>
          <w:color w:val="000000"/>
          <w:sz w:val="28"/>
          <w:szCs w:val="28"/>
        </w:rPr>
        <w:t>С. Погребняк та інші</w:t>
      </w:r>
      <w:r w:rsidR="00ED0B19" w:rsidRPr="00B05341">
        <w:rPr>
          <w:rFonts w:ascii="Times New Roman" w:hAnsi="Times New Roman" w:cs="Times New Roman"/>
          <w:color w:val="000000"/>
          <w:sz w:val="28"/>
          <w:szCs w:val="28"/>
        </w:rPr>
        <w:t>)</w:t>
      </w:r>
      <w:r w:rsidR="00DC3591" w:rsidRPr="00B05341">
        <w:rPr>
          <w:rFonts w:ascii="Times New Roman" w:hAnsi="Times New Roman" w:cs="Times New Roman"/>
          <w:color w:val="000000"/>
          <w:sz w:val="28"/>
          <w:szCs w:val="28"/>
        </w:rPr>
        <w:t xml:space="preserve">. </w:t>
      </w:r>
      <w:r w:rsidR="009A5E23" w:rsidRPr="00B05341">
        <w:rPr>
          <w:rFonts w:ascii="Times New Roman" w:hAnsi="Times New Roman" w:cs="Times New Roman"/>
          <w:color w:val="000000"/>
          <w:sz w:val="28"/>
          <w:szCs w:val="28"/>
        </w:rPr>
        <w:t xml:space="preserve">Окреслена </w:t>
      </w:r>
      <w:r w:rsidR="00662D4B" w:rsidRPr="00B05341">
        <w:rPr>
          <w:rFonts w:ascii="Times New Roman" w:hAnsi="Times New Roman" w:cs="Times New Roman"/>
          <w:color w:val="000000"/>
          <w:sz w:val="28"/>
          <w:szCs w:val="28"/>
        </w:rPr>
        <w:t xml:space="preserve">структура </w:t>
      </w:r>
      <w:r w:rsidR="00DC3591" w:rsidRPr="00B05341">
        <w:rPr>
          <w:rFonts w:ascii="Times New Roman" w:hAnsi="Times New Roman" w:cs="Times New Roman"/>
          <w:color w:val="000000"/>
          <w:sz w:val="28"/>
          <w:szCs w:val="28"/>
        </w:rPr>
        <w:t>тест</w:t>
      </w:r>
      <w:r w:rsidR="00662D4B" w:rsidRPr="00B05341">
        <w:rPr>
          <w:rFonts w:ascii="Times New Roman" w:hAnsi="Times New Roman" w:cs="Times New Roman"/>
          <w:color w:val="000000"/>
          <w:sz w:val="28"/>
          <w:szCs w:val="28"/>
        </w:rPr>
        <w:t>у</w:t>
      </w:r>
      <w:r w:rsidR="00DC3591" w:rsidRPr="00B05341">
        <w:rPr>
          <w:rFonts w:ascii="Times New Roman" w:hAnsi="Times New Roman" w:cs="Times New Roman"/>
          <w:color w:val="000000"/>
          <w:sz w:val="28"/>
          <w:szCs w:val="28"/>
        </w:rPr>
        <w:t xml:space="preserve"> на пропорційність апробован</w:t>
      </w:r>
      <w:r w:rsidR="00662D4B" w:rsidRPr="00B05341">
        <w:rPr>
          <w:rFonts w:ascii="Times New Roman" w:hAnsi="Times New Roman" w:cs="Times New Roman"/>
          <w:color w:val="000000"/>
          <w:sz w:val="28"/>
          <w:szCs w:val="28"/>
        </w:rPr>
        <w:t>а</w:t>
      </w:r>
      <w:r w:rsidR="00DC3591" w:rsidRPr="00B05341">
        <w:rPr>
          <w:rFonts w:ascii="Times New Roman" w:hAnsi="Times New Roman" w:cs="Times New Roman"/>
          <w:color w:val="000000"/>
          <w:sz w:val="28"/>
          <w:szCs w:val="28"/>
        </w:rPr>
        <w:t xml:space="preserve"> Європейським судом з прав людини.</w:t>
      </w:r>
    </w:p>
    <w:p w:rsidR="00210206" w:rsidRPr="00B05341" w:rsidRDefault="00C64BD4" w:rsidP="00B05341">
      <w:pPr>
        <w:spacing w:after="0" w:line="360" w:lineRule="auto"/>
        <w:ind w:firstLine="567"/>
        <w:jc w:val="both"/>
        <w:rPr>
          <w:rFonts w:ascii="Times New Roman" w:hAnsi="Times New Roman" w:cs="Times New Roman"/>
          <w:sz w:val="28"/>
          <w:szCs w:val="28"/>
        </w:rPr>
      </w:pPr>
      <w:r w:rsidRPr="00B05341">
        <w:rPr>
          <w:rFonts w:ascii="Times New Roman" w:hAnsi="Times New Roman" w:cs="Times New Roman"/>
          <w:sz w:val="28"/>
          <w:szCs w:val="28"/>
        </w:rPr>
        <w:t xml:space="preserve">Таким чином, </w:t>
      </w:r>
      <w:r w:rsidR="0012562A" w:rsidRPr="00B05341">
        <w:rPr>
          <w:rFonts w:ascii="Times New Roman" w:hAnsi="Times New Roman" w:cs="Times New Roman"/>
          <w:sz w:val="28"/>
          <w:szCs w:val="28"/>
        </w:rPr>
        <w:t xml:space="preserve">для обґрунтування </w:t>
      </w:r>
      <w:r w:rsidR="00FF6101" w:rsidRPr="00B05341">
        <w:rPr>
          <w:rFonts w:ascii="Times New Roman" w:hAnsi="Times New Roman" w:cs="Times New Roman"/>
          <w:sz w:val="28"/>
          <w:szCs w:val="28"/>
        </w:rPr>
        <w:t xml:space="preserve">можливості </w:t>
      </w:r>
      <w:r w:rsidR="00B57185" w:rsidRPr="00B05341">
        <w:rPr>
          <w:rFonts w:ascii="Times New Roman" w:hAnsi="Times New Roman" w:cs="Times New Roman"/>
          <w:sz w:val="28"/>
          <w:szCs w:val="28"/>
        </w:rPr>
        <w:t>реалізаці</w:t>
      </w:r>
      <w:r w:rsidR="00FF6101" w:rsidRPr="00B05341">
        <w:rPr>
          <w:rFonts w:ascii="Times New Roman" w:hAnsi="Times New Roman" w:cs="Times New Roman"/>
          <w:sz w:val="28"/>
          <w:szCs w:val="28"/>
        </w:rPr>
        <w:t>ї</w:t>
      </w:r>
      <w:r w:rsidR="00B57185" w:rsidRPr="00B05341">
        <w:rPr>
          <w:rFonts w:ascii="Times New Roman" w:hAnsi="Times New Roman" w:cs="Times New Roman"/>
          <w:sz w:val="28"/>
          <w:szCs w:val="28"/>
        </w:rPr>
        <w:t xml:space="preserve"> норми про незаконне збагачення </w:t>
      </w:r>
      <w:r w:rsidR="006D2D85" w:rsidRPr="00B05341">
        <w:rPr>
          <w:rFonts w:ascii="Times New Roman" w:hAnsi="Times New Roman" w:cs="Times New Roman"/>
          <w:sz w:val="28"/>
          <w:szCs w:val="28"/>
        </w:rPr>
        <w:t xml:space="preserve">в Україні </w:t>
      </w:r>
      <w:r w:rsidR="00B57185" w:rsidRPr="00B05341">
        <w:rPr>
          <w:rFonts w:ascii="Times New Roman" w:hAnsi="Times New Roman" w:cs="Times New Roman"/>
          <w:sz w:val="28"/>
          <w:szCs w:val="28"/>
        </w:rPr>
        <w:t>у моделі ст.20 Конвенції ООН проти корупції</w:t>
      </w:r>
      <w:r w:rsidR="00FF6101" w:rsidRPr="00B05341">
        <w:rPr>
          <w:rFonts w:ascii="Times New Roman" w:hAnsi="Times New Roman" w:cs="Times New Roman"/>
          <w:sz w:val="28"/>
          <w:szCs w:val="28"/>
        </w:rPr>
        <w:t>, яка</w:t>
      </w:r>
      <w:r w:rsidR="00B57185" w:rsidRPr="00B05341">
        <w:rPr>
          <w:rFonts w:ascii="Times New Roman" w:hAnsi="Times New Roman" w:cs="Times New Roman"/>
          <w:sz w:val="28"/>
          <w:szCs w:val="28"/>
        </w:rPr>
        <w:t xml:space="preserve"> передбачає </w:t>
      </w:r>
      <w:r w:rsidR="00DC3591" w:rsidRPr="00B05341">
        <w:rPr>
          <w:rFonts w:ascii="Times New Roman" w:hAnsi="Times New Roman" w:cs="Times New Roman"/>
          <w:sz w:val="28"/>
          <w:szCs w:val="28"/>
        </w:rPr>
        <w:t>втручання в один із елементів презумпції невинуватості (правило щодо тягаря доказування)</w:t>
      </w:r>
      <w:r w:rsidR="006D2D85" w:rsidRPr="00B05341">
        <w:rPr>
          <w:rFonts w:ascii="Times New Roman" w:hAnsi="Times New Roman" w:cs="Times New Roman"/>
          <w:sz w:val="28"/>
          <w:szCs w:val="28"/>
        </w:rPr>
        <w:t xml:space="preserve">, </w:t>
      </w:r>
      <w:r w:rsidR="00DC3591" w:rsidRPr="00B05341">
        <w:rPr>
          <w:rFonts w:ascii="Times New Roman" w:hAnsi="Times New Roman" w:cs="Times New Roman"/>
          <w:sz w:val="28"/>
          <w:szCs w:val="28"/>
        </w:rPr>
        <w:t>потребу</w:t>
      </w:r>
      <w:r w:rsidR="00FF6101" w:rsidRPr="00B05341">
        <w:rPr>
          <w:rFonts w:ascii="Times New Roman" w:hAnsi="Times New Roman" w:cs="Times New Roman"/>
          <w:sz w:val="28"/>
          <w:szCs w:val="28"/>
        </w:rPr>
        <w:t xml:space="preserve">ється проведення </w:t>
      </w:r>
      <w:r w:rsidR="00DC3591" w:rsidRPr="00B05341">
        <w:rPr>
          <w:rFonts w:ascii="Times New Roman" w:hAnsi="Times New Roman" w:cs="Times New Roman"/>
          <w:sz w:val="28"/>
          <w:szCs w:val="28"/>
        </w:rPr>
        <w:t>розгорнутого тесту на пропорційність</w:t>
      </w:r>
      <w:r w:rsidR="00210206" w:rsidRPr="00B05341">
        <w:rPr>
          <w:rFonts w:ascii="Times New Roman" w:hAnsi="Times New Roman" w:cs="Times New Roman"/>
          <w:sz w:val="28"/>
          <w:szCs w:val="28"/>
        </w:rPr>
        <w:t>.</w:t>
      </w:r>
    </w:p>
    <w:sectPr w:rsidR="00210206" w:rsidRPr="00B05341" w:rsidSect="00B05341">
      <w:pgSz w:w="11906" w:h="16838"/>
      <w:pgMar w:top="851" w:right="851"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4F46" w:rsidRDefault="008F4F46" w:rsidP="00DC3591">
      <w:pPr>
        <w:spacing w:after="0" w:line="240" w:lineRule="auto"/>
      </w:pPr>
      <w:r>
        <w:separator/>
      </w:r>
    </w:p>
  </w:endnote>
  <w:endnote w:type="continuationSeparator" w:id="0">
    <w:p w:rsidR="008F4F46" w:rsidRDefault="008F4F46" w:rsidP="00DC35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4F46" w:rsidRDefault="008F4F46" w:rsidP="00DC3591">
      <w:pPr>
        <w:spacing w:after="0" w:line="240" w:lineRule="auto"/>
      </w:pPr>
      <w:r>
        <w:separator/>
      </w:r>
    </w:p>
  </w:footnote>
  <w:footnote w:type="continuationSeparator" w:id="0">
    <w:p w:rsidR="008F4F46" w:rsidRDefault="008F4F46" w:rsidP="00DC3591">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9"/>
  <w:proofState w:spelling="clean" w:grammar="clean"/>
  <w:defaultTabStop w:val="708"/>
  <w:hyphenationZone w:val="425"/>
  <w:characterSpacingControl w:val="doNotCompress"/>
  <w:footnotePr>
    <w:footnote w:id="-1"/>
    <w:footnote w:id="0"/>
  </w:footnotePr>
  <w:endnotePr>
    <w:endnote w:id="-1"/>
    <w:endnote w:id="0"/>
  </w:endnotePr>
  <w:compat/>
  <w:rsids>
    <w:rsidRoot w:val="00DC3591"/>
    <w:rsid w:val="0012562A"/>
    <w:rsid w:val="00142A17"/>
    <w:rsid w:val="00210206"/>
    <w:rsid w:val="002D3FC2"/>
    <w:rsid w:val="003039F9"/>
    <w:rsid w:val="00490F17"/>
    <w:rsid w:val="00531562"/>
    <w:rsid w:val="005D06CE"/>
    <w:rsid w:val="005F487E"/>
    <w:rsid w:val="00662D4B"/>
    <w:rsid w:val="006D2D85"/>
    <w:rsid w:val="006F6837"/>
    <w:rsid w:val="007D3843"/>
    <w:rsid w:val="0080592D"/>
    <w:rsid w:val="008903E3"/>
    <w:rsid w:val="0089518C"/>
    <w:rsid w:val="008C61E6"/>
    <w:rsid w:val="008F4F46"/>
    <w:rsid w:val="008F73CA"/>
    <w:rsid w:val="009A5E23"/>
    <w:rsid w:val="009F4BCB"/>
    <w:rsid w:val="00A553D8"/>
    <w:rsid w:val="00AB20CB"/>
    <w:rsid w:val="00B05341"/>
    <w:rsid w:val="00B57185"/>
    <w:rsid w:val="00C64BD4"/>
    <w:rsid w:val="00CC332C"/>
    <w:rsid w:val="00DC3591"/>
    <w:rsid w:val="00E447E4"/>
    <w:rsid w:val="00ED0B19"/>
    <w:rsid w:val="00F25CA6"/>
    <w:rsid w:val="00FD3303"/>
    <w:rsid w:val="00FE66BC"/>
    <w:rsid w:val="00FF5BDD"/>
    <w:rsid w:val="00FF610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359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DC3591"/>
    <w:pPr>
      <w:spacing w:after="0" w:line="240" w:lineRule="auto"/>
    </w:pPr>
    <w:rPr>
      <w:sz w:val="20"/>
      <w:szCs w:val="20"/>
    </w:rPr>
  </w:style>
  <w:style w:type="character" w:customStyle="1" w:styleId="a4">
    <w:name w:val="Текст сноски Знак"/>
    <w:basedOn w:val="a0"/>
    <w:link w:val="a3"/>
    <w:rsid w:val="00DC3591"/>
    <w:rPr>
      <w:sz w:val="20"/>
      <w:szCs w:val="20"/>
    </w:rPr>
  </w:style>
  <w:style w:type="character" w:styleId="a5">
    <w:name w:val="footnote reference"/>
    <w:basedOn w:val="a0"/>
    <w:semiHidden/>
    <w:unhideWhenUsed/>
    <w:rsid w:val="00DC3591"/>
    <w:rPr>
      <w:vertAlign w:val="superscript"/>
    </w:rPr>
  </w:style>
  <w:style w:type="character" w:customStyle="1" w:styleId="xfmc1">
    <w:name w:val="xfmc1"/>
    <w:basedOn w:val="a0"/>
    <w:rsid w:val="00DC3591"/>
  </w:style>
  <w:style w:type="paragraph" w:styleId="HTML">
    <w:name w:val="HTML Preformatted"/>
    <w:basedOn w:val="a"/>
    <w:link w:val="HTML0"/>
    <w:uiPriority w:val="99"/>
    <w:semiHidden/>
    <w:unhideWhenUsed/>
    <w:rsid w:val="003039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3039F9"/>
    <w:rPr>
      <w:rFonts w:ascii="Courier New" w:eastAsia="Times New Roman" w:hAnsi="Courier New" w:cs="Courier New"/>
      <w:sz w:val="20"/>
      <w:szCs w:val="20"/>
      <w:lang w:eastAsia="uk-UA"/>
    </w:rPr>
  </w:style>
</w:styles>
</file>

<file path=word/webSettings.xml><?xml version="1.0" encoding="utf-8"?>
<w:webSettings xmlns:r="http://schemas.openxmlformats.org/officeDocument/2006/relationships" xmlns:w="http://schemas.openxmlformats.org/wordprocessingml/2006/main">
  <w:divs>
    <w:div w:id="2135711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9F%D1%80%D0%B0%D0%B2%D0%BE" TargetMode="External"/><Relationship Id="rId3" Type="http://schemas.openxmlformats.org/officeDocument/2006/relationships/settings" Target="settings.xml"/><Relationship Id="rId7" Type="http://schemas.openxmlformats.org/officeDocument/2006/relationships/hyperlink" Target="http://uk.wikipedia.org/wiki/%D0%A1%D0%B2%D0%BE%D0%B1%D0%BE%D0%B4%D0%B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uk.wikipedia.org/wiki/%D0%95%D0%BA%D0%BE%D0%BD%D0%BE%D0%BC%D1%96%D0%BA%D0%B0" TargetMode="External"/><Relationship Id="rId4" Type="http://schemas.openxmlformats.org/officeDocument/2006/relationships/webSettings" Target="webSettings.xml"/><Relationship Id="rId9" Type="http://schemas.openxmlformats.org/officeDocument/2006/relationships/hyperlink" Target="http://uk.wikipedia.org/wiki/%D0%A1%D1%83%D1%81%D0%BF%D1%96%D0%BB%D1%8C%D1%81%D1%82%D0%B2%D0%B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40CD3F-60A4-41BF-B0C2-29D0BBF65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Pages>
  <Words>5259</Words>
  <Characters>2998</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2015-04-19T18:32:00Z</dcterms:created>
  <dcterms:modified xsi:type="dcterms:W3CDTF">2015-04-19T19:24:00Z</dcterms:modified>
</cp:coreProperties>
</file>