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25D57E" w14:textId="77777777" w:rsidR="00613E24" w:rsidRPr="002145E1" w:rsidRDefault="00613E24" w:rsidP="009B2568">
      <w:pPr>
        <w:pageBreakBefore/>
        <w:spacing w:after="0" w:line="360" w:lineRule="auto"/>
        <w:ind w:firstLine="567"/>
        <w:jc w:val="center"/>
        <w:rPr>
          <w:rFonts w:ascii="Times New Roman" w:hAnsi="Times New Roman" w:cs="Times New Roman"/>
          <w:b/>
          <w:sz w:val="28"/>
          <w:szCs w:val="28"/>
        </w:rPr>
      </w:pPr>
      <w:bookmarkStart w:id="0" w:name="_GoBack"/>
      <w:bookmarkEnd w:id="0"/>
      <w:r w:rsidRPr="002145E1">
        <w:rPr>
          <w:rFonts w:ascii="Times New Roman" w:hAnsi="Times New Roman" w:cs="Times New Roman"/>
          <w:b/>
          <w:sz w:val="28"/>
          <w:szCs w:val="28"/>
        </w:rPr>
        <w:t>АНОТАЦІЯ</w:t>
      </w:r>
    </w:p>
    <w:p w14:paraId="377BFF3E" w14:textId="7DB0B4EC" w:rsidR="00613E24" w:rsidRPr="002145E1" w:rsidRDefault="00613E24" w:rsidP="009B2568">
      <w:pPr>
        <w:pStyle w:val="a3"/>
        <w:shd w:val="clear" w:color="auto" w:fill="FFFFFF"/>
        <w:spacing w:before="0" w:beforeAutospacing="0" w:after="0" w:afterAutospacing="0" w:line="360" w:lineRule="auto"/>
        <w:ind w:firstLine="567"/>
        <w:jc w:val="both"/>
        <w:rPr>
          <w:sz w:val="28"/>
          <w:szCs w:val="28"/>
        </w:rPr>
      </w:pPr>
      <w:r w:rsidRPr="002145E1">
        <w:rPr>
          <w:b/>
          <w:i/>
          <w:sz w:val="28"/>
          <w:szCs w:val="28"/>
        </w:rPr>
        <w:t>Татаркевич Я.</w:t>
      </w:r>
      <w:r w:rsidR="002544C0" w:rsidRPr="00F61058">
        <w:rPr>
          <w:b/>
          <w:i/>
          <w:sz w:val="28"/>
          <w:szCs w:val="28"/>
          <w:lang w:val="ru-RU"/>
        </w:rPr>
        <w:t xml:space="preserve"> </w:t>
      </w:r>
      <w:r w:rsidRPr="002145E1">
        <w:rPr>
          <w:b/>
          <w:i/>
          <w:sz w:val="28"/>
          <w:szCs w:val="28"/>
        </w:rPr>
        <w:t xml:space="preserve">О. </w:t>
      </w:r>
      <w:r w:rsidR="00423908" w:rsidRPr="002145E1">
        <w:rPr>
          <w:b/>
          <w:sz w:val="28"/>
          <w:szCs w:val="28"/>
        </w:rPr>
        <w:t xml:space="preserve">Викрадення у кримінальному праві </w:t>
      </w:r>
      <w:r w:rsidR="00423908">
        <w:rPr>
          <w:b/>
          <w:sz w:val="28"/>
          <w:szCs w:val="28"/>
        </w:rPr>
        <w:t>У</w:t>
      </w:r>
      <w:r w:rsidR="00423908" w:rsidRPr="002145E1">
        <w:rPr>
          <w:b/>
          <w:sz w:val="28"/>
          <w:szCs w:val="28"/>
        </w:rPr>
        <w:t>країни: поняття та форми</w:t>
      </w:r>
      <w:r w:rsidRPr="002145E1">
        <w:rPr>
          <w:sz w:val="28"/>
          <w:szCs w:val="28"/>
        </w:rPr>
        <w:t>. – Кваліфікаційна наукова праця на правах рукопису. Дисертація на здобуття наукового ступеня доктора філософії за спеціальністю 081 – Право. – Національний університет «Одеська юридична академія», Одеса, 2022.</w:t>
      </w:r>
    </w:p>
    <w:p w14:paraId="2AFBB768"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eastAsia="Times New Roman" w:hAnsi="Times New Roman" w:cs="Times New Roman"/>
          <w:sz w:val="28"/>
          <w:szCs w:val="28"/>
          <w:lang w:eastAsia="uk-UA"/>
        </w:rPr>
        <w:t xml:space="preserve">Дисертація є першим у вітчизняній науці кримінального права спеціальним комплексним дослідженням, де обґрунтовується необхідність відмови від використання при характеристиці посягань на власність такого поняття, як викрадення, впровадження поняття розкрадання та визначення його форм на рівні КК України. </w:t>
      </w:r>
    </w:p>
    <w:p w14:paraId="15B7C802"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На основі аналізу кримінально-правових норм про викрадення в історичній ретроспективі встановлено, що воно було першим поняттям, яке виконувало узагальнюючу функцію, охоплюючи собою лише такі способи впливу на предмет злочину, які полягали у протиправному виведенні майна з володіння власника у суто фізичному сенсі (розбій, грабіж, крадіжки та шахрайство). Зазначено, що наприкінці ХІХ початку ХХ століття це поняття поступово втрачає свій узагальнюючий статус, а в середині 50-х років минулого століття йому на зміну приходить нове узагальнююче поняття – розкрадання, яке охоплює всі способи посягань на власність, пов’язані з виведенням чужого майна з речових активів власника чи законного володільця, не обмежуючись лише його фізичним вилученням. Зроблено висновок, що з цього моменту, у кримінально-правовій площині поняття викрадення та розкрадання розглядалися вже як частина та ціле і за будь-яких умов не могли розцінюватися як тотожні.</w:t>
      </w:r>
    </w:p>
    <w:p w14:paraId="4680A32F" w14:textId="77777777" w:rsidR="001F3EA0"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У дисертації зазначено, що у світовій законодавчій практиці існують два основних підходи до регламентації кримінальної відповідальності щодо посягань на власність (майнових посягань), пов’язаних із заволодінням винним чужим майном на свою користь чи на користь третіх осіб.</w:t>
      </w:r>
      <w:r w:rsidR="001F3EA0" w:rsidRPr="002145E1">
        <w:t xml:space="preserve"> </w:t>
      </w:r>
      <w:r w:rsidR="001F3EA0" w:rsidRPr="002145E1">
        <w:rPr>
          <w:rFonts w:ascii="Times New Roman" w:hAnsi="Times New Roman" w:cs="Times New Roman"/>
          <w:sz w:val="28"/>
          <w:szCs w:val="28"/>
        </w:rPr>
        <w:t xml:space="preserve">В основу першого покладена ідея про необхідність створення узагальнюючого поняття, </w:t>
      </w:r>
      <w:r w:rsidR="001F3EA0" w:rsidRPr="002145E1">
        <w:rPr>
          <w:rFonts w:ascii="Times New Roman" w:hAnsi="Times New Roman" w:cs="Times New Roman"/>
          <w:sz w:val="28"/>
          <w:szCs w:val="28"/>
        </w:rPr>
        <w:lastRenderedPageBreak/>
        <w:t xml:space="preserve">яке б охоплювало собою будь-які існуючі або ті, що з’являться у майбутньому, способи остаточного (тобто «назавжди») заволодіння чужим майном, розкриваючи їх спільні риси та, разом з цим, не позбавляючи специфічних особливостей. Цей підхід сповідував до початку 2000-х років вітчизняний законодавець та сповідує законодавець деяких </w:t>
      </w:r>
      <w:r w:rsidR="008E688A">
        <w:rPr>
          <w:rFonts w:ascii="Times New Roman" w:hAnsi="Times New Roman" w:cs="Times New Roman"/>
          <w:sz w:val="28"/>
          <w:szCs w:val="28"/>
        </w:rPr>
        <w:t>держав</w:t>
      </w:r>
      <w:r w:rsidR="001F3EA0" w:rsidRPr="002145E1">
        <w:rPr>
          <w:rFonts w:ascii="Times New Roman" w:hAnsi="Times New Roman" w:cs="Times New Roman"/>
          <w:sz w:val="28"/>
          <w:szCs w:val="28"/>
        </w:rPr>
        <w:t>, причому намагаючись надати такому поняттю нормативний статус. У зарубіжному законодавстві тенденція до створення певного збірного поняття, яке б могло використовуватися для характеристики майнових посягань, якщо й мала місце, подальшого розвитку не отримала.</w:t>
      </w:r>
    </w:p>
    <w:p w14:paraId="50010D3A" w14:textId="77777777" w:rsidR="00613E24" w:rsidRPr="002145E1" w:rsidRDefault="001F3EA0"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Інший підхід заснований на казуїстичних засадах, коли законодавець безпосередньо у нормах кримінального закону намагається ретельно описати ті чи інші особливості конкретних посягань на власність, враховуючи при цьому не тільки кримінально-правову, а й криміналістичну специфіку їх вчинення. Відсутність родового поняття у межах цього підходу не дозволяє забезпечити «речову» чистоту охоронюваних відносин власності, чітко розмежувати посягання на них і суміжні діяння та сприяє необґрунтованому збільшенню кількості спеціальних складів кримінальних правопорушень.</w:t>
      </w:r>
    </w:p>
    <w:p w14:paraId="53654B07" w14:textId="77777777" w:rsidR="002145E1"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 xml:space="preserve">Констатовано, що у чинному КК України поняття викрадення має потрійну кримінально-правову природу. Воно: 1) є складовою об’єктивної сторони крадіжки та грабежу; 2) виконує певну узагальнюючу функцію при характеристиці окремих кримінальних правопорушень проти громадської безпеки, здоров’я населення, авторитету органів державної влади, органів місцевого самоврядування чи об’єднань громадян та встановленого законодавством порядку несення або проходження військової служби, охоплюючи собою крадіжку і грабіж, а інколи і грабіж, поєднаний з насильством та, навіть, розбій; 3) є складовою об’єктивної сторони окремих кримінальних правопорушень проти волі особи. </w:t>
      </w:r>
    </w:p>
    <w:p w14:paraId="6FFC2707" w14:textId="77777777" w:rsidR="00D54707" w:rsidRPr="002145E1" w:rsidRDefault="002145E1"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Зроблено висновок, що усі</w:t>
      </w:r>
      <w:r w:rsidR="00D54707" w:rsidRPr="002145E1">
        <w:rPr>
          <w:rFonts w:ascii="Times New Roman" w:hAnsi="Times New Roman" w:cs="Times New Roman"/>
          <w:sz w:val="28"/>
          <w:szCs w:val="28"/>
        </w:rPr>
        <w:t xml:space="preserve"> три варіанта використання цього поняття в тексті КК</w:t>
      </w:r>
      <w:r w:rsidRPr="002145E1">
        <w:rPr>
          <w:rFonts w:ascii="Times New Roman" w:hAnsi="Times New Roman" w:cs="Times New Roman"/>
          <w:sz w:val="28"/>
          <w:szCs w:val="28"/>
        </w:rPr>
        <w:t xml:space="preserve"> України</w:t>
      </w:r>
      <w:r w:rsidR="00D54707" w:rsidRPr="002145E1">
        <w:rPr>
          <w:rFonts w:ascii="Times New Roman" w:hAnsi="Times New Roman" w:cs="Times New Roman"/>
          <w:sz w:val="28"/>
          <w:szCs w:val="28"/>
        </w:rPr>
        <w:t xml:space="preserve"> є невдалими, що зумовлює доцільність відмови від його вживання як при характеристиці посягань на речові відносини, так і при </w:t>
      </w:r>
      <w:r w:rsidR="00D54707" w:rsidRPr="002145E1">
        <w:rPr>
          <w:rFonts w:ascii="Times New Roman" w:hAnsi="Times New Roman" w:cs="Times New Roman"/>
          <w:sz w:val="28"/>
          <w:szCs w:val="28"/>
        </w:rPr>
        <w:lastRenderedPageBreak/>
        <w:t>характеристиці предметних посягань на інші охоронювані КК України об’єкти. Термін викрадення може характеризувати собою окремі посягання проти волі особи за умов наповнення його новим кримінально-правовим змістом, відповідно до якого основою цього поняття буде виступати захоплення людини, вчинене з використанням примусу, обману або безпорадного стану потерпілої особи.</w:t>
      </w:r>
    </w:p>
    <w:p w14:paraId="37722F6E" w14:textId="77777777" w:rsidR="001F3EA0" w:rsidRPr="002145E1" w:rsidRDefault="001F3EA0"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Обґрунтовано, що визначення поняття викрадення через такі категорії, як заволодіння та обернення, які дуже розповсюджені у сучасній вітчизняній теорії кримінального права, є безпідставними. Викрадення, заволодіння та обернення не можуть розглядатися як тотожні поняття, оскільки є якісно різними способами посягань на власність та інші охоронювані об’єкти. Встановлено, що викрадення з позицій чинного КК України - це лише протиправне безоплатне фізичне вилучення чужого майна або інших предметів незалежно від наявності чи відсутності підстав для володіння останніми, вчинене шляхом крадіжки та ненасильницького грабежу. Тому воно не тільки не є синонімом заволодіння чи обернення, а й за будь-яких умов не здатне виконувати функцію родового поняття.</w:t>
      </w:r>
    </w:p>
    <w:p w14:paraId="32925A6A" w14:textId="77777777" w:rsidR="001F3EA0" w:rsidRPr="002145E1" w:rsidRDefault="001F3EA0"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Зазначено, що під формами викрадення, заволодіння та обернення слід розуміти ті значущі з кримінально-правової точки зору прийоми та методи, за допомогою яких здійснюється посягання на власність чи інші охоронювані КК об’єкти.</w:t>
      </w:r>
    </w:p>
    <w:p w14:paraId="33A36AFA" w14:textId="77777777" w:rsidR="001F3EA0" w:rsidRPr="002145E1" w:rsidRDefault="001F3EA0"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Доведено, що викрадення та самовільне використання – це поняття, які виключають одне одного, у зв’язку з чим запропоновано змінити зміст та правову природу діяння, передбаченого ст. 188-1 КК України.</w:t>
      </w:r>
    </w:p>
    <w:p w14:paraId="1F4BC3D3" w14:textId="77777777" w:rsidR="00613E24" w:rsidRPr="002145E1" w:rsidRDefault="004D1029"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Обґрунтовано</w:t>
      </w:r>
      <w:r w:rsidR="00613E24" w:rsidRPr="002145E1">
        <w:rPr>
          <w:rFonts w:ascii="Times New Roman" w:hAnsi="Times New Roman" w:cs="Times New Roman"/>
          <w:sz w:val="28"/>
          <w:szCs w:val="28"/>
        </w:rPr>
        <w:t xml:space="preserve">, </w:t>
      </w:r>
      <w:r w:rsidRPr="002145E1">
        <w:rPr>
          <w:rFonts w:ascii="Times New Roman" w:hAnsi="Times New Roman" w:cs="Times New Roman"/>
          <w:sz w:val="28"/>
          <w:szCs w:val="28"/>
        </w:rPr>
        <w:t>що подальший</w:t>
      </w:r>
      <w:r w:rsidR="00613E24" w:rsidRPr="002145E1">
        <w:rPr>
          <w:rFonts w:ascii="Times New Roman" w:hAnsi="Times New Roman" w:cs="Times New Roman"/>
          <w:sz w:val="28"/>
          <w:szCs w:val="28"/>
        </w:rPr>
        <w:t xml:space="preserve"> розвиток національного кримінального законодавства за посягання на власність має бути пов’язаний з поверненням у кримінально-правову площину такого поняття як розкрадання. Зроблено висновок, що поняття розкрадання повинно отримати легальний статус.</w:t>
      </w:r>
    </w:p>
    <w:p w14:paraId="38A448AC"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 xml:space="preserve">Визначено, що формою розкрадання, поряд з крадіжкою, грабежем, розбоєм, шахрайством, привласненням, розтратою та вилученням майна </w:t>
      </w:r>
      <w:r w:rsidRPr="002145E1">
        <w:rPr>
          <w:rFonts w:ascii="Times New Roman" w:hAnsi="Times New Roman" w:cs="Times New Roman"/>
          <w:sz w:val="28"/>
          <w:szCs w:val="28"/>
        </w:rPr>
        <w:lastRenderedPageBreak/>
        <w:t xml:space="preserve">шляхом зловживання службовою особою своїм службовим становищем, може бути визнано і вимагання, за умов внесення у диспозицію ч. 1 ст. 189 КК України відповідних змін. Питання щодо форм розкрадання теж має вирішуватися на законодавчому рівні. </w:t>
      </w:r>
    </w:p>
    <w:p w14:paraId="1184D238"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 xml:space="preserve">В дисертації запропоновано вдосконалити законодавче визначення таких кримінальних правопорушень, як крадіжка, грабіж, шахрайство та заволодіння чужим майном шляхом зловживання службовою особою своїм службовим становищем через заміну у диспозиціях відповідних норм термінів «викрадення» та «заволодіння» на термін «вилучення». </w:t>
      </w:r>
    </w:p>
    <w:p w14:paraId="2F8158C1"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Обгрунтовано необхідність змінити законодавчу конструкцію вимагання шляхом скасування вказівки на вимогу вчинення будь-яких дій майнового характеру та доповнити диспозиції відповідної норми вказівкою на обмеження прав, свобод або законних інтересів потерпілого чи його близьких родичів.</w:t>
      </w:r>
    </w:p>
    <w:p w14:paraId="1036B69D"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Визначено за доцільне змінити змістовну характеристику права на майно, шляхом доповнення диспозицій норм про шахрайство та вимагання вказівкою на чуже нерухоме майно.</w:t>
      </w:r>
    </w:p>
    <w:p w14:paraId="1E0857FD" w14:textId="77777777" w:rsidR="00613E24" w:rsidRPr="002145E1" w:rsidRDefault="004D1029"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 xml:space="preserve">Запропоновано вдосконалити </w:t>
      </w:r>
      <w:r w:rsidR="00613E24" w:rsidRPr="002145E1">
        <w:rPr>
          <w:rFonts w:ascii="Times New Roman" w:hAnsi="Times New Roman" w:cs="Times New Roman"/>
          <w:sz w:val="28"/>
          <w:szCs w:val="28"/>
        </w:rPr>
        <w:t>диспозицію ч. 1 ст. 191 КК України шляхом обмеження предмету привласнення чи розтрати лише чужим м</w:t>
      </w:r>
      <w:r w:rsidRPr="002145E1">
        <w:rPr>
          <w:rFonts w:ascii="Times New Roman" w:hAnsi="Times New Roman" w:cs="Times New Roman"/>
          <w:sz w:val="28"/>
          <w:szCs w:val="28"/>
        </w:rPr>
        <w:t xml:space="preserve">айном, яке було ввірено винному, а також </w:t>
      </w:r>
      <w:r w:rsidR="00613E24" w:rsidRPr="002145E1">
        <w:rPr>
          <w:rFonts w:ascii="Times New Roman" w:hAnsi="Times New Roman" w:cs="Times New Roman"/>
          <w:sz w:val="28"/>
          <w:szCs w:val="28"/>
        </w:rPr>
        <w:t xml:space="preserve">диспозицію ч. 1 ст. 388 КК України </w:t>
      </w:r>
      <w:r w:rsidR="002145E1" w:rsidRPr="002145E1">
        <w:rPr>
          <w:rFonts w:ascii="Times New Roman" w:hAnsi="Times New Roman" w:cs="Times New Roman"/>
          <w:sz w:val="28"/>
          <w:szCs w:val="28"/>
        </w:rPr>
        <w:t xml:space="preserve"> </w:t>
      </w:r>
      <w:r w:rsidR="00613E24" w:rsidRPr="002145E1">
        <w:rPr>
          <w:rFonts w:ascii="Times New Roman" w:hAnsi="Times New Roman" w:cs="Times New Roman"/>
          <w:sz w:val="28"/>
          <w:szCs w:val="28"/>
        </w:rPr>
        <w:t>шляхом відмови від використання термінології, що притаманна розкраданню, зокрема скасування вказівок на розтрату та майно, що ввірено особі</w:t>
      </w:r>
      <w:r w:rsidR="002145E1" w:rsidRPr="002145E1">
        <w:rPr>
          <w:rFonts w:ascii="Times New Roman" w:hAnsi="Times New Roman" w:cs="Times New Roman"/>
          <w:sz w:val="28"/>
          <w:szCs w:val="28"/>
        </w:rPr>
        <w:t>.</w:t>
      </w:r>
    </w:p>
    <w:p w14:paraId="41244C2B" w14:textId="77777777" w:rsidR="00613E24" w:rsidRPr="002145E1" w:rsidRDefault="00613E24"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Доведена доцільність доповнення розділу VI Особливої частини КК України окремою нормою щодо відповідальності за порушення законного порядку придбання права власності або законного володіння майном</w:t>
      </w:r>
    </w:p>
    <w:p w14:paraId="288ADD7F" w14:textId="77777777" w:rsidR="00613E24" w:rsidRPr="002145E1" w:rsidRDefault="004D1029"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Обґрунтовано науковий підхід щодо</w:t>
      </w:r>
      <w:r w:rsidR="00613E24" w:rsidRPr="002145E1">
        <w:rPr>
          <w:rFonts w:ascii="Times New Roman" w:hAnsi="Times New Roman" w:cs="Times New Roman"/>
          <w:sz w:val="28"/>
          <w:szCs w:val="28"/>
        </w:rPr>
        <w:t xml:space="preserve"> відмови при визначенні розбою від такого поняття, як напад</w:t>
      </w:r>
      <w:r w:rsidRPr="002145E1">
        <w:rPr>
          <w:rFonts w:ascii="Times New Roman" w:hAnsi="Times New Roman" w:cs="Times New Roman"/>
          <w:sz w:val="28"/>
          <w:szCs w:val="28"/>
        </w:rPr>
        <w:t>.</w:t>
      </w:r>
    </w:p>
    <w:p w14:paraId="72601CBD" w14:textId="77777777" w:rsidR="00613E24" w:rsidRPr="002145E1" w:rsidRDefault="004D1029"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t>Запропоновано обмежити</w:t>
      </w:r>
      <w:r w:rsidR="00613E24" w:rsidRPr="002145E1">
        <w:rPr>
          <w:rFonts w:ascii="Times New Roman" w:hAnsi="Times New Roman" w:cs="Times New Roman"/>
          <w:sz w:val="28"/>
          <w:szCs w:val="28"/>
        </w:rPr>
        <w:t xml:space="preserve"> шахрайств</w:t>
      </w:r>
      <w:r w:rsidRPr="002145E1">
        <w:rPr>
          <w:rFonts w:ascii="Times New Roman" w:hAnsi="Times New Roman" w:cs="Times New Roman"/>
          <w:sz w:val="28"/>
          <w:szCs w:val="28"/>
        </w:rPr>
        <w:t>о</w:t>
      </w:r>
      <w:r w:rsidR="00613E24" w:rsidRPr="002145E1">
        <w:rPr>
          <w:rFonts w:ascii="Times New Roman" w:hAnsi="Times New Roman" w:cs="Times New Roman"/>
          <w:sz w:val="28"/>
          <w:szCs w:val="28"/>
        </w:rPr>
        <w:t xml:space="preserve"> та заподіяння майнової шкоди лише таким способом їх вчинення, як обман</w:t>
      </w:r>
      <w:r w:rsidRPr="002145E1">
        <w:rPr>
          <w:rFonts w:ascii="Times New Roman" w:hAnsi="Times New Roman" w:cs="Times New Roman"/>
          <w:sz w:val="28"/>
          <w:szCs w:val="28"/>
        </w:rPr>
        <w:t>. Обгрунтована доцільність</w:t>
      </w:r>
      <w:r w:rsidR="00613E24" w:rsidRPr="002145E1">
        <w:rPr>
          <w:rFonts w:ascii="Times New Roman" w:hAnsi="Times New Roman" w:cs="Times New Roman"/>
          <w:sz w:val="28"/>
          <w:szCs w:val="28"/>
        </w:rPr>
        <w:t xml:space="preserve"> позиціонування заподіяння майнової шкоди шляхом обману як кримінального правопорушення (кримінального проступку) у сфері господарської діяльності</w:t>
      </w:r>
      <w:r w:rsidRPr="002145E1">
        <w:rPr>
          <w:rFonts w:ascii="Times New Roman" w:hAnsi="Times New Roman" w:cs="Times New Roman"/>
          <w:sz w:val="28"/>
          <w:szCs w:val="28"/>
        </w:rPr>
        <w:t>.</w:t>
      </w:r>
    </w:p>
    <w:p w14:paraId="6C3B6310" w14:textId="77777777" w:rsidR="00895EA3" w:rsidRPr="002145E1" w:rsidRDefault="004D1029"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sz w:val="28"/>
          <w:szCs w:val="28"/>
        </w:rPr>
        <w:lastRenderedPageBreak/>
        <w:t xml:space="preserve">Зроблено висновок </w:t>
      </w:r>
      <w:r w:rsidR="00613E24" w:rsidRPr="002145E1">
        <w:rPr>
          <w:rFonts w:ascii="Times New Roman" w:hAnsi="Times New Roman" w:cs="Times New Roman"/>
          <w:sz w:val="28"/>
          <w:szCs w:val="28"/>
        </w:rPr>
        <w:t>щодо необхідності визначення кримінально-правової природи незаконного заволодіння транспортним засобом як злочину проти власності.</w:t>
      </w:r>
    </w:p>
    <w:p w14:paraId="3D5445F0" w14:textId="7FE72A8E" w:rsidR="001F3EA0" w:rsidRPr="002145E1" w:rsidRDefault="001F3EA0" w:rsidP="009B2568">
      <w:pPr>
        <w:spacing w:after="0" w:line="360" w:lineRule="auto"/>
        <w:ind w:firstLine="567"/>
        <w:jc w:val="both"/>
        <w:rPr>
          <w:rFonts w:ascii="Times New Roman" w:hAnsi="Times New Roman" w:cs="Times New Roman"/>
          <w:sz w:val="28"/>
          <w:szCs w:val="28"/>
        </w:rPr>
      </w:pPr>
      <w:r w:rsidRPr="002145E1">
        <w:rPr>
          <w:rFonts w:ascii="Times New Roman" w:hAnsi="Times New Roman" w:cs="Times New Roman"/>
          <w:b/>
          <w:i/>
          <w:sz w:val="28"/>
          <w:szCs w:val="28"/>
        </w:rPr>
        <w:t>Ключові слова:</w:t>
      </w:r>
      <w:r w:rsidR="00D54707" w:rsidRPr="002145E1">
        <w:t xml:space="preserve"> </w:t>
      </w:r>
      <w:r w:rsidR="00D54707" w:rsidRPr="002145E1">
        <w:rPr>
          <w:rFonts w:ascii="Times New Roman" w:hAnsi="Times New Roman" w:cs="Times New Roman"/>
          <w:sz w:val="28"/>
          <w:szCs w:val="28"/>
        </w:rPr>
        <w:t>викрадення у кримінальному праві, розкрадання у кримінальному праві, форми розкрадання у кримінальному праві.</w:t>
      </w:r>
    </w:p>
    <w:p w14:paraId="650BDC08" w14:textId="77777777" w:rsidR="001F3EA0" w:rsidRDefault="001F3EA0" w:rsidP="009B2568">
      <w:pPr>
        <w:spacing w:after="0" w:line="360" w:lineRule="auto"/>
        <w:ind w:firstLine="567"/>
        <w:jc w:val="both"/>
        <w:rPr>
          <w:rFonts w:ascii="Times New Roman" w:hAnsi="Times New Roman" w:cs="Times New Roman"/>
          <w:b/>
          <w:i/>
          <w:sz w:val="28"/>
          <w:szCs w:val="28"/>
        </w:rPr>
      </w:pPr>
    </w:p>
    <w:p w14:paraId="26DCB1D2" w14:textId="77777777" w:rsidR="00380A63" w:rsidRPr="00A01D84" w:rsidRDefault="00380A63" w:rsidP="009B2568">
      <w:pPr>
        <w:spacing w:after="0" w:line="360" w:lineRule="auto"/>
        <w:ind w:firstLine="567"/>
        <w:jc w:val="center"/>
        <w:rPr>
          <w:rFonts w:ascii="Times New Roman" w:hAnsi="Times New Roman" w:cs="Times New Roman"/>
          <w:b/>
          <w:sz w:val="28"/>
          <w:szCs w:val="28"/>
        </w:rPr>
      </w:pPr>
      <w:r w:rsidRPr="00A01D84">
        <w:rPr>
          <w:rFonts w:ascii="Times New Roman" w:hAnsi="Times New Roman" w:cs="Times New Roman"/>
          <w:b/>
          <w:sz w:val="28"/>
          <w:szCs w:val="28"/>
        </w:rPr>
        <w:t>SUMMARY</w:t>
      </w:r>
    </w:p>
    <w:p w14:paraId="7B9E7A69" w14:textId="77777777" w:rsidR="00380A63" w:rsidRDefault="00380A63" w:rsidP="009B2568">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Tatarkevych</w:t>
      </w:r>
      <w:r w:rsidRPr="00A01D84">
        <w:rPr>
          <w:rFonts w:ascii="Times New Roman" w:hAnsi="Times New Roman" w:cs="Times New Roman"/>
          <w:b/>
          <w:sz w:val="28"/>
          <w:szCs w:val="28"/>
        </w:rPr>
        <w:t xml:space="preserve"> </w:t>
      </w:r>
      <w:r>
        <w:rPr>
          <w:rFonts w:ascii="Times New Roman" w:hAnsi="Times New Roman" w:cs="Times New Roman"/>
          <w:b/>
          <w:sz w:val="28"/>
          <w:szCs w:val="28"/>
        </w:rPr>
        <w:t>Y</w:t>
      </w:r>
      <w:r w:rsidRPr="00A01D84">
        <w:rPr>
          <w:rFonts w:ascii="Times New Roman" w:hAnsi="Times New Roman" w:cs="Times New Roman"/>
          <w:b/>
          <w:sz w:val="28"/>
          <w:szCs w:val="28"/>
        </w:rPr>
        <w:t>.</w:t>
      </w:r>
      <w:r>
        <w:rPr>
          <w:rFonts w:ascii="Times New Roman" w:hAnsi="Times New Roman" w:cs="Times New Roman"/>
          <w:b/>
          <w:sz w:val="28"/>
          <w:szCs w:val="28"/>
        </w:rPr>
        <w:t xml:space="preserve"> O</w:t>
      </w:r>
      <w:r w:rsidRPr="00A01D84">
        <w:rPr>
          <w:rFonts w:ascii="Times New Roman" w:hAnsi="Times New Roman" w:cs="Times New Roman"/>
          <w:b/>
          <w:sz w:val="28"/>
          <w:szCs w:val="28"/>
        </w:rPr>
        <w:t xml:space="preserve">. </w:t>
      </w:r>
      <w:r>
        <w:rPr>
          <w:rFonts w:ascii="Times New Roman" w:hAnsi="Times New Roman" w:cs="Times New Roman"/>
          <w:b/>
          <w:sz w:val="28"/>
          <w:szCs w:val="28"/>
        </w:rPr>
        <w:t>Abduction in the criminal law of Ukraine: notion and forms.</w:t>
      </w:r>
      <w:r>
        <w:rPr>
          <w:rFonts w:ascii="Times New Roman" w:hAnsi="Times New Roman" w:cs="Times New Roman"/>
          <w:sz w:val="28"/>
          <w:szCs w:val="28"/>
        </w:rPr>
        <w:t xml:space="preserve"> </w:t>
      </w:r>
      <w:r>
        <w:rPr>
          <w:rFonts w:ascii="Times New Roman" w:hAnsi="Times New Roman" w:cs="Times New Roman"/>
          <w:b/>
          <w:sz w:val="28"/>
          <w:szCs w:val="28"/>
        </w:rPr>
        <w:t>–</w:t>
      </w:r>
      <w:r>
        <w:rPr>
          <w:rFonts w:ascii="Times New Roman" w:hAnsi="Times New Roman" w:cs="Times New Roman"/>
          <w:sz w:val="28"/>
          <w:szCs w:val="28"/>
        </w:rPr>
        <w:t xml:space="preserve"> Research paper (manuscript). PhD thesis in Law, major 081 – Law. National University ‘Odessa Law Academy’, Odessa, 2022.</w:t>
      </w:r>
    </w:p>
    <w:p w14:paraId="09CB0609"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The dissertation is the first special complex research in Ukraine where the need to both abandon the use of the notion of abduction for characterizing violations against property and introduce the notion of embezzlement and identify its forms in the Criminal Code of Ukraine (hereinafter – the CC).</w:t>
      </w:r>
    </w:p>
    <w:p w14:paraId="4CB32C5C"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Based on the analysis of criminal law norms on abduction in historical retrospective it is found that it was the first concept that served as a synthesizing function encompassing only those ways to influence the subject of the crime were in illegal removal of property from the possession of the owner in a purely physical sense (robbery, looting, thefts, and fraud). It is stated that at the end of the 19th and beginning of the 20th century the concept gradually loses its synthesizing status and in the mid-1950s a new concept emerges to replace it – embezzlement that encompasses all methods of illegal removal of the property, including those related to the removal of someone’s property from the real assets of the owner or legal owner, not limited to its physical seizure. It is concluded that from that moment the abduction and embezzlement were deemed as a part of a whole within the framework of criminal law and under no circumstances could be regarded as identical.</w:t>
      </w:r>
    </w:p>
    <w:p w14:paraId="10B99BE4"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 xml:space="preserve">It is stated that there are two main approaches in international practice on the regulation of criminal liability for violations against property (property infringements) associated with taking by the offender of another’s property in one’s favor or favor of third parties. The first one is based on the idea of the need of </w:t>
      </w:r>
      <w:r w:rsidRPr="001C0929">
        <w:rPr>
          <w:rFonts w:ascii="Times New Roman" w:hAnsi="Times New Roman" w:cs="Times New Roman"/>
          <w:sz w:val="28"/>
          <w:szCs w:val="28"/>
        </w:rPr>
        <w:lastRenderedPageBreak/>
        <w:t>creating a synthesizing concept that would encompass all present and potential means of final (i.e. ‘permanent’) possession of another’s property, revealing their common features and, at the same time, without depriving specific features. This approach was practiced by the domestic legislature until the early 2000s and is practiced by the legislators of some states, trying to give this concept a normative status. In foreign legislation the tendency to create a certain collective concept that could be used to describe property encroachments, if any, has not been further developed.</w:t>
      </w:r>
    </w:p>
    <w:p w14:paraId="3B9E44D5"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Another approach is based on casuistic principles where a legislator, directly in the norms of the criminal law, tries to thoroughly describe certain features of specific violations against property, considering not only the criminal law but also the forensic features of the commission. The absence of the generic concept with this approach precludes ‘generic’ clarity of protected relations, does not allow explicitly delimit infringement on such relations from related concepts, and contributes to unreasonable growth in several special criminal offenses.</w:t>
      </w:r>
    </w:p>
    <w:p w14:paraId="41C37266"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proved that the concept of abduction present in the CC has threefold nature. It 1) is a part of actus reus of both a theft and a robbery; 2) serves as a collective function for characterizing certain criminal offenses against public safety, public health, the authority of government, local government or associations of citizens, established procedure of military service, encompassing a theft and a robbery and sometimes and a robbery accompanied with violence, and even brigandism; 3) is a part of actus reus of a certain criminal offense against the liberty of a person.</w:t>
      </w:r>
    </w:p>
    <w:p w14:paraId="020896CA"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concluded that all three options of using the concept in the current CC are unsuccessful which determines the expediency of abandoning to use it both in the description of infringements on property relations and in the description of substantive infringements on other objects protected by the CC. The concept of abduction can describe certain infringements against the liberty of a person provided it is filled with new criminal law meaning where the abduction of a person is accompanied by coercion, fraud, or committed by taking advantage of the victim's helpless condition serves as a basis of the concept.</w:t>
      </w:r>
    </w:p>
    <w:p w14:paraId="1E8D6DCB"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lastRenderedPageBreak/>
        <w:t>It is proved that the definition of the concept of abduction through such categories as seizure and conversion, which are very common in modern domestic theory of criminal law, is unfounded. Abduction, seizure, and conversion cannot be regarded as similar concepts since they are qualitatively different ways of encroaching on property and other protected objects. It is established that from the positions of the current CC abduction is only an illegal gratuitous physical seizure of another's property or other objects, regardless of the presence or absence of grounds for possession of the latter, committed by theft and non-violent robbery. Thus it’s not a synonym to seizure or conversion and cannot, under any circumstances, serve as a generic concept.</w:t>
      </w:r>
    </w:p>
    <w:p w14:paraId="32B9D73F"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stated that under the forms of abduction, seizure, and conversion, one should understand those techniques and methods that are significant from the criminal law point of view, with the help of which an encroachment on a property or other objects protected by the CC is carried out.</w:t>
      </w:r>
    </w:p>
    <w:p w14:paraId="1E8355D8" w14:textId="77777777" w:rsidR="00380A63" w:rsidRDefault="00380A63" w:rsidP="009B25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It is proved that abduction and unauthorized use are mutually exclusive concepts, for which it is proposed to change the content and legal nature of the action provided for by Art. 188-1 of the CC.</w:t>
      </w:r>
    </w:p>
    <w:p w14:paraId="2F80FDA9"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substantiated that the further development of national criminal legislation regarding infringement of property should be associated with the return to the criminal legal plane of such a concept as embezzlement. It is concluded that the concept of embezzlement should receive legal status.</w:t>
      </w:r>
    </w:p>
    <w:p w14:paraId="02900D19"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argued that an abduction is a form of embezzlement along with theft, robbery, brigandism, fraud, misappropriation, embezzlement, or conversion of property by malversation provided by the Art. 189 Para. 1 of the CC is subject to amendment. Issues regarding forms of embezzlement should also be resolved at the legislative level.</w:t>
      </w:r>
    </w:p>
    <w:p w14:paraId="6B531D3F"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 xml:space="preserve">It is proved that there is a need to amend the legislative construction of abduction by repealing the indication on the demand to perform any actions of a property nature and supplement the dispositions of the relevant norm with an </w:t>
      </w:r>
      <w:r w:rsidRPr="001C0929">
        <w:rPr>
          <w:rFonts w:ascii="Times New Roman" w:hAnsi="Times New Roman" w:cs="Times New Roman"/>
          <w:sz w:val="28"/>
          <w:szCs w:val="28"/>
        </w:rPr>
        <w:lastRenderedPageBreak/>
        <w:t>indication of the restriction of the rights and freedoms or legitimate interests of the victim or his/her close relatives.</w:t>
      </w:r>
    </w:p>
    <w:p w14:paraId="6E95D752"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was determined that it would be expedient to change the content of the right to property by supplementing the dispositions of the rules on fraud and extortion with an indication of someone else's real estate.</w:t>
      </w:r>
    </w:p>
    <w:p w14:paraId="0572690B"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proposed to improve the disposition of Art. 191 Para 1 of the CC by limiting the subject of appropriation or embezzlement only to someone else's property, which was entrusted to the guilty person, as well as the disposition of Art. 388 Para. 1 of the CC by abolishing the usage of the terminology characteristic to theft, in particular, the abolition of indications of embezzlement and property that is entrusted to the person.</w:t>
      </w:r>
    </w:p>
    <w:p w14:paraId="11346F0A"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The expediency of supplementing Section VI of the Special Part of the CC with a separate rule on responsibility for violating the legal procedure for acquiring property rights or legal possession of the property is proved.</w:t>
      </w:r>
    </w:p>
    <w:p w14:paraId="23949446"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proved to abandon the usage of the notion of an attack when defining brigandism.</w:t>
      </w:r>
    </w:p>
    <w:p w14:paraId="1608F967"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It is proposed to limit fraud and infliction of property damage only in such a way as deception. The expediency of positioning the infliction of property damage by deception as a criminal offense (criminal misdemeanor) in the field of economic activity is substantiated.</w:t>
      </w:r>
    </w:p>
    <w:p w14:paraId="7154B231" w14:textId="77777777" w:rsidR="00380A63" w:rsidRDefault="00380A63" w:rsidP="009B2568">
      <w:pPr>
        <w:spacing w:after="0" w:line="360" w:lineRule="auto"/>
        <w:ind w:firstLine="567"/>
        <w:jc w:val="both"/>
        <w:rPr>
          <w:rFonts w:ascii="Times New Roman" w:hAnsi="Times New Roman" w:cs="Times New Roman"/>
          <w:sz w:val="28"/>
          <w:szCs w:val="28"/>
        </w:rPr>
      </w:pPr>
      <w:r w:rsidRPr="001C0929">
        <w:rPr>
          <w:rFonts w:ascii="Times New Roman" w:hAnsi="Times New Roman" w:cs="Times New Roman"/>
          <w:sz w:val="28"/>
          <w:szCs w:val="28"/>
        </w:rPr>
        <w:t>The conclusion is made on the need to determine the criminal nature of illegal possession of a vehicle as a crime against property.</w:t>
      </w:r>
    </w:p>
    <w:p w14:paraId="5944F078" w14:textId="77777777" w:rsidR="00380A63" w:rsidRPr="00A01D84" w:rsidRDefault="00380A63" w:rsidP="009B2568">
      <w:pPr>
        <w:spacing w:after="0" w:line="360" w:lineRule="auto"/>
        <w:ind w:firstLine="567"/>
        <w:jc w:val="both"/>
        <w:rPr>
          <w:rFonts w:ascii="Times New Roman" w:hAnsi="Times New Roman" w:cs="Times New Roman"/>
          <w:sz w:val="28"/>
          <w:szCs w:val="28"/>
        </w:rPr>
      </w:pPr>
      <w:r w:rsidRPr="00E159EC">
        <w:rPr>
          <w:rFonts w:ascii="Times New Roman" w:hAnsi="Times New Roman" w:cs="Times New Roman"/>
          <w:b/>
          <w:sz w:val="28"/>
          <w:szCs w:val="28"/>
        </w:rPr>
        <w:t>Key words</w:t>
      </w:r>
      <w:r>
        <w:rPr>
          <w:rFonts w:ascii="Times New Roman" w:hAnsi="Times New Roman" w:cs="Times New Roman"/>
          <w:sz w:val="28"/>
          <w:szCs w:val="28"/>
        </w:rPr>
        <w:t>: abduction in criminal law, embezzlement in criminal law, forms of embezzlement in criminal law.</w:t>
      </w:r>
    </w:p>
    <w:p w14:paraId="2DD1F08B" w14:textId="77777777" w:rsidR="00F61058" w:rsidRDefault="00F61058" w:rsidP="009B2568">
      <w:pPr>
        <w:spacing w:after="0" w:line="360" w:lineRule="auto"/>
        <w:ind w:firstLine="567"/>
        <w:jc w:val="both"/>
        <w:rPr>
          <w:rFonts w:ascii="Times New Roman" w:hAnsi="Times New Roman" w:cs="Times New Roman"/>
          <w:b/>
          <w:i/>
          <w:sz w:val="28"/>
          <w:szCs w:val="28"/>
        </w:rPr>
      </w:pPr>
    </w:p>
    <w:p w14:paraId="1F9C4F2E" w14:textId="77777777" w:rsidR="007A2680" w:rsidRDefault="007A2680" w:rsidP="009B2568">
      <w:pPr>
        <w:spacing w:after="0" w:line="360" w:lineRule="auto"/>
        <w:ind w:firstLine="567"/>
        <w:jc w:val="center"/>
        <w:rPr>
          <w:rFonts w:ascii="Times New Roman" w:hAnsi="Times New Roman" w:cs="Times New Roman"/>
          <w:b/>
          <w:sz w:val="28"/>
          <w:szCs w:val="28"/>
        </w:rPr>
      </w:pPr>
    </w:p>
    <w:p w14:paraId="4A96493D" w14:textId="77777777" w:rsidR="007A2680" w:rsidRDefault="007A2680" w:rsidP="009B2568">
      <w:pPr>
        <w:spacing w:after="0" w:line="360" w:lineRule="auto"/>
        <w:ind w:firstLine="567"/>
        <w:jc w:val="center"/>
        <w:rPr>
          <w:rFonts w:ascii="Times New Roman" w:hAnsi="Times New Roman" w:cs="Times New Roman"/>
          <w:b/>
          <w:sz w:val="28"/>
          <w:szCs w:val="28"/>
        </w:rPr>
      </w:pPr>
    </w:p>
    <w:p w14:paraId="0284857A" w14:textId="77777777" w:rsidR="007A2680" w:rsidRDefault="007A2680" w:rsidP="009B2568">
      <w:pPr>
        <w:spacing w:after="0" w:line="360" w:lineRule="auto"/>
        <w:ind w:firstLine="567"/>
        <w:jc w:val="center"/>
        <w:rPr>
          <w:rFonts w:ascii="Times New Roman" w:hAnsi="Times New Roman" w:cs="Times New Roman"/>
          <w:b/>
          <w:sz w:val="28"/>
          <w:szCs w:val="28"/>
        </w:rPr>
      </w:pPr>
    </w:p>
    <w:p w14:paraId="31014468" w14:textId="77777777" w:rsidR="007A2680" w:rsidRDefault="007A2680" w:rsidP="009B2568">
      <w:pPr>
        <w:spacing w:after="0" w:line="360" w:lineRule="auto"/>
        <w:ind w:firstLine="567"/>
        <w:jc w:val="center"/>
        <w:rPr>
          <w:rFonts w:ascii="Times New Roman" w:hAnsi="Times New Roman" w:cs="Times New Roman"/>
          <w:b/>
          <w:sz w:val="28"/>
          <w:szCs w:val="28"/>
        </w:rPr>
      </w:pPr>
    </w:p>
    <w:p w14:paraId="39FC1EF4" w14:textId="77777777" w:rsidR="009B2568" w:rsidRDefault="009B2568" w:rsidP="009B2568">
      <w:pPr>
        <w:spacing w:after="160" w:line="259" w:lineRule="auto"/>
        <w:ind w:firstLine="567"/>
        <w:rPr>
          <w:rFonts w:ascii="Times New Roman" w:hAnsi="Times New Roman" w:cs="Times New Roman"/>
          <w:b/>
          <w:sz w:val="28"/>
          <w:szCs w:val="28"/>
        </w:rPr>
      </w:pPr>
      <w:r>
        <w:rPr>
          <w:rFonts w:ascii="Times New Roman" w:hAnsi="Times New Roman" w:cs="Times New Roman"/>
          <w:b/>
          <w:sz w:val="28"/>
          <w:szCs w:val="28"/>
        </w:rPr>
        <w:br w:type="page"/>
      </w:r>
    </w:p>
    <w:p w14:paraId="68D52CB7" w14:textId="57A3979C" w:rsidR="007A2680" w:rsidRPr="007A2680" w:rsidRDefault="007A2680" w:rsidP="009B2568">
      <w:pPr>
        <w:spacing w:after="0" w:line="360" w:lineRule="auto"/>
        <w:ind w:firstLine="567"/>
        <w:jc w:val="center"/>
        <w:rPr>
          <w:rFonts w:ascii="Times New Roman" w:hAnsi="Times New Roman" w:cs="Times New Roman"/>
          <w:b/>
          <w:sz w:val="28"/>
          <w:szCs w:val="28"/>
        </w:rPr>
      </w:pPr>
      <w:r w:rsidRPr="007A2680">
        <w:rPr>
          <w:rFonts w:ascii="Times New Roman" w:hAnsi="Times New Roman" w:cs="Times New Roman"/>
          <w:b/>
          <w:sz w:val="28"/>
          <w:szCs w:val="28"/>
        </w:rPr>
        <w:lastRenderedPageBreak/>
        <w:t>СПИСОК ПУБЛІКАЦІЙ ЗДОБУВАЧА</w:t>
      </w:r>
    </w:p>
    <w:p w14:paraId="55214F35" w14:textId="77777777" w:rsidR="007A2680" w:rsidRPr="007A2680" w:rsidRDefault="007A2680" w:rsidP="009B2568">
      <w:pPr>
        <w:spacing w:after="0" w:line="360" w:lineRule="auto"/>
        <w:ind w:firstLine="567"/>
        <w:jc w:val="center"/>
        <w:rPr>
          <w:rFonts w:ascii="Times New Roman" w:hAnsi="Times New Roman" w:cs="Times New Roman"/>
          <w:i/>
          <w:sz w:val="28"/>
          <w:szCs w:val="28"/>
        </w:rPr>
      </w:pPr>
      <w:r w:rsidRPr="007A2680">
        <w:rPr>
          <w:rFonts w:ascii="Times New Roman" w:hAnsi="Times New Roman" w:cs="Times New Roman"/>
          <w:i/>
          <w:sz w:val="28"/>
          <w:szCs w:val="28"/>
        </w:rPr>
        <w:t>Список публікацій здобувача, в яких опубліковано основні наукові</w:t>
      </w:r>
    </w:p>
    <w:p w14:paraId="79E87F37" w14:textId="77777777" w:rsidR="007A2680" w:rsidRPr="007A2680" w:rsidRDefault="007A2680" w:rsidP="009B2568">
      <w:pPr>
        <w:spacing w:after="0" w:line="360" w:lineRule="auto"/>
        <w:ind w:firstLine="567"/>
        <w:jc w:val="center"/>
        <w:rPr>
          <w:rFonts w:ascii="Times New Roman" w:hAnsi="Times New Roman" w:cs="Times New Roman"/>
          <w:i/>
          <w:sz w:val="28"/>
          <w:szCs w:val="28"/>
        </w:rPr>
      </w:pPr>
      <w:r w:rsidRPr="007A2680">
        <w:rPr>
          <w:rFonts w:ascii="Times New Roman" w:hAnsi="Times New Roman" w:cs="Times New Roman"/>
          <w:i/>
          <w:sz w:val="28"/>
          <w:szCs w:val="28"/>
        </w:rPr>
        <w:t>результати дисертації</w:t>
      </w:r>
      <w:r w:rsidRPr="007A2680">
        <w:rPr>
          <w:rFonts w:ascii="Times New Roman" w:hAnsi="Times New Roman" w:cs="Times New Roman"/>
          <w:i/>
          <w:sz w:val="28"/>
          <w:szCs w:val="28"/>
        </w:rPr>
        <w:cr/>
      </w:r>
    </w:p>
    <w:p w14:paraId="0B71ECE4" w14:textId="677078B5" w:rsidR="007A2680" w:rsidRPr="007A2680" w:rsidRDefault="007A2680" w:rsidP="009B2568">
      <w:pPr>
        <w:pStyle w:val="a4"/>
        <w:numPr>
          <w:ilvl w:val="0"/>
          <w:numId w:val="1"/>
        </w:numPr>
        <w:tabs>
          <w:tab w:val="left" w:pos="1134"/>
        </w:tabs>
        <w:spacing w:line="360" w:lineRule="auto"/>
        <w:ind w:left="0" w:firstLine="567"/>
        <w:jc w:val="both"/>
        <w:rPr>
          <w:rFonts w:ascii="Times New Roman" w:hAnsi="Times New Roman" w:cs="Times New Roman"/>
          <w:sz w:val="28"/>
          <w:szCs w:val="28"/>
          <w:lang w:val="uk-UA"/>
        </w:rPr>
      </w:pPr>
      <w:r w:rsidRPr="007A2680">
        <w:rPr>
          <w:rFonts w:ascii="Times New Roman" w:eastAsiaTheme="minorEastAsia" w:hAnsi="Times New Roman" w:cs="Times New Roman"/>
          <w:sz w:val="28"/>
          <w:szCs w:val="28"/>
          <w:lang w:val="uk-UA"/>
        </w:rPr>
        <w:t xml:space="preserve">Татаркевич Я.О. Форми викрадення чужого майна за кримінальним законодавством України: історія та сучасний стан проблеми. </w:t>
      </w:r>
      <w:r w:rsidRPr="007A2680">
        <w:rPr>
          <w:rFonts w:ascii="Times New Roman" w:eastAsiaTheme="minorEastAsia" w:hAnsi="Times New Roman" w:cs="Times New Roman"/>
          <w:i/>
          <w:sz w:val="28"/>
          <w:szCs w:val="28"/>
          <w:lang w:val="uk-UA"/>
        </w:rPr>
        <w:t>Науковий вісник Ужгородського національного університету. Серія Право.</w:t>
      </w:r>
      <w:r w:rsidRPr="007A2680">
        <w:rPr>
          <w:rFonts w:ascii="Times New Roman" w:eastAsiaTheme="minorEastAsia" w:hAnsi="Times New Roman" w:cs="Times New Roman"/>
          <w:sz w:val="28"/>
          <w:szCs w:val="28"/>
          <w:lang w:val="uk-UA"/>
        </w:rPr>
        <w:t xml:space="preserve"> </w:t>
      </w:r>
      <w:r w:rsidR="009B2568">
        <w:rPr>
          <w:rFonts w:ascii="Times New Roman" w:eastAsiaTheme="minorEastAsia" w:hAnsi="Times New Roman" w:cs="Times New Roman"/>
          <w:sz w:val="28"/>
          <w:szCs w:val="28"/>
          <w:lang w:val="uk-UA"/>
        </w:rPr>
        <w:t xml:space="preserve">2017. </w:t>
      </w:r>
      <w:r w:rsidRPr="007A2680">
        <w:rPr>
          <w:rFonts w:ascii="Times New Roman" w:eastAsiaTheme="minorEastAsia" w:hAnsi="Times New Roman" w:cs="Times New Roman"/>
          <w:sz w:val="28"/>
          <w:szCs w:val="28"/>
          <w:lang w:val="uk-UA"/>
        </w:rPr>
        <w:t>Вип. 43. Т. 3. С. 196-205.</w:t>
      </w:r>
    </w:p>
    <w:p w14:paraId="22757EBF" w14:textId="77777777" w:rsidR="007A2680" w:rsidRPr="007A2680" w:rsidRDefault="007A2680" w:rsidP="009B2568">
      <w:pPr>
        <w:pStyle w:val="a3"/>
        <w:numPr>
          <w:ilvl w:val="0"/>
          <w:numId w:val="1"/>
        </w:numPr>
        <w:tabs>
          <w:tab w:val="left" w:pos="1134"/>
        </w:tabs>
        <w:spacing w:before="0" w:beforeAutospacing="0" w:after="0" w:afterAutospacing="0" w:line="360" w:lineRule="auto"/>
        <w:ind w:left="0" w:firstLine="567"/>
        <w:jc w:val="both"/>
      </w:pPr>
      <w:r w:rsidRPr="00362136">
        <w:rPr>
          <w:rFonts w:eastAsiaTheme="minorEastAsia"/>
          <w:sz w:val="28"/>
          <w:szCs w:val="28"/>
        </w:rPr>
        <w:t xml:space="preserve">Татаркевич Я.О. Викрадення як кримінально-правове поняття. </w:t>
      </w:r>
      <w:r w:rsidRPr="00362136">
        <w:rPr>
          <w:rFonts w:eastAsiaTheme="minorEastAsia"/>
          <w:i/>
          <w:sz w:val="28"/>
          <w:szCs w:val="28"/>
        </w:rPr>
        <w:t>Прикарпатський юридичний вісник.</w:t>
      </w:r>
      <w:r>
        <w:rPr>
          <w:rFonts w:eastAsiaTheme="minorEastAsia"/>
          <w:sz w:val="28"/>
          <w:szCs w:val="28"/>
        </w:rPr>
        <w:t xml:space="preserve"> 2018. Вип.</w:t>
      </w:r>
      <w:r w:rsidRPr="00362136">
        <w:rPr>
          <w:rFonts w:eastAsiaTheme="minorEastAsia"/>
          <w:sz w:val="28"/>
          <w:szCs w:val="28"/>
        </w:rPr>
        <w:t xml:space="preserve"> 1</w:t>
      </w:r>
      <w:r>
        <w:rPr>
          <w:rFonts w:eastAsiaTheme="minorEastAsia"/>
          <w:sz w:val="28"/>
          <w:szCs w:val="28"/>
        </w:rPr>
        <w:t xml:space="preserve"> (22)</w:t>
      </w:r>
      <w:r w:rsidRPr="00362136">
        <w:rPr>
          <w:rFonts w:eastAsiaTheme="minorEastAsia"/>
          <w:sz w:val="28"/>
          <w:szCs w:val="28"/>
        </w:rPr>
        <w:t>. Т. 2.</w:t>
      </w:r>
      <w:r>
        <w:rPr>
          <w:rFonts w:eastAsiaTheme="minorEastAsia"/>
          <w:sz w:val="28"/>
          <w:szCs w:val="28"/>
        </w:rPr>
        <w:t xml:space="preserve"> С. 141-147.</w:t>
      </w:r>
      <w:r w:rsidRPr="00362136">
        <w:rPr>
          <w:rFonts w:eastAsiaTheme="minorEastAsia"/>
          <w:sz w:val="28"/>
          <w:szCs w:val="28"/>
        </w:rPr>
        <w:t xml:space="preserve"> </w:t>
      </w:r>
    </w:p>
    <w:p w14:paraId="7508B693" w14:textId="77777777" w:rsidR="007A2680" w:rsidRPr="007A2680" w:rsidRDefault="007A2680" w:rsidP="009B2568">
      <w:pPr>
        <w:pStyle w:val="a3"/>
        <w:numPr>
          <w:ilvl w:val="0"/>
          <w:numId w:val="1"/>
        </w:numPr>
        <w:tabs>
          <w:tab w:val="left" w:pos="1134"/>
        </w:tabs>
        <w:spacing w:before="0" w:beforeAutospacing="0" w:after="0" w:afterAutospacing="0" w:line="360" w:lineRule="auto"/>
        <w:ind w:left="0" w:firstLine="567"/>
        <w:jc w:val="both"/>
      </w:pPr>
      <w:r w:rsidRPr="00C42995">
        <w:rPr>
          <w:color w:val="000000"/>
          <w:sz w:val="28"/>
          <w:szCs w:val="28"/>
        </w:rPr>
        <w:t>Татаркевич Я.О. Злов</w:t>
      </w:r>
      <w:r>
        <w:rPr>
          <w:color w:val="000000"/>
          <w:sz w:val="28"/>
          <w:szCs w:val="28"/>
        </w:rPr>
        <w:t xml:space="preserve">живання службовим становищем як </w:t>
      </w:r>
      <w:r w:rsidRPr="00C42995">
        <w:rPr>
          <w:color w:val="000000"/>
          <w:sz w:val="28"/>
          <w:szCs w:val="28"/>
        </w:rPr>
        <w:t xml:space="preserve">спосіб заволодіння чужим майном. </w:t>
      </w:r>
      <w:r w:rsidRPr="00B8614F">
        <w:rPr>
          <w:i/>
          <w:iCs/>
          <w:color w:val="000000"/>
          <w:sz w:val="28"/>
          <w:szCs w:val="28"/>
        </w:rPr>
        <w:t>Право і суспільство</w:t>
      </w:r>
      <w:r w:rsidRPr="00C42995">
        <w:rPr>
          <w:color w:val="000000"/>
          <w:sz w:val="28"/>
          <w:szCs w:val="28"/>
        </w:rPr>
        <w:t xml:space="preserve">. 2019. № 3. </w:t>
      </w:r>
      <w:r>
        <w:rPr>
          <w:color w:val="000000"/>
          <w:sz w:val="28"/>
          <w:szCs w:val="28"/>
        </w:rPr>
        <w:t>С. 241-249.</w:t>
      </w:r>
      <w:r w:rsidRPr="00C42995">
        <w:rPr>
          <w:color w:val="000000"/>
          <w:sz w:val="28"/>
          <w:szCs w:val="28"/>
        </w:rPr>
        <w:t xml:space="preserve">. </w:t>
      </w:r>
    </w:p>
    <w:p w14:paraId="142A92E1" w14:textId="6A510AEE" w:rsidR="007A2680" w:rsidRPr="007A2680" w:rsidRDefault="007A2680" w:rsidP="009B2568">
      <w:pPr>
        <w:pStyle w:val="a3"/>
        <w:numPr>
          <w:ilvl w:val="0"/>
          <w:numId w:val="1"/>
        </w:numPr>
        <w:tabs>
          <w:tab w:val="left" w:pos="1134"/>
        </w:tabs>
        <w:spacing w:before="0" w:beforeAutospacing="0" w:after="0" w:afterAutospacing="0" w:line="360" w:lineRule="auto"/>
        <w:ind w:left="0" w:firstLine="567"/>
        <w:jc w:val="both"/>
      </w:pPr>
      <w:r w:rsidRPr="007A2680">
        <w:rPr>
          <w:rFonts w:eastAsiaTheme="minorEastAsia"/>
          <w:sz w:val="28"/>
          <w:szCs w:val="28"/>
        </w:rPr>
        <w:t xml:space="preserve">Татаркевич Я.О.  Викрадення як злочин проти волі особи. </w:t>
      </w:r>
      <w:r w:rsidRPr="007A2680">
        <w:rPr>
          <w:rFonts w:eastAsiaTheme="minorEastAsia"/>
          <w:i/>
          <w:sz w:val="28"/>
          <w:szCs w:val="28"/>
        </w:rPr>
        <w:t xml:space="preserve">Актуальні проблеми вітчизняної юриспруденції. </w:t>
      </w:r>
      <w:r w:rsidRPr="007A2680">
        <w:rPr>
          <w:rFonts w:eastAsiaTheme="minorEastAsia"/>
          <w:sz w:val="28"/>
          <w:szCs w:val="28"/>
        </w:rPr>
        <w:t>2019. № 3. С. 143-149.</w:t>
      </w:r>
    </w:p>
    <w:p w14:paraId="12F3A1C4" w14:textId="77777777" w:rsidR="007A2680" w:rsidRDefault="007A2680" w:rsidP="009B2568">
      <w:pPr>
        <w:pStyle w:val="a4"/>
        <w:tabs>
          <w:tab w:val="left" w:pos="1134"/>
        </w:tabs>
        <w:spacing w:line="360" w:lineRule="auto"/>
        <w:ind w:left="0" w:firstLine="567"/>
        <w:rPr>
          <w:rFonts w:ascii="Times New Roman" w:hAnsi="Times New Roman" w:cs="Times New Roman"/>
          <w:i/>
          <w:sz w:val="28"/>
          <w:szCs w:val="28"/>
          <w:lang w:val="uk-UA"/>
        </w:rPr>
      </w:pPr>
    </w:p>
    <w:p w14:paraId="07B52B5A" w14:textId="77777777" w:rsidR="007A2680" w:rsidRPr="007A2680" w:rsidRDefault="007A2680" w:rsidP="009B2568">
      <w:pPr>
        <w:pStyle w:val="a4"/>
        <w:tabs>
          <w:tab w:val="left" w:pos="1134"/>
        </w:tabs>
        <w:spacing w:line="360" w:lineRule="auto"/>
        <w:ind w:left="0" w:firstLine="567"/>
        <w:rPr>
          <w:rFonts w:ascii="Times New Roman" w:hAnsi="Times New Roman" w:cs="Times New Roman"/>
          <w:i/>
          <w:sz w:val="28"/>
          <w:szCs w:val="28"/>
          <w:lang w:val="uk-UA"/>
        </w:rPr>
      </w:pPr>
      <w:r w:rsidRPr="007A2680">
        <w:rPr>
          <w:rFonts w:ascii="Times New Roman" w:hAnsi="Times New Roman" w:cs="Times New Roman"/>
          <w:i/>
          <w:sz w:val="28"/>
          <w:szCs w:val="28"/>
          <w:lang w:val="uk-UA"/>
        </w:rPr>
        <w:t>Список публікацій здобувача, що засвідчують апробацію матеріалів</w:t>
      </w:r>
    </w:p>
    <w:p w14:paraId="4C4CD9F6" w14:textId="77777777" w:rsidR="007A2680" w:rsidRPr="007A2680" w:rsidRDefault="007A2680" w:rsidP="009B2568">
      <w:pPr>
        <w:pStyle w:val="a4"/>
        <w:tabs>
          <w:tab w:val="left" w:pos="1134"/>
        </w:tabs>
        <w:spacing w:line="360" w:lineRule="auto"/>
        <w:ind w:left="0" w:firstLine="567"/>
        <w:rPr>
          <w:rFonts w:ascii="Times New Roman" w:hAnsi="Times New Roman" w:cs="Times New Roman"/>
          <w:i/>
          <w:sz w:val="28"/>
          <w:szCs w:val="28"/>
        </w:rPr>
      </w:pPr>
      <w:r w:rsidRPr="007A2680">
        <w:rPr>
          <w:rFonts w:ascii="Times New Roman" w:hAnsi="Times New Roman" w:cs="Times New Roman"/>
          <w:i/>
          <w:sz w:val="28"/>
          <w:szCs w:val="28"/>
        </w:rPr>
        <w:t>дисертації та додатково відображають її наукові результати</w:t>
      </w:r>
    </w:p>
    <w:p w14:paraId="6BB081DE" w14:textId="55285797" w:rsidR="007A2680" w:rsidRPr="007A2680" w:rsidRDefault="007A2680" w:rsidP="009B2568">
      <w:pPr>
        <w:pStyle w:val="a3"/>
        <w:tabs>
          <w:tab w:val="left" w:pos="1134"/>
        </w:tabs>
        <w:spacing w:before="0" w:beforeAutospacing="0" w:after="0" w:afterAutospacing="0" w:line="360" w:lineRule="auto"/>
        <w:ind w:firstLine="567"/>
        <w:jc w:val="both"/>
        <w:rPr>
          <w:color w:val="000000"/>
          <w:sz w:val="28"/>
          <w:szCs w:val="28"/>
          <w:lang w:val="ru-RU"/>
        </w:rPr>
      </w:pPr>
    </w:p>
    <w:p w14:paraId="3B2E9EDB" w14:textId="046F7D96" w:rsidR="007A2680" w:rsidRPr="007A2680" w:rsidRDefault="007A2680" w:rsidP="009B2568">
      <w:pPr>
        <w:pStyle w:val="a3"/>
        <w:numPr>
          <w:ilvl w:val="0"/>
          <w:numId w:val="1"/>
        </w:numPr>
        <w:tabs>
          <w:tab w:val="left" w:pos="1134"/>
        </w:tabs>
        <w:spacing w:before="0" w:beforeAutospacing="0" w:after="0" w:afterAutospacing="0" w:line="360" w:lineRule="auto"/>
        <w:ind w:left="0" w:firstLine="567"/>
        <w:jc w:val="both"/>
      </w:pPr>
      <w:r w:rsidRPr="002C6CC6">
        <w:rPr>
          <w:rFonts w:eastAsiaTheme="minorEastAsia"/>
          <w:sz w:val="28"/>
          <w:szCs w:val="28"/>
        </w:rPr>
        <w:t xml:space="preserve">Татаркевич Я.О. Форми викрадення: критерії класифікації. Правове життя сучасної України: у 2 Т.: матеріли Міжнарод. наук.-практ. конф. (м. Одеса, 17 травня 2019 р.) / відп. ред. Г.О. Ульянова. Одеса: Видавничий дім Гельветика, 2019. Т. 2. </w:t>
      </w:r>
      <w:r>
        <w:rPr>
          <w:rFonts w:eastAsiaTheme="minorEastAsia"/>
          <w:sz w:val="28"/>
          <w:szCs w:val="28"/>
        </w:rPr>
        <w:t xml:space="preserve">С. 238-240 </w:t>
      </w:r>
    </w:p>
    <w:p w14:paraId="1A77E55F" w14:textId="77777777" w:rsidR="009B2568" w:rsidRDefault="007A2680" w:rsidP="009B2568">
      <w:pPr>
        <w:pStyle w:val="a3"/>
        <w:numPr>
          <w:ilvl w:val="0"/>
          <w:numId w:val="1"/>
        </w:numPr>
        <w:tabs>
          <w:tab w:val="left" w:pos="1134"/>
        </w:tabs>
        <w:spacing w:before="0" w:beforeAutospacing="0" w:after="0" w:afterAutospacing="0" w:line="360" w:lineRule="auto"/>
        <w:ind w:left="0" w:firstLine="567"/>
        <w:jc w:val="both"/>
        <w:rPr>
          <w:b/>
          <w:i/>
          <w:sz w:val="28"/>
          <w:szCs w:val="28"/>
        </w:rPr>
      </w:pPr>
      <w:r w:rsidRPr="007A2680">
        <w:rPr>
          <w:color w:val="000000"/>
          <w:sz w:val="28"/>
          <w:szCs w:val="28"/>
        </w:rPr>
        <w:t>Татаркевич Я.О. Заволодіння чужим майном шляхом зловживання службовою особою своїм службовим становищем: поняття та ознаки. Кримінальне правопорушення: національний та зарубіжний виміри: матеріали Міжнарод. наук.-практ. конф. (24 травня 2019 р. м. Одеса). Одеса: Юридична література, 2019. С. 184-187.</w:t>
      </w:r>
    </w:p>
    <w:p w14:paraId="3A6B9FB7" w14:textId="7394D8B2" w:rsidR="009B2568" w:rsidRPr="009B2568" w:rsidRDefault="009B2568" w:rsidP="009B2568">
      <w:pPr>
        <w:pStyle w:val="a3"/>
        <w:numPr>
          <w:ilvl w:val="0"/>
          <w:numId w:val="1"/>
        </w:numPr>
        <w:tabs>
          <w:tab w:val="left" w:pos="1134"/>
        </w:tabs>
        <w:spacing w:before="0" w:beforeAutospacing="0" w:after="0" w:afterAutospacing="0" w:line="360" w:lineRule="auto"/>
        <w:ind w:left="0" w:firstLine="567"/>
        <w:jc w:val="both"/>
        <w:rPr>
          <w:sz w:val="28"/>
          <w:szCs w:val="28"/>
        </w:rPr>
      </w:pPr>
      <w:r w:rsidRPr="009B2568">
        <w:rPr>
          <w:sz w:val="28"/>
          <w:szCs w:val="28"/>
        </w:rPr>
        <w:t>Татаркевич Я. О. «Викрадення» та «розкрадання» як кримінально-правові</w:t>
      </w:r>
      <w:r w:rsidRPr="009B2568">
        <w:rPr>
          <w:sz w:val="28"/>
          <w:szCs w:val="28"/>
          <w:lang w:val="ru-RU"/>
        </w:rPr>
        <w:t xml:space="preserve"> </w:t>
      </w:r>
      <w:r w:rsidRPr="009B2568">
        <w:rPr>
          <w:sz w:val="28"/>
          <w:szCs w:val="28"/>
        </w:rPr>
        <w:t>поняття. Пра</w:t>
      </w:r>
      <w:r>
        <w:rPr>
          <w:sz w:val="28"/>
          <w:szCs w:val="28"/>
        </w:rPr>
        <w:t xml:space="preserve">вове життя сучасної України : </w:t>
      </w:r>
      <w:r w:rsidRPr="007A2680">
        <w:rPr>
          <w:color w:val="000000"/>
          <w:sz w:val="28"/>
          <w:szCs w:val="28"/>
        </w:rPr>
        <w:t>матеріали Міжнарод. наук.-</w:t>
      </w:r>
      <w:r w:rsidRPr="007A2680">
        <w:rPr>
          <w:color w:val="000000"/>
          <w:sz w:val="28"/>
          <w:szCs w:val="28"/>
        </w:rPr>
        <w:lastRenderedPageBreak/>
        <w:t>практ. конф.</w:t>
      </w:r>
      <w:r w:rsidRPr="009B2568">
        <w:rPr>
          <w:sz w:val="28"/>
          <w:szCs w:val="28"/>
        </w:rPr>
        <w:t xml:space="preserve"> (15 трав. 2020 р</w:t>
      </w:r>
      <w:r>
        <w:rPr>
          <w:sz w:val="28"/>
          <w:szCs w:val="28"/>
          <w:lang w:val="ru-RU"/>
        </w:rPr>
        <w:t>.</w:t>
      </w:r>
      <w:r w:rsidRPr="009B2568">
        <w:rPr>
          <w:sz w:val="28"/>
          <w:szCs w:val="28"/>
        </w:rPr>
        <w:t xml:space="preserve"> </w:t>
      </w:r>
      <w:r>
        <w:rPr>
          <w:sz w:val="28"/>
          <w:szCs w:val="28"/>
        </w:rPr>
        <w:t>м. Одеса</w:t>
      </w:r>
      <w:r w:rsidRPr="009B2568">
        <w:rPr>
          <w:sz w:val="28"/>
          <w:szCs w:val="28"/>
        </w:rPr>
        <w:t>) / відп. ред. М. Р. Аракелян</w:t>
      </w:r>
      <w:r>
        <w:rPr>
          <w:sz w:val="28"/>
          <w:szCs w:val="28"/>
          <w:lang w:val="ru-RU"/>
        </w:rPr>
        <w:t>.</w:t>
      </w:r>
      <w:r w:rsidRPr="009B2568">
        <w:rPr>
          <w:sz w:val="28"/>
          <w:szCs w:val="28"/>
        </w:rPr>
        <w:t xml:space="preserve"> </w:t>
      </w:r>
      <w:r w:rsidRPr="002C6CC6">
        <w:rPr>
          <w:rFonts w:eastAsiaTheme="minorEastAsia"/>
          <w:sz w:val="28"/>
          <w:szCs w:val="28"/>
        </w:rPr>
        <w:t>Одеса: Видавничий дім Гельветика, 20</w:t>
      </w:r>
      <w:r>
        <w:rPr>
          <w:rFonts w:eastAsiaTheme="minorEastAsia"/>
          <w:sz w:val="28"/>
          <w:szCs w:val="28"/>
          <w:lang w:val="ru-RU"/>
        </w:rPr>
        <w:t>20</w:t>
      </w:r>
      <w:r w:rsidRPr="002C6CC6">
        <w:rPr>
          <w:rFonts w:eastAsiaTheme="minorEastAsia"/>
          <w:sz w:val="28"/>
          <w:szCs w:val="28"/>
        </w:rPr>
        <w:t xml:space="preserve">. Т. </w:t>
      </w:r>
      <w:r>
        <w:rPr>
          <w:rFonts w:eastAsiaTheme="minorEastAsia"/>
          <w:sz w:val="28"/>
          <w:szCs w:val="28"/>
          <w:lang w:val="ru-RU"/>
        </w:rPr>
        <w:t>3</w:t>
      </w:r>
      <w:r w:rsidRPr="002C6CC6">
        <w:rPr>
          <w:rFonts w:eastAsiaTheme="minorEastAsia"/>
          <w:sz w:val="28"/>
          <w:szCs w:val="28"/>
        </w:rPr>
        <w:t>.</w:t>
      </w:r>
      <w:r w:rsidRPr="009B2568">
        <w:rPr>
          <w:sz w:val="28"/>
          <w:szCs w:val="28"/>
        </w:rPr>
        <w:t xml:space="preserve"> С. 190-193.</w:t>
      </w:r>
    </w:p>
    <w:sectPr w:rsidR="009B2568" w:rsidRPr="009B25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9F5EA7"/>
    <w:multiLevelType w:val="hybridMultilevel"/>
    <w:tmpl w:val="AB4E7CFA"/>
    <w:lvl w:ilvl="0" w:tplc="FB22D722">
      <w:start w:val="1"/>
      <w:numFmt w:val="decimal"/>
      <w:lvlText w:val="%1."/>
      <w:lvlJc w:val="left"/>
      <w:pPr>
        <w:ind w:left="1070" w:hanging="360"/>
      </w:pPr>
      <w:rPr>
        <w:rFonts w:ascii="Times New Roman" w:hAnsi="Times New Roman" w:cs="Times New Roman" w:hint="default"/>
        <w:b w:val="0"/>
        <w:i w:val="0"/>
        <w:sz w:val="28"/>
        <w:szCs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 w15:restartNumberingAfterBreak="0">
    <w:nsid w:val="76B832FC"/>
    <w:multiLevelType w:val="hybridMultilevel"/>
    <w:tmpl w:val="02DE5CEC"/>
    <w:lvl w:ilvl="0" w:tplc="526097C4">
      <w:start w:val="1"/>
      <w:numFmt w:val="decimal"/>
      <w:lvlText w:val="%1."/>
      <w:lvlJc w:val="left"/>
      <w:pPr>
        <w:ind w:left="1070" w:hanging="360"/>
      </w:pPr>
      <w:rPr>
        <w:rFonts w:hint="default"/>
        <w:b w:val="0"/>
        <w:i w:val="0"/>
        <w:color w:val="000000"/>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5DF"/>
    <w:rsid w:val="00140158"/>
    <w:rsid w:val="001F3EA0"/>
    <w:rsid w:val="002145E1"/>
    <w:rsid w:val="002544C0"/>
    <w:rsid w:val="00380A63"/>
    <w:rsid w:val="00423908"/>
    <w:rsid w:val="004D1029"/>
    <w:rsid w:val="00613E24"/>
    <w:rsid w:val="007A2680"/>
    <w:rsid w:val="00895EA3"/>
    <w:rsid w:val="008E688A"/>
    <w:rsid w:val="0091482C"/>
    <w:rsid w:val="009B2568"/>
    <w:rsid w:val="009B66AF"/>
    <w:rsid w:val="00C1559D"/>
    <w:rsid w:val="00CB65CE"/>
    <w:rsid w:val="00D54707"/>
    <w:rsid w:val="00D760F8"/>
    <w:rsid w:val="00DA15DF"/>
    <w:rsid w:val="00F610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0181E"/>
  <w15:chartTrackingRefBased/>
  <w15:docId w15:val="{94E01DD7-B0AB-4498-A5B9-0C6A8B475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3E24"/>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13E2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7A2680"/>
    <w:pPr>
      <w:spacing w:after="0" w:line="240" w:lineRule="auto"/>
      <w:ind w:left="720"/>
      <w:contextualSpacing/>
    </w:pPr>
    <w:rPr>
      <w:lang w:val="ru-RU"/>
    </w:rPr>
  </w:style>
  <w:style w:type="character" w:customStyle="1" w:styleId="docdata">
    <w:name w:val="docdata"/>
    <w:aliases w:val="docy,v5,4337,baiaagaaboqcaaadeakaaauxdqaaaaaaaaaaaaaaaaaaaaaaaaaaaaaaaaaaaaaaaaaaaaaaaaaaaaaaaaaaaaaaaaaaaaaaaaaaaaaaaaaaaaaaaaaaaaaaaaaaaaaaaaaaaaaaaaaaaaaaaaaaaaaaaaaaaaaaaaaaaaaaaaaaaaaaaaaaaaaaaaaaaaaaaaaaaaaaaaaaaaaaaaaaaaaaaaaaaaaaaaaaaaaa"/>
    <w:basedOn w:val="a0"/>
    <w:rsid w:val="007A26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2631</Words>
  <Characters>15003</Characters>
  <Application>Microsoft Office Word</Application>
  <DocSecurity>0</DocSecurity>
  <Lines>125</Lines>
  <Paragraphs>35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17599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Stepanenko</dc:creator>
  <cp:keywords/>
  <dc:description/>
  <cp:lastModifiedBy>Евгений</cp:lastModifiedBy>
  <cp:revision>2</cp:revision>
  <dcterms:created xsi:type="dcterms:W3CDTF">2022-01-14T08:15:00Z</dcterms:created>
  <dcterms:modified xsi:type="dcterms:W3CDTF">2022-01-14T08:15:00Z</dcterms:modified>
</cp:coreProperties>
</file>