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B8E" w:rsidRPr="00F76035" w:rsidRDefault="00CA7B8E" w:rsidP="001C0A4A">
      <w:pPr>
        <w:spacing w:after="0" w:line="360" w:lineRule="auto"/>
        <w:jc w:val="center"/>
        <w:rPr>
          <w:rFonts w:ascii="Times New Roman" w:hAnsi="Times New Roman" w:cs="Times New Roman"/>
          <w:b/>
          <w:caps/>
          <w:color w:val="000000"/>
          <w:sz w:val="28"/>
          <w:szCs w:val="28"/>
        </w:rPr>
      </w:pPr>
      <w:r w:rsidRPr="00F76035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Генезис норми про незаконне збагачення як фактор деформації </w:t>
      </w:r>
      <w:r w:rsidR="008C236C" w:rsidRPr="00F76035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механізму кримінально-правової протидії корупції</w:t>
      </w:r>
      <w:r w:rsidR="003A7ABB" w:rsidRPr="00F76035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в Україні</w:t>
      </w:r>
    </w:p>
    <w:p w:rsidR="00A343E5" w:rsidRPr="00694ED9" w:rsidRDefault="00A343E5" w:rsidP="00042197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94ED9">
        <w:rPr>
          <w:rFonts w:ascii="Times New Roman" w:hAnsi="Times New Roman" w:cs="Times New Roman"/>
          <w:b/>
          <w:color w:val="000000"/>
          <w:sz w:val="28"/>
          <w:szCs w:val="28"/>
        </w:rPr>
        <w:t>Михайленко Дмитро Григорович</w:t>
      </w:r>
    </w:p>
    <w:p w:rsidR="00A343E5" w:rsidRPr="001C0A4A" w:rsidRDefault="00A343E5" w:rsidP="00042197">
      <w:pPr>
        <w:spacing w:after="0" w:line="36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1C0A4A">
        <w:rPr>
          <w:rFonts w:ascii="Times New Roman" w:hAnsi="Times New Roman" w:cs="Times New Roman"/>
          <w:i/>
          <w:color w:val="000000"/>
          <w:sz w:val="28"/>
          <w:szCs w:val="28"/>
        </w:rPr>
        <w:t>Національн</w:t>
      </w:r>
      <w:r w:rsidR="00F01353" w:rsidRPr="001C0A4A">
        <w:rPr>
          <w:rFonts w:ascii="Times New Roman" w:hAnsi="Times New Roman" w:cs="Times New Roman"/>
          <w:i/>
          <w:color w:val="000000"/>
          <w:sz w:val="28"/>
          <w:szCs w:val="28"/>
        </w:rPr>
        <w:t>ий</w:t>
      </w:r>
      <w:r w:rsidRPr="001C0A4A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університет «Одеська юридична академія», </w:t>
      </w:r>
      <w:r w:rsidR="00F01353" w:rsidRPr="001C0A4A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докторант кафедри кримінального права, </w:t>
      </w:r>
      <w:r w:rsidRPr="001C0A4A">
        <w:rPr>
          <w:rFonts w:ascii="Times New Roman" w:hAnsi="Times New Roman" w:cs="Times New Roman"/>
          <w:i/>
          <w:color w:val="000000"/>
          <w:sz w:val="28"/>
          <w:szCs w:val="28"/>
        </w:rPr>
        <w:t>кандидат юридичних наук</w:t>
      </w:r>
      <w:r w:rsidR="005157CF" w:rsidRPr="001C0A4A">
        <w:rPr>
          <w:rFonts w:ascii="Times New Roman" w:hAnsi="Times New Roman" w:cs="Times New Roman"/>
          <w:i/>
          <w:color w:val="000000"/>
          <w:sz w:val="28"/>
          <w:szCs w:val="28"/>
        </w:rPr>
        <w:t>, доцент</w:t>
      </w:r>
    </w:p>
    <w:p w:rsidR="008C2B0C" w:rsidRDefault="00B54631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Анотація.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 науковій доповіді показується як введення у дію та подальші зміни норми про незаконне збагачення </w:t>
      </w:r>
      <w:r w:rsidR="00BE0B96">
        <w:rPr>
          <w:rFonts w:ascii="Times New Roman" w:hAnsi="Times New Roman" w:cs="Times New Roman"/>
          <w:color w:val="000000"/>
          <w:sz w:val="28"/>
          <w:szCs w:val="28"/>
        </w:rPr>
        <w:t xml:space="preserve">в Україні </w:t>
      </w:r>
      <w:r w:rsidR="003E31BC">
        <w:rPr>
          <w:rFonts w:ascii="Times New Roman" w:hAnsi="Times New Roman" w:cs="Times New Roman"/>
          <w:color w:val="000000"/>
          <w:sz w:val="28"/>
          <w:szCs w:val="28"/>
        </w:rPr>
        <w:t xml:space="preserve">призвели до незапланованої </w:t>
      </w:r>
      <w:r w:rsidR="00DF5A33">
        <w:rPr>
          <w:rFonts w:ascii="Times New Roman" w:hAnsi="Times New Roman" w:cs="Times New Roman"/>
          <w:color w:val="000000"/>
          <w:sz w:val="28"/>
          <w:szCs w:val="28"/>
        </w:rPr>
        <w:t xml:space="preserve">законодавцем </w:t>
      </w:r>
      <w:r w:rsidR="003E31BC">
        <w:rPr>
          <w:rFonts w:ascii="Times New Roman" w:hAnsi="Times New Roman" w:cs="Times New Roman"/>
          <w:color w:val="000000"/>
          <w:sz w:val="28"/>
          <w:szCs w:val="28"/>
        </w:rPr>
        <w:t xml:space="preserve">декриміналізації </w:t>
      </w:r>
      <w:r w:rsidR="00BE0B96">
        <w:rPr>
          <w:rFonts w:ascii="Times New Roman" w:hAnsi="Times New Roman" w:cs="Times New Roman"/>
          <w:color w:val="000000"/>
          <w:sz w:val="28"/>
          <w:szCs w:val="28"/>
        </w:rPr>
        <w:t>ряду суспільно небезпечних корупційних діянь</w:t>
      </w:r>
      <w:r w:rsidR="00C652FB">
        <w:rPr>
          <w:rFonts w:ascii="Times New Roman" w:hAnsi="Times New Roman" w:cs="Times New Roman"/>
          <w:color w:val="000000"/>
          <w:sz w:val="28"/>
          <w:szCs w:val="28"/>
        </w:rPr>
        <w:t xml:space="preserve"> і пропонується рішення </w:t>
      </w:r>
      <w:r w:rsidR="00042197">
        <w:rPr>
          <w:rFonts w:ascii="Times New Roman" w:hAnsi="Times New Roman" w:cs="Times New Roman"/>
          <w:color w:val="000000"/>
          <w:sz w:val="28"/>
          <w:szCs w:val="28"/>
        </w:rPr>
        <w:t>виявленої проблеми</w:t>
      </w:r>
      <w:r w:rsidR="00BE0B9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B686C" w:rsidRPr="002B686C" w:rsidRDefault="002B686C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B686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Abstract.</w:t>
      </w:r>
      <w:r w:rsidRPr="002B686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The paper demonstrates the way implementation and further amendments of the norm on illicit enrichment in Ukraine resulted in decriminalization of a number of socially dangerous corruption acts that was unplanned by the lawmaker and proposes the solution of the detected issue.</w:t>
      </w:r>
    </w:p>
    <w:p w:rsidR="008C2B0C" w:rsidRDefault="008C2B0C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C55CF" w:rsidRPr="0009007A" w:rsidRDefault="00360AF6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51AF9" w:rsidRPr="0009007A">
        <w:rPr>
          <w:rFonts w:ascii="Times New Roman" w:hAnsi="Times New Roman" w:cs="Times New Roman"/>
          <w:sz w:val="28"/>
          <w:szCs w:val="28"/>
        </w:rPr>
        <w:t xml:space="preserve"> попередніх дослідженнях</w:t>
      </w:r>
      <w:r w:rsidR="00751AF9" w:rsidRPr="0009007A">
        <w:rPr>
          <w:rStyle w:val="a5"/>
          <w:rFonts w:ascii="Times New Roman" w:hAnsi="Times New Roman" w:cs="Times New Roman"/>
          <w:sz w:val="28"/>
          <w:szCs w:val="28"/>
        </w:rPr>
        <w:footnoteReference w:id="1"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007A">
        <w:rPr>
          <w:rFonts w:ascii="Times New Roman" w:hAnsi="Times New Roman" w:cs="Times New Roman"/>
          <w:sz w:val="28"/>
          <w:szCs w:val="28"/>
        </w:rPr>
        <w:t>було встановлено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норма про незаконне збагачення у редакції ст.368-2 КК, яка діяла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>з 01.01.2011 року по 05.01.2011 року та з 01.07.2011 року по 25.01.2015 року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, могла виконувати функції одночасно двох рубежів протидії корупції (основного та завершального), проте фактично використовувалася лише як резервна підстава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кримінальної відповідальності щодо інших корупційних злочинів публічного сектору. Разом із тим, норма про незаконне збагачення </w:t>
      </w:r>
      <w:r w:rsidR="009C55CF" w:rsidRPr="0009007A">
        <w:rPr>
          <w:rFonts w:ascii="Times New Roman" w:hAnsi="Times New Roman" w:cs="Times New Roman"/>
          <w:sz w:val="28"/>
          <w:szCs w:val="28"/>
        </w:rPr>
        <w:t>у редакції згідно із Законом від 14.10.2014 року (діяла з 26.01.2015 року по 04.03.2015 року) та у редакції згідно із Законом від 12.02.2015 року (діє з 05.03.2015 року і по сьогодні) сформована так, що виникає ризик усунення її функції як елемента основного рубежу кримінально-правової протидії корупції в Україні.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lastRenderedPageBreak/>
        <w:t xml:space="preserve">Із врахуванням зазначеного необхідно: 1) встановити, які групи діянь, що раніше отримували кваліфікацію за ст.368-2 КК, на сьогодні можуть вважатися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декриміналізованими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>; 2) які наслідки це може спричинити для механізму кримінально-правової протидії корупційним злочинам в Україні; 3) запропонувати (у разі виявлення такої необхідності) рішення, яке б усунуло окреслен</w:t>
      </w:r>
      <w:r w:rsidR="00DA7B4B" w:rsidRPr="0009007A">
        <w:rPr>
          <w:rFonts w:ascii="Times New Roman" w:hAnsi="Times New Roman" w:cs="Times New Roman"/>
          <w:sz w:val="28"/>
          <w:szCs w:val="28"/>
        </w:rPr>
        <w:t>і</w:t>
      </w:r>
      <w:r w:rsidRPr="0009007A">
        <w:rPr>
          <w:rFonts w:ascii="Times New Roman" w:hAnsi="Times New Roman" w:cs="Times New Roman"/>
          <w:sz w:val="28"/>
          <w:szCs w:val="28"/>
        </w:rPr>
        <w:t xml:space="preserve"> вище правову невизначеність та ризики і стабілізувало групу норм КК, що покликані протидіяти корупції.</w:t>
      </w:r>
    </w:p>
    <w:p w:rsidR="009C55CF" w:rsidRPr="0009007A" w:rsidRDefault="003A4F2A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Щодо </w:t>
      </w:r>
      <w:r w:rsidR="009C55CF" w:rsidRPr="0009007A">
        <w:rPr>
          <w:rFonts w:ascii="Times New Roman" w:hAnsi="Times New Roman" w:cs="Times New Roman"/>
          <w:sz w:val="28"/>
          <w:szCs w:val="28"/>
        </w:rPr>
        <w:t>цьо</w:t>
      </w:r>
      <w:r w:rsidRPr="0009007A">
        <w:rPr>
          <w:rFonts w:ascii="Times New Roman" w:hAnsi="Times New Roman" w:cs="Times New Roman"/>
          <w:sz w:val="28"/>
          <w:szCs w:val="28"/>
        </w:rPr>
        <w:t>го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 наукового дослідження береться за основу гіпотеза, згідно до якої поряд із нормо</w:t>
      </w:r>
      <w:r w:rsidRPr="0009007A">
        <w:rPr>
          <w:rFonts w:ascii="Times New Roman" w:hAnsi="Times New Roman" w:cs="Times New Roman"/>
          <w:sz w:val="28"/>
          <w:szCs w:val="28"/>
        </w:rPr>
        <w:t>ю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 про незаконне збагачення у моделі ст.20 Конвенції</w:t>
      </w:r>
      <w:r w:rsidRPr="0009007A">
        <w:rPr>
          <w:rFonts w:ascii="Times New Roman" w:hAnsi="Times New Roman" w:cs="Times New Roman"/>
          <w:sz w:val="28"/>
          <w:szCs w:val="28"/>
        </w:rPr>
        <w:t xml:space="preserve"> ООН проти корупції (далі – Конвенція)</w:t>
      </w:r>
      <w:r w:rsidR="009C55CF" w:rsidRPr="0009007A">
        <w:rPr>
          <w:rFonts w:ascii="Times New Roman" w:hAnsi="Times New Roman" w:cs="Times New Roman"/>
          <w:sz w:val="28"/>
          <w:szCs w:val="28"/>
        </w:rPr>
        <w:t>, яка б виконувала функцію елементу завершального рубежу</w:t>
      </w:r>
      <w:r w:rsidR="002E2CCE" w:rsidRPr="0009007A">
        <w:rPr>
          <w:rFonts w:ascii="Times New Roman" w:hAnsi="Times New Roman" w:cs="Times New Roman"/>
          <w:sz w:val="28"/>
          <w:szCs w:val="28"/>
        </w:rPr>
        <w:t xml:space="preserve"> протидії корупції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, у КК потребується окрема норма, яка б встановлювала кримінальну відповідальність за корупційні діяння, які не можуть бути кваліфіковані за існуючими статтями КК та є суспільно небезпечними, що підтверджено усталеною практикою їх кримінального переслідування. Така норма фактично формулювалася у ст.368-2 КК у редакції, яка діяла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з 01.01.2011 року по 05.01.2011 року та з 01.07.2011 року по 25.01.2015 року, і зумовлювала віднесення цієї статті також </w:t>
      </w:r>
      <w:r w:rsidR="002E2CCE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і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до елементів основного рубежу 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кримінально-правової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>протидії корупції.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Для того, щоб виявити, які групи діянь, що раніше отримували кваліфікацію за ст.368-2 КК, на сьогодні можуть вважатися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декриміналізованими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 xml:space="preserve">, необхідно визначити яким чином розмежовувалася зазначена стаття у редакції, яка діяла 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>з 01.01.2011 року по 05.01.2011 року та з 01.07.2011 року по 25.01.2015 року, з іншими статями КК. Для цього бу</w:t>
      </w:r>
      <w:r w:rsidR="00D36B45" w:rsidRPr="0009007A">
        <w:rPr>
          <w:rFonts w:ascii="Times New Roman" w:hAnsi="Times New Roman" w:cs="Times New Roman"/>
          <w:color w:val="000000"/>
          <w:sz w:val="28"/>
          <w:szCs w:val="28"/>
        </w:rPr>
        <w:t>ла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вивчен</w:t>
      </w:r>
      <w:r w:rsidR="00D36B45" w:rsidRPr="0009007A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36B45" w:rsidRPr="0009007A">
        <w:rPr>
          <w:rFonts w:ascii="Times New Roman" w:hAnsi="Times New Roman" w:cs="Times New Roman"/>
          <w:sz w:val="28"/>
          <w:szCs w:val="28"/>
        </w:rPr>
        <w:t>судова</w:t>
      </w:r>
      <w:r w:rsidRPr="0009007A">
        <w:rPr>
          <w:rFonts w:ascii="Times New Roman" w:hAnsi="Times New Roman" w:cs="Times New Roman"/>
          <w:sz w:val="28"/>
          <w:szCs w:val="28"/>
        </w:rPr>
        <w:t xml:space="preserve"> практик</w:t>
      </w:r>
      <w:r w:rsidR="00D36B45" w:rsidRPr="0009007A">
        <w:rPr>
          <w:rFonts w:ascii="Times New Roman" w:hAnsi="Times New Roman" w:cs="Times New Roman"/>
          <w:sz w:val="28"/>
          <w:szCs w:val="28"/>
        </w:rPr>
        <w:t>а</w:t>
      </w:r>
      <w:r w:rsidRPr="0009007A">
        <w:rPr>
          <w:rFonts w:ascii="Times New Roman" w:hAnsi="Times New Roman" w:cs="Times New Roman"/>
          <w:sz w:val="28"/>
          <w:szCs w:val="28"/>
        </w:rPr>
        <w:t xml:space="preserve"> щодо застосування ст.368-2 КК у зазначений період, а також теоретичні уявлення щодо меж її дії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>. Враховуючи, що норму про незаконне збагачення у означені періоди застосовували не досить інтенсивно, то бу</w:t>
      </w:r>
      <w:r w:rsidR="00CF45EC" w:rsidRPr="0009007A">
        <w:rPr>
          <w:rFonts w:ascii="Times New Roman" w:hAnsi="Times New Roman" w:cs="Times New Roman"/>
          <w:color w:val="000000"/>
          <w:sz w:val="28"/>
          <w:szCs w:val="28"/>
        </w:rPr>
        <w:t>ли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вивчені </w:t>
      </w:r>
      <w:r w:rsidR="00CF45EC" w:rsidRPr="0009007A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сі судові рішення, </w:t>
      </w:r>
      <w:r w:rsidRPr="0009007A">
        <w:rPr>
          <w:rFonts w:ascii="Times New Roman" w:hAnsi="Times New Roman" w:cs="Times New Roman"/>
          <w:sz w:val="28"/>
          <w:szCs w:val="28"/>
        </w:rPr>
        <w:t>які доступні через Єдиний державний реєстр судових рішень (45 рішень по 25 криміна</w:t>
      </w:r>
      <w:r w:rsidR="006B04C8">
        <w:rPr>
          <w:rFonts w:ascii="Times New Roman" w:hAnsi="Times New Roman" w:cs="Times New Roman"/>
          <w:sz w:val="28"/>
          <w:szCs w:val="28"/>
        </w:rPr>
        <w:t>льних справах за ст.368-2 КК;</w:t>
      </w:r>
      <w:r w:rsidRPr="0009007A">
        <w:rPr>
          <w:rFonts w:ascii="Times New Roman" w:hAnsi="Times New Roman" w:cs="Times New Roman"/>
          <w:sz w:val="28"/>
          <w:szCs w:val="28"/>
        </w:rPr>
        <w:t xml:space="preserve"> </w:t>
      </w:r>
      <w:r w:rsidR="00CE6655" w:rsidRPr="0009007A">
        <w:rPr>
          <w:rFonts w:ascii="Times New Roman" w:hAnsi="Times New Roman" w:cs="Times New Roman"/>
          <w:sz w:val="28"/>
          <w:szCs w:val="28"/>
        </w:rPr>
        <w:t>судові рішення по</w:t>
      </w:r>
      <w:r w:rsidRPr="0009007A">
        <w:rPr>
          <w:rFonts w:ascii="Times New Roman" w:hAnsi="Times New Roman" w:cs="Times New Roman"/>
          <w:sz w:val="28"/>
          <w:szCs w:val="28"/>
        </w:rPr>
        <w:t xml:space="preserve"> 6 справ</w:t>
      </w:r>
      <w:r w:rsidR="00CE6655" w:rsidRPr="0009007A">
        <w:rPr>
          <w:rFonts w:ascii="Times New Roman" w:hAnsi="Times New Roman" w:cs="Times New Roman"/>
          <w:sz w:val="28"/>
          <w:szCs w:val="28"/>
        </w:rPr>
        <w:t>ам</w:t>
      </w:r>
      <w:r w:rsidRPr="0009007A">
        <w:rPr>
          <w:rFonts w:ascii="Times New Roman" w:hAnsi="Times New Roman" w:cs="Times New Roman"/>
          <w:sz w:val="28"/>
          <w:szCs w:val="28"/>
        </w:rPr>
        <w:t xml:space="preserve">, у яких </w:t>
      </w:r>
      <w:r w:rsidR="00CE6655" w:rsidRPr="0009007A">
        <w:rPr>
          <w:rFonts w:ascii="Times New Roman" w:hAnsi="Times New Roman" w:cs="Times New Roman"/>
          <w:sz w:val="28"/>
          <w:szCs w:val="28"/>
        </w:rPr>
        <w:t xml:space="preserve">відображена правова позиція </w:t>
      </w:r>
      <w:r w:rsidRPr="0009007A">
        <w:rPr>
          <w:rFonts w:ascii="Times New Roman" w:hAnsi="Times New Roman" w:cs="Times New Roman"/>
          <w:sz w:val="28"/>
          <w:szCs w:val="28"/>
        </w:rPr>
        <w:t>сторон</w:t>
      </w:r>
      <w:r w:rsidR="00CE6655" w:rsidRPr="0009007A">
        <w:rPr>
          <w:rFonts w:ascii="Times New Roman" w:hAnsi="Times New Roman" w:cs="Times New Roman"/>
          <w:sz w:val="28"/>
          <w:szCs w:val="28"/>
        </w:rPr>
        <w:t>и</w:t>
      </w:r>
      <w:r w:rsidRPr="0009007A">
        <w:rPr>
          <w:rFonts w:ascii="Times New Roman" w:hAnsi="Times New Roman" w:cs="Times New Roman"/>
          <w:sz w:val="28"/>
          <w:szCs w:val="28"/>
        </w:rPr>
        <w:t xml:space="preserve"> захисту</w:t>
      </w:r>
      <w:r w:rsidR="00135F7B" w:rsidRPr="0009007A">
        <w:rPr>
          <w:rFonts w:ascii="Times New Roman" w:hAnsi="Times New Roman" w:cs="Times New Roman"/>
          <w:sz w:val="28"/>
          <w:szCs w:val="28"/>
        </w:rPr>
        <w:t xml:space="preserve">, </w:t>
      </w:r>
      <w:r w:rsidR="00617341" w:rsidRPr="0009007A">
        <w:rPr>
          <w:rFonts w:ascii="Times New Roman" w:hAnsi="Times New Roman" w:cs="Times New Roman"/>
          <w:sz w:val="28"/>
          <w:szCs w:val="28"/>
        </w:rPr>
        <w:t xml:space="preserve">що </w:t>
      </w:r>
      <w:r w:rsidR="00135F7B" w:rsidRPr="0009007A">
        <w:rPr>
          <w:rFonts w:ascii="Times New Roman" w:hAnsi="Times New Roman" w:cs="Times New Roman"/>
          <w:sz w:val="28"/>
          <w:szCs w:val="28"/>
        </w:rPr>
        <w:t xml:space="preserve">була спрямована на </w:t>
      </w:r>
      <w:r w:rsidR="00D564C1" w:rsidRPr="0009007A">
        <w:rPr>
          <w:rFonts w:ascii="Times New Roman" w:hAnsi="Times New Roman" w:cs="Times New Roman"/>
          <w:sz w:val="28"/>
          <w:szCs w:val="28"/>
        </w:rPr>
        <w:t xml:space="preserve">зміну кваліфікації вчиненого із статті про </w:t>
      </w:r>
      <w:r w:rsidRPr="0009007A">
        <w:rPr>
          <w:rFonts w:ascii="Times New Roman" w:hAnsi="Times New Roman" w:cs="Times New Roman"/>
          <w:sz w:val="28"/>
          <w:szCs w:val="28"/>
        </w:rPr>
        <w:t>пасивн</w:t>
      </w:r>
      <w:r w:rsidR="00D564C1" w:rsidRPr="0009007A">
        <w:rPr>
          <w:rFonts w:ascii="Times New Roman" w:hAnsi="Times New Roman" w:cs="Times New Roman"/>
          <w:sz w:val="28"/>
          <w:szCs w:val="28"/>
        </w:rPr>
        <w:t>ий</w:t>
      </w:r>
      <w:r w:rsidRPr="0009007A">
        <w:rPr>
          <w:rFonts w:ascii="Times New Roman" w:hAnsi="Times New Roman" w:cs="Times New Roman"/>
          <w:sz w:val="28"/>
          <w:szCs w:val="28"/>
        </w:rPr>
        <w:t xml:space="preserve"> </w:t>
      </w:r>
      <w:r w:rsidRPr="0009007A">
        <w:rPr>
          <w:rFonts w:ascii="Times New Roman" w:hAnsi="Times New Roman" w:cs="Times New Roman"/>
          <w:sz w:val="28"/>
          <w:szCs w:val="28"/>
        </w:rPr>
        <w:lastRenderedPageBreak/>
        <w:t xml:space="preserve">підкуп </w:t>
      </w:r>
      <w:r w:rsidR="00D564C1" w:rsidRPr="0009007A">
        <w:rPr>
          <w:rFonts w:ascii="Times New Roman" w:hAnsi="Times New Roman" w:cs="Times New Roman"/>
          <w:sz w:val="28"/>
          <w:szCs w:val="28"/>
        </w:rPr>
        <w:t xml:space="preserve">на статтю про </w:t>
      </w:r>
      <w:r w:rsidRPr="0009007A">
        <w:rPr>
          <w:rFonts w:ascii="Times New Roman" w:hAnsi="Times New Roman" w:cs="Times New Roman"/>
          <w:sz w:val="28"/>
          <w:szCs w:val="28"/>
        </w:rPr>
        <w:t>незаконн</w:t>
      </w:r>
      <w:r w:rsidR="00D564C1" w:rsidRPr="0009007A">
        <w:rPr>
          <w:rFonts w:ascii="Times New Roman" w:hAnsi="Times New Roman" w:cs="Times New Roman"/>
          <w:sz w:val="28"/>
          <w:szCs w:val="28"/>
        </w:rPr>
        <w:t xml:space="preserve">е </w:t>
      </w:r>
      <w:r w:rsidRPr="0009007A">
        <w:rPr>
          <w:rFonts w:ascii="Times New Roman" w:hAnsi="Times New Roman" w:cs="Times New Roman"/>
          <w:sz w:val="28"/>
          <w:szCs w:val="28"/>
        </w:rPr>
        <w:t>збагачення</w:t>
      </w:r>
      <w:r w:rsidR="006B04C8">
        <w:rPr>
          <w:rFonts w:ascii="Times New Roman" w:hAnsi="Times New Roman" w:cs="Times New Roman"/>
          <w:sz w:val="28"/>
          <w:szCs w:val="28"/>
        </w:rPr>
        <w:t>;</w:t>
      </w:r>
      <w:r w:rsidR="009863A2" w:rsidRPr="0009007A">
        <w:rPr>
          <w:rFonts w:ascii="Times New Roman" w:hAnsi="Times New Roman" w:cs="Times New Roman"/>
          <w:sz w:val="28"/>
          <w:szCs w:val="28"/>
        </w:rPr>
        <w:t xml:space="preserve"> </w:t>
      </w:r>
      <w:r w:rsidR="001C364B">
        <w:rPr>
          <w:rFonts w:ascii="Times New Roman" w:hAnsi="Times New Roman" w:cs="Times New Roman"/>
          <w:sz w:val="28"/>
          <w:szCs w:val="28"/>
        </w:rPr>
        <w:t xml:space="preserve">дві </w:t>
      </w:r>
      <w:r w:rsidR="009863A2" w:rsidRPr="0009007A">
        <w:rPr>
          <w:rFonts w:ascii="Times New Roman" w:hAnsi="Times New Roman" w:cs="Times New Roman"/>
          <w:sz w:val="28"/>
          <w:szCs w:val="28"/>
        </w:rPr>
        <w:t>постанови</w:t>
      </w:r>
      <w:r w:rsidR="00387B81" w:rsidRPr="0009007A">
        <w:rPr>
          <w:rStyle w:val="a5"/>
          <w:rFonts w:ascii="Times New Roman" w:hAnsi="Times New Roman" w:cs="Times New Roman"/>
          <w:color w:val="000000"/>
          <w:sz w:val="28"/>
          <w:szCs w:val="28"/>
        </w:rPr>
        <w:footnoteReference w:id="2"/>
      </w:r>
      <w:r w:rsidR="009863A2" w:rsidRPr="0009007A">
        <w:rPr>
          <w:rFonts w:ascii="Times New Roman" w:hAnsi="Times New Roman" w:cs="Times New Roman"/>
          <w:sz w:val="28"/>
          <w:szCs w:val="28"/>
        </w:rPr>
        <w:t xml:space="preserve"> із висновками Верховного Суду України щодо розмежування ст.ст.368 та </w:t>
      </w:r>
      <w:r w:rsidR="001E6826" w:rsidRPr="0009007A">
        <w:rPr>
          <w:rFonts w:ascii="Times New Roman" w:hAnsi="Times New Roman" w:cs="Times New Roman"/>
          <w:sz w:val="28"/>
          <w:szCs w:val="28"/>
        </w:rPr>
        <w:t xml:space="preserve">368-2 </w:t>
      </w:r>
      <w:r w:rsidR="009863A2" w:rsidRPr="0009007A">
        <w:rPr>
          <w:rFonts w:ascii="Times New Roman" w:hAnsi="Times New Roman" w:cs="Times New Roman"/>
          <w:sz w:val="28"/>
          <w:szCs w:val="28"/>
        </w:rPr>
        <w:t>КК</w:t>
      </w:r>
      <w:r w:rsidRPr="0009007A">
        <w:rPr>
          <w:rFonts w:ascii="Times New Roman" w:hAnsi="Times New Roman" w:cs="Times New Roman"/>
          <w:sz w:val="28"/>
          <w:szCs w:val="28"/>
        </w:rPr>
        <w:t>).</w:t>
      </w:r>
      <w:r w:rsidR="00F16E44">
        <w:rPr>
          <w:rFonts w:ascii="Times New Roman" w:hAnsi="Times New Roman" w:cs="Times New Roman"/>
          <w:sz w:val="28"/>
          <w:szCs w:val="28"/>
        </w:rPr>
        <w:t xml:space="preserve"> У результаті такого дослідження </w:t>
      </w:r>
      <w:r w:rsidR="00D266D5" w:rsidRPr="0009007A">
        <w:rPr>
          <w:rFonts w:ascii="Times New Roman" w:hAnsi="Times New Roman" w:cs="Times New Roman"/>
          <w:color w:val="000000"/>
          <w:sz w:val="28"/>
          <w:szCs w:val="28"/>
        </w:rPr>
        <w:t>були отримані наступні висновки.</w:t>
      </w:r>
    </w:p>
    <w:p w:rsidR="002F3F81" w:rsidRPr="0009007A" w:rsidRDefault="00987222" w:rsidP="002F3F8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>раховуючи наявність у</w:t>
      </w:r>
      <w:r w:rsidR="00A26008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A26008" w:rsidRPr="0009007A">
        <w:rPr>
          <w:rFonts w:ascii="Times New Roman" w:hAnsi="Times New Roman" w:cs="Times New Roman"/>
          <w:color w:val="000000"/>
          <w:sz w:val="28"/>
          <w:szCs w:val="28"/>
        </w:rPr>
        <w:t>орм</w:t>
      </w:r>
      <w:r w:rsidR="00A26008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A26008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про незаконне збагачення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F3F81">
        <w:rPr>
          <w:rFonts w:ascii="Times New Roman" w:hAnsi="Times New Roman" w:cs="Times New Roman"/>
          <w:color w:val="000000"/>
          <w:sz w:val="28"/>
          <w:szCs w:val="28"/>
        </w:rPr>
        <w:t>(</w:t>
      </w:r>
      <w:r w:rsidR="002F3F81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у її редакції, </w:t>
      </w:r>
      <w:r w:rsidR="002F3F81" w:rsidRPr="0009007A">
        <w:rPr>
          <w:rFonts w:ascii="Times New Roman" w:hAnsi="Times New Roman" w:cs="Times New Roman"/>
          <w:sz w:val="28"/>
          <w:szCs w:val="28"/>
        </w:rPr>
        <w:t xml:space="preserve">яка діяла </w:t>
      </w:r>
      <w:r w:rsidR="002F3F81" w:rsidRPr="0009007A">
        <w:rPr>
          <w:rFonts w:ascii="Times New Roman" w:hAnsi="Times New Roman" w:cs="Times New Roman"/>
          <w:color w:val="000000"/>
          <w:sz w:val="28"/>
          <w:szCs w:val="28"/>
        </w:rPr>
        <w:t>з 01.01.2011 року по 05.01.2011 року та з 01.07.2011 року по 25.01.2015 року</w:t>
      </w:r>
      <w:r w:rsidR="002F3F81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негативної ознаки складу цього злочину – «…за відсутності ознак, зазначених у статті 368 цього Кодексу…» з плином часу була вироблена судова практика щодо встановлення відсутності ознак пасивного підкупу у публічному секторі на користь застосуванням норми про незаконне збагачення, яка ґрунтувалася на: 1) 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результатах наукових досліджень ознак хабарництва (давання та одержання хабара) і 2) </w:t>
      </w:r>
      <w:r w:rsidR="009C55CF" w:rsidRPr="0009007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висновку 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Верховного Суду України, який був викладений у його постанові від 07.11.2013 року по справі № 5-29кс13 (зазначений висновок також був підтверджений у </w:t>
      </w:r>
      <w:r w:rsidR="009C55CF" w:rsidRPr="0009007A">
        <w:rPr>
          <w:rFonts w:ascii="Times New Roman" w:eastAsia="Times New Roman" w:hAnsi="Times New Roman" w:cs="Times New Roman"/>
          <w:sz w:val="28"/>
          <w:szCs w:val="28"/>
        </w:rPr>
        <w:t xml:space="preserve">постанові </w:t>
      </w:r>
      <w:r w:rsidR="001707D0">
        <w:rPr>
          <w:rFonts w:ascii="Times New Roman" w:eastAsia="Times New Roman" w:hAnsi="Times New Roman" w:cs="Times New Roman"/>
          <w:sz w:val="28"/>
          <w:szCs w:val="28"/>
        </w:rPr>
        <w:t xml:space="preserve">цього суду </w:t>
      </w:r>
      <w:r w:rsidR="009C55CF" w:rsidRPr="0009007A">
        <w:rPr>
          <w:rFonts w:ascii="Times New Roman" w:hAnsi="Times New Roman" w:cs="Times New Roman"/>
          <w:color w:val="000000"/>
          <w:sz w:val="28"/>
          <w:szCs w:val="28"/>
        </w:rPr>
        <w:t>від 09.04.2015 року по справі № 5-5кс15).</w:t>
      </w:r>
      <w:r w:rsidR="002F3F81">
        <w:rPr>
          <w:rFonts w:ascii="Times New Roman" w:hAnsi="Times New Roman" w:cs="Times New Roman"/>
          <w:color w:val="000000"/>
          <w:sz w:val="28"/>
          <w:szCs w:val="28"/>
        </w:rPr>
        <w:t xml:space="preserve"> При цьому </w:t>
      </w:r>
      <w:r w:rsidR="00A26008">
        <w:rPr>
          <w:rFonts w:ascii="Times New Roman" w:hAnsi="Times New Roman" w:cs="Times New Roman"/>
          <w:color w:val="000000"/>
          <w:sz w:val="28"/>
          <w:szCs w:val="28"/>
        </w:rPr>
        <w:t xml:space="preserve">ст.368-2 КК </w:t>
      </w:r>
      <w:r w:rsidR="002F3F81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могла протиправно використовуватися з метою уникнення кримінальної відповідальності за пасивний підкуп у публічному секторі, що обумовлювалося слабкою розробкою на початкових етапах </w:t>
      </w:r>
      <w:r w:rsidR="002F3F81">
        <w:rPr>
          <w:rFonts w:ascii="Times New Roman" w:hAnsi="Times New Roman" w:cs="Times New Roman"/>
          <w:color w:val="000000"/>
          <w:sz w:val="28"/>
          <w:szCs w:val="28"/>
        </w:rPr>
        <w:t xml:space="preserve">її </w:t>
      </w:r>
      <w:r w:rsidR="002F3F81" w:rsidRPr="0009007A">
        <w:rPr>
          <w:rFonts w:ascii="Times New Roman" w:hAnsi="Times New Roman" w:cs="Times New Roman"/>
          <w:color w:val="000000"/>
          <w:sz w:val="28"/>
          <w:szCs w:val="28"/>
        </w:rPr>
        <w:t>дії ознак, які розмежовують її із злочином, передбаченим ст.368</w:t>
      </w:r>
      <w:r w:rsidR="002F3F81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F3F81" w:rsidRPr="0009007A">
        <w:rPr>
          <w:rFonts w:ascii="Times New Roman" w:hAnsi="Times New Roman" w:cs="Times New Roman"/>
          <w:color w:val="000000"/>
          <w:sz w:val="28"/>
          <w:szCs w:val="28"/>
        </w:rPr>
        <w:t>КК.</w:t>
      </w:r>
    </w:p>
    <w:p w:rsidR="009C55CF" w:rsidRPr="0009007A" w:rsidRDefault="00AF4744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Правові ситуації, у яких суди віддавали перевагу нормі про незаконне збагачення, а не статті, що встановлює відповідальність за підкуп у публічному секторі, </w:t>
      </w:r>
      <w:r w:rsidR="00FC5D03" w:rsidRPr="0009007A">
        <w:rPr>
          <w:rFonts w:ascii="Times New Roman" w:hAnsi="Times New Roman" w:cs="Times New Roman"/>
          <w:color w:val="000000"/>
          <w:sz w:val="28"/>
          <w:szCs w:val="28"/>
        </w:rPr>
        <w:t>можна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 згруп</w:t>
      </w:r>
      <w:r w:rsidR="00FC5D03"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увати 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у залежності від тієї конкретної ознаки, відсутність якої дозволило застосувати ст.368-2 КК. </w:t>
      </w:r>
      <w:r w:rsidR="009C55CF" w:rsidRPr="0009007A">
        <w:rPr>
          <w:rFonts w:ascii="Times New Roman" w:hAnsi="Times New Roman" w:cs="Times New Roman"/>
          <w:sz w:val="28"/>
          <w:szCs w:val="28"/>
        </w:rPr>
        <w:t>Так, за ст.368-2 КК, а не за ст.368 КК необхідно оцінюватися діяння у правових ситуаціях, коли:</w:t>
      </w:r>
      <w:r w:rsidR="00C81C79">
        <w:rPr>
          <w:rFonts w:ascii="Times New Roman" w:hAnsi="Times New Roman" w:cs="Times New Roman"/>
          <w:sz w:val="28"/>
          <w:szCs w:val="28"/>
        </w:rPr>
        <w:t xml:space="preserve"> </w:t>
      </w:r>
      <w:r w:rsidR="009C55CF" w:rsidRPr="0009007A">
        <w:rPr>
          <w:rFonts w:ascii="Times New Roman" w:eastAsia="Times New Roman" w:hAnsi="Times New Roman" w:cs="Times New Roman"/>
          <w:color w:val="000000"/>
          <w:sz w:val="28"/>
          <w:szCs w:val="28"/>
        </w:rPr>
        <w:t>1) надавання-одержання неправомірної вигоди зумовлено можливим чи здійснюваним порушенням інтересів особи і не пов’язане з використанням службового становища, оскільки службова особа не мала можливості вчинити діяння по службі або вчинення такого діяння нормативно не передбачалось і при цьому винний не застосовував обман;</w:t>
      </w:r>
      <w:r w:rsidR="00C81C7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2) одержана неправомірна вигода є подарунком, оскільки вона надавалися вже після здійснення управлінського акту і без попередньої домовленості, тобто попередньо вчинені дії чи бездіяльність службової особи не обумовлювалися наданням такої </w:t>
      </w:r>
      <w:r w:rsidR="009C55CF" w:rsidRPr="0009007A">
        <w:rPr>
          <w:rFonts w:ascii="Times New Roman" w:hAnsi="Times New Roman" w:cs="Times New Roman"/>
          <w:sz w:val="28"/>
          <w:szCs w:val="28"/>
        </w:rPr>
        <w:lastRenderedPageBreak/>
        <w:t>вигоди;</w:t>
      </w:r>
      <w:r w:rsidR="00C81C79">
        <w:rPr>
          <w:rFonts w:ascii="Times New Roman" w:hAnsi="Times New Roman" w:cs="Times New Roman"/>
          <w:sz w:val="28"/>
          <w:szCs w:val="28"/>
        </w:rPr>
        <w:t xml:space="preserve"> </w:t>
      </w:r>
      <w:r w:rsidR="009C55CF" w:rsidRPr="0009007A">
        <w:rPr>
          <w:rFonts w:ascii="Times New Roman" w:hAnsi="Times New Roman" w:cs="Times New Roman"/>
          <w:sz w:val="28"/>
          <w:szCs w:val="28"/>
        </w:rPr>
        <w:t>3) одержання неправомірної вигоди було здійснене за неправомірне сприяння шляхом надання послуг посередника чи консультанта, що стало можливим у зв’язку із володінням службовою особою знаннями чи інформацією, які вона отримала у зв’язку із виконанням службової діяльності, без виконання дій з використанням службового становища та без здійснення впливу на прийняття рішень особою, уповноваженою на виконання функцій держави;</w:t>
      </w:r>
      <w:r w:rsidR="00C81C79">
        <w:rPr>
          <w:rFonts w:ascii="Times New Roman" w:hAnsi="Times New Roman" w:cs="Times New Roman"/>
          <w:sz w:val="28"/>
          <w:szCs w:val="28"/>
        </w:rPr>
        <w:t xml:space="preserve"> </w:t>
      </w:r>
      <w:r w:rsidR="009C55CF" w:rsidRPr="0009007A">
        <w:rPr>
          <w:rFonts w:ascii="Times New Roman" w:hAnsi="Times New Roman" w:cs="Times New Roman"/>
          <w:sz w:val="28"/>
          <w:szCs w:val="28"/>
        </w:rPr>
        <w:t>4) вигода була надана з метою підлабузництва, для встановлення «добрих» стосунків, «на всяк випадок», тобто не за конкретні службові діяння, оскільки дії, які повинна була виконати чи не виконати службова особа, були невизначені (не</w:t>
      </w:r>
      <w:r w:rsidR="00023293">
        <w:rPr>
          <w:rFonts w:ascii="Times New Roman" w:hAnsi="Times New Roman" w:cs="Times New Roman"/>
          <w:sz w:val="28"/>
          <w:szCs w:val="28"/>
        </w:rPr>
        <w:t>зрозумілими для сторін підкупу у</w:t>
      </w:r>
      <w:r w:rsidR="009C55CF" w:rsidRPr="0009007A">
        <w:rPr>
          <w:rFonts w:ascii="Times New Roman" w:hAnsi="Times New Roman" w:cs="Times New Roman"/>
          <w:sz w:val="28"/>
          <w:szCs w:val="28"/>
        </w:rPr>
        <w:t xml:space="preserve"> момент вчинення злочину).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>При цьому слід звернути увагу, що до введення у дію в Україні норми про незаконне збагачення наведені вище правові ситуації кваліфікувалися за ст.368 КК (одержання хабара). З активацією норми про незаконне збагачення відпала необхідність застосовувати до з</w:t>
      </w:r>
      <w:r w:rsidR="00023293">
        <w:rPr>
          <w:rFonts w:ascii="Times New Roman" w:hAnsi="Times New Roman" w:cs="Times New Roman"/>
          <w:sz w:val="28"/>
          <w:szCs w:val="28"/>
        </w:rPr>
        <w:t>азначених правових ситуацій</w:t>
      </w:r>
      <w:r w:rsidRPr="0009007A">
        <w:rPr>
          <w:rFonts w:ascii="Times New Roman" w:hAnsi="Times New Roman" w:cs="Times New Roman"/>
          <w:sz w:val="28"/>
          <w:szCs w:val="28"/>
        </w:rPr>
        <w:t xml:space="preserve"> ст.368 КК (при цьому таке застосування здійснювалося попри суттєві заперечення, вироблені наукою кримінального права) і у процесі реалізації ст.368-2 КК у співвідношенні із ст.368 КК було визнано, що за описаних обставин відсутні ознаки </w:t>
      </w:r>
      <w:r w:rsidR="00F73BC5">
        <w:rPr>
          <w:rFonts w:ascii="Times New Roman" w:hAnsi="Times New Roman" w:cs="Times New Roman"/>
          <w:sz w:val="28"/>
          <w:szCs w:val="28"/>
        </w:rPr>
        <w:t>пасивного підкупу</w:t>
      </w:r>
      <w:r w:rsidRPr="0009007A">
        <w:rPr>
          <w:rFonts w:ascii="Times New Roman" w:hAnsi="Times New Roman" w:cs="Times New Roman"/>
          <w:sz w:val="28"/>
          <w:szCs w:val="28"/>
        </w:rPr>
        <w:t>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Зазначене викриває існуючу до введення у дію норми про незаконне збагачення аналогію у застосуванні ст.368 КК, оскільки </w:t>
      </w:r>
      <w:r w:rsidR="00EF3695">
        <w:rPr>
          <w:rFonts w:ascii="Times New Roman" w:hAnsi="Times New Roman" w:cs="Times New Roman"/>
          <w:sz w:val="28"/>
          <w:szCs w:val="28"/>
        </w:rPr>
        <w:t>застосування</w:t>
      </w:r>
      <w:r w:rsidRPr="0009007A">
        <w:rPr>
          <w:rFonts w:ascii="Times New Roman" w:hAnsi="Times New Roman" w:cs="Times New Roman"/>
          <w:sz w:val="28"/>
          <w:szCs w:val="28"/>
        </w:rPr>
        <w:t xml:space="preserve"> ст.368-2 КК до описаних вище ситуацій при залишенні норми про пасивний підкуп у публічному секторі (ст.368 КК) без змін означало встановлення того, що ознаки цього злочину відсутні. Цей висновок є важливим також у зв’язку із тим, що особи, які були засуджені за ст.368 КК (одержання хабара) за обставин, які відповідають виявленим у цьому досліджені і викладеним вище правовим ситуаціям, мають право на перегляд обвинувальних вироків у апеляційному чи касаційному порядку, або Верховним Судом України з підстав, передбачених п.1 чи п.3 ч.1 ст.445 КПК, результатом якого повинно стати закриття провадження у справі у зв’язку із відсутністю у їх діях складу кримінального правопорушення (одержання хабара) (п.2 ч.1 ст.284 КПК).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За таких обставин викладення ст.368-2 КК у новій редакції згідно із Законами України № 1698-VII від 14.10.2014 року та № 198-VIII від 12.02.2015 року і </w:t>
      </w:r>
      <w:r w:rsidRPr="0009007A">
        <w:rPr>
          <w:rFonts w:ascii="Times New Roman" w:hAnsi="Times New Roman" w:cs="Times New Roman"/>
          <w:sz w:val="28"/>
          <w:szCs w:val="28"/>
        </w:rPr>
        <w:lastRenderedPageBreak/>
        <w:t xml:space="preserve">відповідно суттєве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переформатування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 xml:space="preserve"> ознак складу незаконного збагачення створює ситуацію фактичної декриміналізації з 26.01.2015 року виділених вище чотирьох груп суспільно небезпечних діянь. При цьому </w:t>
      </w:r>
      <w:r w:rsidR="00296026" w:rsidRPr="0009007A">
        <w:rPr>
          <w:rFonts w:ascii="Times New Roman" w:hAnsi="Times New Roman" w:cs="Times New Roman"/>
          <w:sz w:val="28"/>
          <w:szCs w:val="28"/>
        </w:rPr>
        <w:t>наведена</w:t>
      </w:r>
      <w:r w:rsidRPr="0009007A">
        <w:rPr>
          <w:rFonts w:ascii="Times New Roman" w:hAnsi="Times New Roman" w:cs="Times New Roman"/>
          <w:sz w:val="28"/>
          <w:szCs w:val="28"/>
        </w:rPr>
        <w:t xml:space="preserve"> зміна редакції норми про незаконне збагачення законодавцем судячи із пояснювальних записок до відповідних законопроектів не ставила за мету виключити кримінальну відповідальність за означені діяння, а така декриміналізація є побічним не прогнозованим законодавцем ефектом приведення </w:t>
      </w:r>
      <w:r w:rsidR="00A168C2">
        <w:rPr>
          <w:rFonts w:ascii="Times New Roman" w:hAnsi="Times New Roman" w:cs="Times New Roman"/>
          <w:sz w:val="28"/>
          <w:szCs w:val="28"/>
        </w:rPr>
        <w:t xml:space="preserve">цієї </w:t>
      </w:r>
      <w:r w:rsidRPr="0009007A">
        <w:rPr>
          <w:rFonts w:ascii="Times New Roman" w:hAnsi="Times New Roman" w:cs="Times New Roman"/>
          <w:sz w:val="28"/>
          <w:szCs w:val="28"/>
        </w:rPr>
        <w:t>норми до моделі згідно із ст.20 Конвенції. У зв’язку з наведеним, особи, засуджені за діяння, караність якого законом усунена (у цьому випадку – за діяння, які відповідають ознакам однієї із виділених вище чотирьох груп правових ситуацій), підлягають негайному звільненню від призначеного судом покарання (ч.2 ст.74 КК).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Очевидно, що декриміналізація, про яку йдеться, не відповідає природі цього явища як процесу визнання на державному рівні втрати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криміналізованим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 xml:space="preserve"> діянням суспільної небезпечності, відсутність необхідності подальшої боротьби з ним за допомогою КК та виключення норм, що передбачають відповідальність за його вчинення, з чинного закону про кримінальну відповідальність</w:t>
      </w:r>
      <w:r w:rsidRPr="0009007A">
        <w:rPr>
          <w:rStyle w:val="a5"/>
          <w:rFonts w:ascii="Times New Roman" w:hAnsi="Times New Roman" w:cs="Times New Roman"/>
          <w:sz w:val="28"/>
          <w:szCs w:val="28"/>
        </w:rPr>
        <w:footnoteReference w:id="3"/>
      </w:r>
      <w:r w:rsidRPr="0009007A">
        <w:rPr>
          <w:rFonts w:ascii="Times New Roman" w:hAnsi="Times New Roman" w:cs="Times New Roman"/>
          <w:sz w:val="28"/>
          <w:szCs w:val="28"/>
        </w:rPr>
        <w:t xml:space="preserve">. Така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невідповідповідність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 xml:space="preserve"> пов’язана у першу чергу з відсутністю саме визнання того, що виділені вище діяння втратили суспільну небезпечність і відпала необхідність подальшої боротьби з ними за допомогою КК.</w:t>
      </w:r>
      <w:r w:rsidR="0070473B" w:rsidRPr="0009007A">
        <w:rPr>
          <w:rFonts w:ascii="Times New Roman" w:hAnsi="Times New Roman" w:cs="Times New Roman"/>
          <w:sz w:val="28"/>
          <w:szCs w:val="28"/>
        </w:rPr>
        <w:t xml:space="preserve"> </w:t>
      </w:r>
      <w:r w:rsidR="007952D8">
        <w:rPr>
          <w:rFonts w:ascii="Times New Roman" w:hAnsi="Times New Roman" w:cs="Times New Roman"/>
          <w:sz w:val="28"/>
          <w:szCs w:val="28"/>
        </w:rPr>
        <w:t>Крім того</w:t>
      </w:r>
      <w:r w:rsidRPr="0009007A">
        <w:rPr>
          <w:rFonts w:ascii="Times New Roman" w:hAnsi="Times New Roman" w:cs="Times New Roman"/>
          <w:sz w:val="28"/>
          <w:szCs w:val="28"/>
        </w:rPr>
        <w:t>, виключення кримінальної відповідальності виділених вище чотирьох груп діянь не відповідає критеріям декриміналізації, які виділяються у науці кримінального права</w:t>
      </w:r>
      <w:r w:rsidRPr="0009007A">
        <w:rPr>
          <w:rStyle w:val="a5"/>
          <w:rFonts w:ascii="Times New Roman" w:hAnsi="Times New Roman" w:cs="Times New Roman"/>
          <w:sz w:val="28"/>
          <w:szCs w:val="28"/>
        </w:rPr>
        <w:footnoteReference w:id="4"/>
      </w:r>
      <w:r w:rsidRPr="0009007A">
        <w:rPr>
          <w:rFonts w:ascii="Times New Roman" w:hAnsi="Times New Roman" w:cs="Times New Roman"/>
          <w:sz w:val="28"/>
          <w:szCs w:val="28"/>
        </w:rPr>
        <w:t>.</w:t>
      </w:r>
      <w:r w:rsidR="003B6F98" w:rsidRPr="0009007A">
        <w:rPr>
          <w:rFonts w:ascii="Times New Roman" w:hAnsi="Times New Roman" w:cs="Times New Roman"/>
          <w:sz w:val="28"/>
          <w:szCs w:val="28"/>
        </w:rPr>
        <w:t xml:space="preserve"> </w:t>
      </w:r>
      <w:r w:rsidRPr="0009007A">
        <w:rPr>
          <w:rFonts w:ascii="Times New Roman" w:hAnsi="Times New Roman" w:cs="Times New Roman"/>
          <w:sz w:val="28"/>
          <w:szCs w:val="28"/>
        </w:rPr>
        <w:t>Саме у зв’язку із цим таку декриміналізацію слід назвати фактичною (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007A">
        <w:rPr>
          <w:rFonts w:ascii="Times New Roman" w:hAnsi="Times New Roman" w:cs="Times New Roman"/>
          <w:sz w:val="28"/>
          <w:szCs w:val="28"/>
        </w:rPr>
        <w:t>facto</w:t>
      </w:r>
      <w:proofErr w:type="spellEnd"/>
      <w:r w:rsidRPr="0009007A">
        <w:rPr>
          <w:rFonts w:ascii="Times New Roman" w:hAnsi="Times New Roman" w:cs="Times New Roman"/>
          <w:sz w:val="28"/>
          <w:szCs w:val="28"/>
        </w:rPr>
        <w:t>).</w:t>
      </w:r>
    </w:p>
    <w:p w:rsidR="009C55CF" w:rsidRPr="0009007A" w:rsidRDefault="009C55CF" w:rsidP="000421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При цьому, навіть якщо допустити ту, як видається, незначну вірогідність, що суди України у своїй практиці залишать за нормою про незаконне збагачення (у редакціях, діючих з 26.01.2015 року і сьогодні) функцію елементу основного рубежу протидії корупції та продовжать її використання як резервну підставу 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 xml:space="preserve">кримінальної відповідальності щодо інших корупційних злочинів публічного сектору, то все одно поза кримінально-правовою забороною залишаться діяння по одержанню 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lastRenderedPageBreak/>
        <w:t>неправомірної вигоди у розмірі до 1000 НМДГ службовими особами публічного сектору, якщо такі діяння не будуть містити ознаки інших корупційних злочинів окрім того, що передбачений ст.368-2 КК.</w:t>
      </w:r>
    </w:p>
    <w:p w:rsidR="009C55CF" w:rsidRPr="0009007A" w:rsidRDefault="009C55CF" w:rsidP="00A47B68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007A">
        <w:rPr>
          <w:rFonts w:ascii="Times New Roman" w:hAnsi="Times New Roman" w:cs="Times New Roman"/>
          <w:sz w:val="28"/>
          <w:szCs w:val="28"/>
        </w:rPr>
        <w:t xml:space="preserve">На підставі зазначеного можна зробити висновок про необхідність усунення описаної вище прогалини у Кримінальному законі шляхом конструювання у КК статті, яка б поряд із нормою про незаконне збагачення (ст.368-2 КК) як елементом виключно завершального рубежу протидії корупції </w:t>
      </w:r>
      <w:r w:rsidR="00A47B68">
        <w:rPr>
          <w:rFonts w:ascii="Times New Roman" w:hAnsi="Times New Roman" w:cs="Times New Roman"/>
          <w:sz w:val="28"/>
          <w:szCs w:val="28"/>
        </w:rPr>
        <w:t xml:space="preserve">встановлювала відповідальність за </w:t>
      </w:r>
      <w:r w:rsidRPr="0009007A">
        <w:rPr>
          <w:rFonts w:ascii="Times New Roman" w:hAnsi="Times New Roman" w:cs="Times New Roman"/>
          <w:sz w:val="28"/>
          <w:szCs w:val="28"/>
        </w:rPr>
        <w:t>суспільно небезпечн</w:t>
      </w:r>
      <w:r w:rsidR="00A47B68">
        <w:rPr>
          <w:rFonts w:ascii="Times New Roman" w:hAnsi="Times New Roman" w:cs="Times New Roman"/>
          <w:sz w:val="28"/>
          <w:szCs w:val="28"/>
        </w:rPr>
        <w:t>і</w:t>
      </w:r>
      <w:r w:rsidRPr="0009007A">
        <w:rPr>
          <w:rFonts w:ascii="Times New Roman" w:hAnsi="Times New Roman" w:cs="Times New Roman"/>
          <w:sz w:val="28"/>
          <w:szCs w:val="28"/>
        </w:rPr>
        <w:t xml:space="preserve"> діян</w:t>
      </w:r>
      <w:r w:rsidR="00A47B68">
        <w:rPr>
          <w:rFonts w:ascii="Times New Roman" w:hAnsi="Times New Roman" w:cs="Times New Roman"/>
          <w:sz w:val="28"/>
          <w:szCs w:val="28"/>
        </w:rPr>
        <w:t>ня</w:t>
      </w:r>
      <w:r w:rsidRPr="0009007A">
        <w:rPr>
          <w:rFonts w:ascii="Times New Roman" w:hAnsi="Times New Roman" w:cs="Times New Roman"/>
          <w:sz w:val="28"/>
          <w:szCs w:val="28"/>
        </w:rPr>
        <w:t xml:space="preserve">, які не можуть бути кваліфіковані за статтями про інші корупційні злочини, пов’язані із отриманням неправомірної вигоди у розмірі 100 НМДГ і більше та для криміналізації яких існують необхідні підстави. Така стаття має виконувати функцію виключно елементу основного рубежу протидії корупції, передбачати резервну підставу </w:t>
      </w:r>
      <w:r w:rsidRPr="0009007A">
        <w:rPr>
          <w:rFonts w:ascii="Times New Roman" w:hAnsi="Times New Roman" w:cs="Times New Roman"/>
          <w:color w:val="000000"/>
          <w:sz w:val="28"/>
          <w:szCs w:val="28"/>
        </w:rPr>
        <w:t>кримінальної відповідальності щодо інших корупційних злочинів публічного сектору і застосовуватися у тому числі до виділених вище чотирьох груп правових ситуацій.</w:t>
      </w:r>
    </w:p>
    <w:sectPr w:rsidR="009C55CF" w:rsidRPr="0009007A" w:rsidSect="0009007A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6E2" w:rsidRDefault="00C216E2" w:rsidP="009C55CF">
      <w:pPr>
        <w:spacing w:after="0" w:line="240" w:lineRule="auto"/>
      </w:pPr>
      <w:r>
        <w:separator/>
      </w:r>
    </w:p>
  </w:endnote>
  <w:endnote w:type="continuationSeparator" w:id="0">
    <w:p w:rsidR="00C216E2" w:rsidRDefault="00C216E2" w:rsidP="009C5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6E2" w:rsidRDefault="00C216E2" w:rsidP="009C55CF">
      <w:pPr>
        <w:spacing w:after="0" w:line="240" w:lineRule="auto"/>
      </w:pPr>
      <w:r>
        <w:separator/>
      </w:r>
    </w:p>
  </w:footnote>
  <w:footnote w:type="continuationSeparator" w:id="0">
    <w:p w:rsidR="00C216E2" w:rsidRDefault="00C216E2" w:rsidP="009C55CF">
      <w:pPr>
        <w:spacing w:after="0" w:line="240" w:lineRule="auto"/>
      </w:pPr>
      <w:r>
        <w:continuationSeparator/>
      </w:r>
    </w:p>
  </w:footnote>
  <w:footnote w:id="1">
    <w:p w:rsidR="00751AF9" w:rsidRPr="002B686C" w:rsidRDefault="00751AF9" w:rsidP="00FF293D">
      <w:pPr>
        <w:pStyle w:val="a3"/>
        <w:jc w:val="both"/>
        <w:rPr>
          <w:rFonts w:ascii="Times New Roman" w:hAnsi="Times New Roman" w:cs="Times New Roman"/>
          <w:sz w:val="16"/>
          <w:szCs w:val="16"/>
        </w:rPr>
      </w:pPr>
      <w:r w:rsidRPr="002B686C">
        <w:rPr>
          <w:rStyle w:val="a5"/>
          <w:rFonts w:ascii="Times New Roman" w:hAnsi="Times New Roman" w:cs="Times New Roman"/>
          <w:sz w:val="16"/>
          <w:szCs w:val="16"/>
        </w:rPr>
        <w:footnoteRef/>
      </w:r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r w:rsidR="00FF293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 xml:space="preserve">Михайленко Д. Г. Місце норми про незаконне збагачення у механізмі кримінально-правової протидії корупційним злочинам / Д. Г. Михайленко // Молодий вчений – 2015. – №2(17). – С.807-812 : [Електронний ресурс]. – Режим доступу: </w:t>
      </w:r>
      <w:hyperlink r:id="rId1" w:history="1">
        <w:r w:rsidR="00FF293D" w:rsidRPr="002B686C">
          <w:rPr>
            <w:rFonts w:ascii="Times New Roman" w:hAnsi="Times New Roman" w:cs="Times New Roman"/>
            <w:color w:val="000000"/>
            <w:sz w:val="16"/>
            <w:szCs w:val="16"/>
          </w:rPr>
          <w:t>http://molodyvcheny.in.ua/files/journal/2015/2/489.pdf</w:t>
        </w:r>
      </w:hyperlink>
      <w:r w:rsidR="00FF293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 xml:space="preserve">; </w:t>
      </w:r>
      <w:r w:rsidR="001B1AAB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>Михайленко Д.Г. Функції норми про незаконне збагачення в Україні / Д.Г. Михайленко // Кримінально-правові та кримінологічні засади протидії корупції : Збірник матеріалів ІІІ Міжнародної науково-практичної конференції [3 квітня 2015 року, м. Харків] / МВС України ; Харківський нац. ун-т внутрішніх справ ;</w:t>
      </w:r>
      <w:r w:rsidR="001B1AAB" w:rsidRPr="002B686C">
        <w:rPr>
          <w:rFonts w:ascii="Times New Roman" w:hAnsi="Times New Roman" w:cs="Times New Roman"/>
          <w:sz w:val="16"/>
          <w:szCs w:val="16"/>
        </w:rPr>
        <w:t xml:space="preserve"> </w:t>
      </w:r>
      <w:r w:rsidR="001B1AAB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>Кримінологічна асоціація України. – Х. : Золота миля, 2015. – С.125-129</w:t>
      </w:r>
      <w:r w:rsidR="0075762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 xml:space="preserve">; Михайленко Д. Г. Розвиток норми про незаконне збагачення в умовах зміни державної антикорупційної політики / Д. Г. Михайленко // Новітні тенденції законотворчості у сфері кримінального права : матеріали </w:t>
      </w:r>
      <w:proofErr w:type="spellStart"/>
      <w:r w:rsidR="0075762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>Інтернет-конференції</w:t>
      </w:r>
      <w:proofErr w:type="spellEnd"/>
      <w:r w:rsidR="0075762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 xml:space="preserve"> (м. Одеса, 20 квітня 2015 р.). – [Електронний ресурс]. – Режим доступу: </w:t>
      </w:r>
      <w:hyperlink r:id="rId2" w:history="1">
        <w:r w:rsidR="0075762D" w:rsidRPr="002B686C">
          <w:rPr>
            <w:rFonts w:ascii="Times New Roman" w:hAnsi="Times New Roman" w:cs="Times New Roman"/>
            <w:bCs/>
            <w:color w:val="000000"/>
            <w:sz w:val="16"/>
            <w:szCs w:val="16"/>
          </w:rPr>
          <w:t>http://www.onua.edu.ua/downloads/crime_pravo/inter-conf_ugolpravo_20150420.doc</w:t>
        </w:r>
      </w:hyperlink>
      <w:r w:rsidR="0075762D" w:rsidRPr="002B686C">
        <w:rPr>
          <w:rFonts w:ascii="Times New Roman" w:hAnsi="Times New Roman" w:cs="Times New Roman"/>
          <w:bCs/>
          <w:color w:val="000000"/>
          <w:sz w:val="16"/>
          <w:szCs w:val="16"/>
        </w:rPr>
        <w:t>.</w:t>
      </w:r>
    </w:p>
  </w:footnote>
  <w:footnote w:id="2">
    <w:p w:rsidR="00387B81" w:rsidRPr="002B686C" w:rsidRDefault="00387B81" w:rsidP="00387B81">
      <w:pPr>
        <w:pStyle w:val="a3"/>
        <w:jc w:val="both"/>
        <w:rPr>
          <w:rFonts w:ascii="Times New Roman" w:hAnsi="Times New Roman" w:cs="Times New Roman"/>
          <w:sz w:val="16"/>
          <w:szCs w:val="16"/>
        </w:rPr>
      </w:pPr>
      <w:r w:rsidRPr="002B686C">
        <w:rPr>
          <w:rStyle w:val="a5"/>
          <w:rFonts w:ascii="Times New Roman" w:hAnsi="Times New Roman" w:cs="Times New Roman"/>
          <w:sz w:val="16"/>
          <w:szCs w:val="16"/>
        </w:rPr>
        <w:footnoteRef/>
      </w:r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r w:rsidRPr="002B686C">
        <w:rPr>
          <w:rFonts w:ascii="Times New Roman" w:hAnsi="Times New Roman" w:cs="Times New Roman"/>
          <w:sz w:val="16"/>
          <w:szCs w:val="16"/>
        </w:rPr>
        <w:t xml:space="preserve">Постанова Верховного Суду України від 07.11.2013 року по справі № 5-29кс13 : </w:t>
      </w:r>
      <w:r w:rsidRPr="002B686C">
        <w:rPr>
          <w:rFonts w:ascii="Times New Roman" w:hAnsi="Times New Roman" w:cs="Times New Roman"/>
          <w:sz w:val="16"/>
          <w:szCs w:val="16"/>
        </w:rPr>
        <w:sym w:font="Symbol" w:char="005B"/>
      </w:r>
      <w:r w:rsidRPr="002B686C">
        <w:rPr>
          <w:rFonts w:ascii="Times New Roman" w:hAnsi="Times New Roman" w:cs="Times New Roman"/>
          <w:sz w:val="16"/>
          <w:szCs w:val="16"/>
        </w:rPr>
        <w:t xml:space="preserve">Електронний ресурс]. – Режим доступу: </w:t>
      </w:r>
      <w:hyperlink r:id="rId3" w:history="1">
        <w:r w:rsidRPr="002B686C">
          <w:rPr>
            <w:rFonts w:ascii="Times New Roman" w:hAnsi="Times New Roman" w:cs="Times New Roman"/>
            <w:sz w:val="16"/>
            <w:szCs w:val="16"/>
          </w:rPr>
          <w:t>http://www.scourt.gov.ua</w:t>
        </w:r>
      </w:hyperlink>
      <w:r w:rsidRPr="002B686C">
        <w:rPr>
          <w:rFonts w:ascii="Times New Roman" w:hAnsi="Times New Roman" w:cs="Times New Roman"/>
          <w:sz w:val="16"/>
          <w:szCs w:val="16"/>
        </w:rPr>
        <w:t xml:space="preserve">; Постанова Верховного Суду України від 09.04.2015 року по справі № 5-5кс15 : </w:t>
      </w:r>
      <w:r w:rsidRPr="002B686C">
        <w:rPr>
          <w:rFonts w:ascii="Times New Roman" w:hAnsi="Times New Roman" w:cs="Times New Roman"/>
          <w:sz w:val="16"/>
          <w:szCs w:val="16"/>
        </w:rPr>
        <w:sym w:font="Symbol" w:char="005B"/>
      </w:r>
      <w:r w:rsidRPr="002B686C">
        <w:rPr>
          <w:rFonts w:ascii="Times New Roman" w:hAnsi="Times New Roman" w:cs="Times New Roman"/>
          <w:sz w:val="16"/>
          <w:szCs w:val="16"/>
        </w:rPr>
        <w:t>Електронний ресурс]. – Режим доступу: http://www.scourt.gov.ua.</w:t>
      </w:r>
    </w:p>
  </w:footnote>
  <w:footnote w:id="3">
    <w:p w:rsidR="009C55CF" w:rsidRPr="002B686C" w:rsidRDefault="009C55CF" w:rsidP="00FF293D">
      <w:pPr>
        <w:pStyle w:val="a3"/>
        <w:jc w:val="both"/>
        <w:rPr>
          <w:rFonts w:ascii="Times New Roman" w:hAnsi="Times New Roman" w:cs="Times New Roman"/>
          <w:sz w:val="16"/>
          <w:szCs w:val="16"/>
        </w:rPr>
      </w:pPr>
      <w:r w:rsidRPr="002B686C">
        <w:rPr>
          <w:rStyle w:val="a5"/>
          <w:rFonts w:ascii="Times New Roman" w:hAnsi="Times New Roman" w:cs="Times New Roman"/>
          <w:sz w:val="16"/>
          <w:szCs w:val="16"/>
        </w:rPr>
        <w:footnoteRef/>
      </w:r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Фріс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П.Л. Криміналізація і декриміналізація у кримінально-правовій політиці / П.Л.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Фріс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// Вісник Асоціації кримінального права України. – 2014. – №1. – С.27 (С.19-28).</w:t>
      </w:r>
    </w:p>
  </w:footnote>
  <w:footnote w:id="4">
    <w:p w:rsidR="009C55CF" w:rsidRPr="002B686C" w:rsidRDefault="009C55CF" w:rsidP="00FF293D">
      <w:pPr>
        <w:pStyle w:val="a3"/>
        <w:jc w:val="both"/>
        <w:rPr>
          <w:rFonts w:ascii="Times New Roman" w:hAnsi="Times New Roman" w:cs="Times New Roman"/>
          <w:sz w:val="16"/>
          <w:szCs w:val="16"/>
        </w:rPr>
      </w:pPr>
      <w:r w:rsidRPr="002B686C">
        <w:rPr>
          <w:rStyle w:val="a5"/>
          <w:rFonts w:ascii="Times New Roman" w:hAnsi="Times New Roman" w:cs="Times New Roman"/>
          <w:sz w:val="16"/>
          <w:szCs w:val="16"/>
        </w:rPr>
        <w:footnoteRef/>
      </w:r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Туляков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В. О.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Основания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теории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декриминализации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/ В.О.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Туляков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// Сучасний вимір держави та права : зб. наук. пр. / за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ред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 В. І.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Терентьева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 xml:space="preserve">, О. В. Козаченка. – Миколаїв : </w:t>
      </w:r>
      <w:proofErr w:type="spellStart"/>
      <w:r w:rsidRPr="002B686C">
        <w:rPr>
          <w:rFonts w:ascii="Times New Roman" w:hAnsi="Times New Roman" w:cs="Times New Roman"/>
          <w:sz w:val="16"/>
          <w:szCs w:val="16"/>
        </w:rPr>
        <w:t>Іліон</w:t>
      </w:r>
      <w:proofErr w:type="spellEnd"/>
      <w:r w:rsidRPr="002B686C">
        <w:rPr>
          <w:rFonts w:ascii="Times New Roman" w:hAnsi="Times New Roman" w:cs="Times New Roman"/>
          <w:sz w:val="16"/>
          <w:szCs w:val="16"/>
        </w:rPr>
        <w:t>, 2008. – С. 476-477.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C55CF"/>
    <w:rsid w:val="00023293"/>
    <w:rsid w:val="00042197"/>
    <w:rsid w:val="0004710C"/>
    <w:rsid w:val="00057660"/>
    <w:rsid w:val="0009007A"/>
    <w:rsid w:val="000A608C"/>
    <w:rsid w:val="000B170D"/>
    <w:rsid w:val="000E073F"/>
    <w:rsid w:val="00112170"/>
    <w:rsid w:val="00135F7B"/>
    <w:rsid w:val="001707D0"/>
    <w:rsid w:val="00191524"/>
    <w:rsid w:val="001B1AAB"/>
    <w:rsid w:val="001C0A4A"/>
    <w:rsid w:val="001C364B"/>
    <w:rsid w:val="001E1A73"/>
    <w:rsid w:val="001E6826"/>
    <w:rsid w:val="002124DD"/>
    <w:rsid w:val="002351CF"/>
    <w:rsid w:val="00246524"/>
    <w:rsid w:val="00257A3F"/>
    <w:rsid w:val="00296026"/>
    <w:rsid w:val="002B686C"/>
    <w:rsid w:val="002C622E"/>
    <w:rsid w:val="002D4B75"/>
    <w:rsid w:val="002E2CCE"/>
    <w:rsid w:val="002E3DAF"/>
    <w:rsid w:val="002F2FB3"/>
    <w:rsid w:val="002F3F81"/>
    <w:rsid w:val="00315A13"/>
    <w:rsid w:val="00323AF9"/>
    <w:rsid w:val="00325E71"/>
    <w:rsid w:val="00336764"/>
    <w:rsid w:val="00360AF6"/>
    <w:rsid w:val="00387B81"/>
    <w:rsid w:val="003A4F2A"/>
    <w:rsid w:val="003A7ABB"/>
    <w:rsid w:val="003B6F98"/>
    <w:rsid w:val="003E31BC"/>
    <w:rsid w:val="003F2AE0"/>
    <w:rsid w:val="004B71A5"/>
    <w:rsid w:val="004C2995"/>
    <w:rsid w:val="005157CF"/>
    <w:rsid w:val="00617341"/>
    <w:rsid w:val="00676609"/>
    <w:rsid w:val="006B04C8"/>
    <w:rsid w:val="006D03B1"/>
    <w:rsid w:val="0070473B"/>
    <w:rsid w:val="007366C2"/>
    <w:rsid w:val="00751AF9"/>
    <w:rsid w:val="0075762D"/>
    <w:rsid w:val="00786490"/>
    <w:rsid w:val="007952D8"/>
    <w:rsid w:val="007C3F34"/>
    <w:rsid w:val="008368F6"/>
    <w:rsid w:val="00882FA9"/>
    <w:rsid w:val="008C236C"/>
    <w:rsid w:val="008C2B0C"/>
    <w:rsid w:val="00920200"/>
    <w:rsid w:val="009863A2"/>
    <w:rsid w:val="00987222"/>
    <w:rsid w:val="00997BB6"/>
    <w:rsid w:val="009C55CF"/>
    <w:rsid w:val="009E01F3"/>
    <w:rsid w:val="009E56C7"/>
    <w:rsid w:val="009E7DEE"/>
    <w:rsid w:val="00A168C2"/>
    <w:rsid w:val="00A26008"/>
    <w:rsid w:val="00A31FE0"/>
    <w:rsid w:val="00A343E5"/>
    <w:rsid w:val="00A47B68"/>
    <w:rsid w:val="00AF3C03"/>
    <w:rsid w:val="00AF4744"/>
    <w:rsid w:val="00B54631"/>
    <w:rsid w:val="00B711E2"/>
    <w:rsid w:val="00BE0B96"/>
    <w:rsid w:val="00C216E2"/>
    <w:rsid w:val="00C272A2"/>
    <w:rsid w:val="00C34040"/>
    <w:rsid w:val="00C414A3"/>
    <w:rsid w:val="00C574E9"/>
    <w:rsid w:val="00C606C5"/>
    <w:rsid w:val="00C652FB"/>
    <w:rsid w:val="00C72266"/>
    <w:rsid w:val="00C81C79"/>
    <w:rsid w:val="00CA7B8E"/>
    <w:rsid w:val="00CB428B"/>
    <w:rsid w:val="00CD3754"/>
    <w:rsid w:val="00CE6655"/>
    <w:rsid w:val="00CF45EC"/>
    <w:rsid w:val="00D266D5"/>
    <w:rsid w:val="00D36B45"/>
    <w:rsid w:val="00D564C1"/>
    <w:rsid w:val="00D65278"/>
    <w:rsid w:val="00D94351"/>
    <w:rsid w:val="00DA0B16"/>
    <w:rsid w:val="00DA7B4B"/>
    <w:rsid w:val="00DF5A33"/>
    <w:rsid w:val="00E05257"/>
    <w:rsid w:val="00EA3E2B"/>
    <w:rsid w:val="00ED12B7"/>
    <w:rsid w:val="00EF3695"/>
    <w:rsid w:val="00F01353"/>
    <w:rsid w:val="00F0344F"/>
    <w:rsid w:val="00F16E44"/>
    <w:rsid w:val="00F65E33"/>
    <w:rsid w:val="00F73BC5"/>
    <w:rsid w:val="00F76035"/>
    <w:rsid w:val="00FA54A9"/>
    <w:rsid w:val="00FC5D03"/>
    <w:rsid w:val="00FF2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5CF"/>
  </w:style>
  <w:style w:type="paragraph" w:styleId="1">
    <w:name w:val="heading 1"/>
    <w:basedOn w:val="a"/>
    <w:link w:val="10"/>
    <w:uiPriority w:val="9"/>
    <w:qFormat/>
    <w:rsid w:val="009C55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C55C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3">
    <w:name w:val="footnote text"/>
    <w:basedOn w:val="a"/>
    <w:link w:val="a4"/>
    <w:unhideWhenUsed/>
    <w:rsid w:val="009C55C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rsid w:val="009C55CF"/>
    <w:rPr>
      <w:sz w:val="20"/>
      <w:szCs w:val="20"/>
    </w:rPr>
  </w:style>
  <w:style w:type="character" w:styleId="a5">
    <w:name w:val="footnote reference"/>
    <w:basedOn w:val="a0"/>
    <w:semiHidden/>
    <w:unhideWhenUsed/>
    <w:rsid w:val="009C55CF"/>
    <w:rPr>
      <w:vertAlign w:val="superscript"/>
    </w:rPr>
  </w:style>
  <w:style w:type="paragraph" w:customStyle="1" w:styleId="rvps2">
    <w:name w:val="rvps2"/>
    <w:basedOn w:val="a"/>
    <w:rsid w:val="009C5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9C55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9C55CF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6">
    <w:name w:val="Normal (Web)"/>
    <w:basedOn w:val="a"/>
    <w:uiPriority w:val="99"/>
    <w:unhideWhenUsed/>
    <w:rsid w:val="009C5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endnote text"/>
    <w:basedOn w:val="a"/>
    <w:link w:val="a8"/>
    <w:semiHidden/>
    <w:rsid w:val="009C55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8">
    <w:name w:val="Текст концевой сноски Знак"/>
    <w:basedOn w:val="a0"/>
    <w:link w:val="a7"/>
    <w:semiHidden/>
    <w:rsid w:val="009C55C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9">
    <w:name w:val="Hyperlink"/>
    <w:basedOn w:val="a0"/>
    <w:uiPriority w:val="99"/>
    <w:unhideWhenUsed/>
    <w:rsid w:val="006D03B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court.gov.ua" TargetMode="External"/><Relationship Id="rId2" Type="http://schemas.openxmlformats.org/officeDocument/2006/relationships/hyperlink" Target="http://www.onua.edu.ua/downloads/crime_pravo/inter-conf_ugolpravo_20150420.doc" TargetMode="External"/><Relationship Id="rId1" Type="http://schemas.openxmlformats.org/officeDocument/2006/relationships/hyperlink" Target="http://molodyvcheny.in.ua/files/journal/2015/2/48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6</Pages>
  <Words>7204</Words>
  <Characters>4107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27</cp:revision>
  <dcterms:created xsi:type="dcterms:W3CDTF">2015-08-01T08:25:00Z</dcterms:created>
  <dcterms:modified xsi:type="dcterms:W3CDTF">2015-08-05T14:38:00Z</dcterms:modified>
</cp:coreProperties>
</file>