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CE3F50" w14:textId="77777777" w:rsidR="0098047A" w:rsidRPr="00276ED1" w:rsidRDefault="0098047A" w:rsidP="0098047A">
      <w:pPr>
        <w:keepNext/>
        <w:spacing w:before="360" w:after="240"/>
        <w:ind w:firstLine="0"/>
        <w:jc w:val="center"/>
        <w:rPr>
          <w:rFonts w:cs="Times New Roman"/>
          <w:b/>
          <w:szCs w:val="28"/>
        </w:rPr>
      </w:pPr>
      <w:r w:rsidRPr="00276ED1">
        <w:rPr>
          <w:rFonts w:cs="Times New Roman"/>
          <w:b/>
          <w:szCs w:val="28"/>
        </w:rPr>
        <w:t>АНОТАЦІЯ</w:t>
      </w:r>
    </w:p>
    <w:p w14:paraId="585FC66A" w14:textId="77777777" w:rsidR="0098047A" w:rsidRPr="00276ED1" w:rsidRDefault="0098047A" w:rsidP="0098047A">
      <w:pPr>
        <w:rPr>
          <w:rFonts w:cs="Times New Roman"/>
          <w:szCs w:val="28"/>
        </w:rPr>
      </w:pPr>
      <w:r>
        <w:rPr>
          <w:rFonts w:cs="Times New Roman"/>
          <w:b/>
          <w:szCs w:val="28"/>
        </w:rPr>
        <w:t xml:space="preserve">Самокиш І.В. </w:t>
      </w:r>
      <w:r w:rsidRPr="00276ED1">
        <w:rPr>
          <w:rFonts w:cs="Times New Roman"/>
          <w:b/>
          <w:szCs w:val="28"/>
        </w:rPr>
        <w:t>Кримінально-правова охорона власності за законодавством України та країн Східної Європи</w:t>
      </w:r>
      <w:r>
        <w:rPr>
          <w:rFonts w:cs="Times New Roman"/>
          <w:b/>
          <w:szCs w:val="28"/>
          <w:lang w:val="ru-RU"/>
        </w:rPr>
        <w:t>.</w:t>
      </w:r>
      <w:r w:rsidRPr="00276ED1">
        <w:rPr>
          <w:rFonts w:cs="Times New Roman"/>
          <w:b/>
          <w:szCs w:val="28"/>
        </w:rPr>
        <w:t xml:space="preserve"> </w:t>
      </w:r>
      <w:r w:rsidRPr="00276ED1">
        <w:rPr>
          <w:rFonts w:cs="Times New Roman"/>
          <w:szCs w:val="28"/>
        </w:rPr>
        <w:t xml:space="preserve">– Кваліфікаційна наукова праця на правах рукопису. Дисертація на здобуття ступеня доктора філософії за спеціальністю 081 </w:t>
      </w:r>
      <w:r>
        <w:rPr>
          <w:rFonts w:cs="Times New Roman"/>
          <w:szCs w:val="28"/>
          <w:lang w:val="ru-RU"/>
        </w:rPr>
        <w:t xml:space="preserve">– </w:t>
      </w:r>
      <w:r w:rsidRPr="00276ED1">
        <w:rPr>
          <w:rFonts w:cs="Times New Roman"/>
          <w:szCs w:val="28"/>
        </w:rPr>
        <w:t>Право. – Національний університет «Одеська юридична академія», Одеса, 202</w:t>
      </w:r>
      <w:r>
        <w:rPr>
          <w:rFonts w:cs="Times New Roman"/>
          <w:szCs w:val="28"/>
          <w:lang w:val="ru-RU"/>
        </w:rPr>
        <w:t>1</w:t>
      </w:r>
      <w:r w:rsidRPr="00276ED1">
        <w:rPr>
          <w:rFonts w:cs="Times New Roman"/>
          <w:szCs w:val="28"/>
        </w:rPr>
        <w:t>.</w:t>
      </w:r>
    </w:p>
    <w:p w14:paraId="6D4BAEFD" w14:textId="77777777" w:rsidR="0098047A" w:rsidRPr="00276ED1" w:rsidRDefault="0098047A" w:rsidP="0098047A">
      <w:pPr>
        <w:autoSpaceDE w:val="0"/>
        <w:autoSpaceDN w:val="0"/>
        <w:adjustRightInd w:val="0"/>
        <w:rPr>
          <w:rFonts w:cs="Times New Roman"/>
          <w:szCs w:val="28"/>
        </w:rPr>
      </w:pPr>
      <w:r w:rsidRPr="00276ED1">
        <w:rPr>
          <w:rFonts w:cs="Times New Roman"/>
          <w:szCs w:val="28"/>
        </w:rPr>
        <w:t>Дисертацію присвячено комплексному дослідженню кримінально-правової охорони власності за законодавством України та країн Східної Європи</w:t>
      </w:r>
      <w:r>
        <w:rPr>
          <w:rFonts w:cs="Times New Roman"/>
          <w:szCs w:val="28"/>
          <w:lang w:val="ru-RU"/>
        </w:rPr>
        <w:t>,</w:t>
      </w:r>
      <w:r w:rsidRPr="00276ED1">
        <w:rPr>
          <w:rFonts w:cs="Times New Roman"/>
          <w:szCs w:val="28"/>
        </w:rPr>
        <w:t xml:space="preserve"> в результаті якого сформульовано низку пропозицій та рекомендацій щодо </w:t>
      </w:r>
      <w:r>
        <w:rPr>
          <w:rFonts w:cs="Times New Roman"/>
          <w:szCs w:val="28"/>
          <w:lang w:val="ru-RU"/>
        </w:rPr>
        <w:t>в</w:t>
      </w:r>
      <w:r w:rsidRPr="00276ED1">
        <w:rPr>
          <w:rFonts w:cs="Times New Roman"/>
          <w:szCs w:val="28"/>
        </w:rPr>
        <w:t xml:space="preserve">досконалення змісту та форми КК України щодо кримінально-правової охорони власності. </w:t>
      </w:r>
    </w:p>
    <w:p w14:paraId="0B8521FD" w14:textId="77777777" w:rsidR="0098047A" w:rsidRPr="00276ED1" w:rsidRDefault="0098047A" w:rsidP="0098047A">
      <w:pPr>
        <w:autoSpaceDE w:val="0"/>
        <w:autoSpaceDN w:val="0"/>
        <w:adjustRightInd w:val="0"/>
        <w:rPr>
          <w:rFonts w:cs="Times New Roman"/>
          <w:szCs w:val="28"/>
        </w:rPr>
      </w:pPr>
      <w:r w:rsidRPr="00276ED1">
        <w:rPr>
          <w:rFonts w:cs="Times New Roman"/>
          <w:szCs w:val="28"/>
        </w:rPr>
        <w:t xml:space="preserve">У першому розділі, присвяченому теоретико–правовим засадам кримінально – правової охорони власності за законодавством України і країн </w:t>
      </w:r>
      <w:r>
        <w:rPr>
          <w:rFonts w:cs="Times New Roman"/>
          <w:szCs w:val="28"/>
          <w:lang w:val="ru-RU"/>
        </w:rPr>
        <w:t>С</w:t>
      </w:r>
      <w:r w:rsidRPr="00276ED1">
        <w:rPr>
          <w:rFonts w:cs="Times New Roman"/>
          <w:szCs w:val="28"/>
        </w:rPr>
        <w:t>хідної Європи</w:t>
      </w:r>
      <w:r>
        <w:rPr>
          <w:rFonts w:cs="Times New Roman"/>
          <w:szCs w:val="28"/>
          <w:lang w:val="ru-RU"/>
        </w:rPr>
        <w:t>,</w:t>
      </w:r>
      <w:r w:rsidRPr="00276ED1">
        <w:rPr>
          <w:rFonts w:cs="Times New Roman"/>
          <w:szCs w:val="28"/>
        </w:rPr>
        <w:t xml:space="preserve"> проаналізовано історичні юридичні норми щодо відповідальності за кримінальні правопорушення проти власності у законодавстві України та країн Східної Європи. Досліджено розвиток законодавства України та деяких країн Східної Європи щодо кримінальної відповідальності за кримінальні правопорушення проти власності від початку кодифікації права до сьогодення. Проаналізовано спільні тенденції розвитку законодавства для країн Східної Європи. Аналіз історії кримінально – правової охорони власності в Україні та країнах Східної Європи показав, що українська кримінально-правова традиція щодо охорони власності вплив</w:t>
      </w:r>
      <w:r>
        <w:rPr>
          <w:rFonts w:cs="Times New Roman"/>
          <w:szCs w:val="28"/>
          <w:lang w:val="ru-RU"/>
        </w:rPr>
        <w:t xml:space="preserve">ала на </w:t>
      </w:r>
      <w:r w:rsidRPr="00276ED1">
        <w:rPr>
          <w:rFonts w:cs="Times New Roman"/>
          <w:szCs w:val="28"/>
        </w:rPr>
        <w:t>держав</w:t>
      </w:r>
      <w:r>
        <w:rPr>
          <w:rFonts w:cs="Times New Roman"/>
          <w:szCs w:val="28"/>
          <w:lang w:val="ru-RU"/>
        </w:rPr>
        <w:t>и</w:t>
      </w:r>
      <w:r w:rsidRPr="00276ED1">
        <w:rPr>
          <w:rFonts w:cs="Times New Roman"/>
          <w:szCs w:val="28"/>
        </w:rPr>
        <w:t xml:space="preserve"> Східної Європи, оскільки, в певні періоди історії, Україна та деякі держави Східної Європи становили єдине державне утворення та мали спільне законодавство. Це призводило до поширення взаємовпливів та запозичень, що відобразилося й на сьогоднішній системі кримінально-правової охорони власності. Не дивлячись на певні відмінності кримінально-правової охорони власності в країнах Східної Європи, можливим є виокремлення певних особливостей на певних етапах </w:t>
      </w:r>
      <w:r>
        <w:rPr>
          <w:rFonts w:cs="Times New Roman"/>
          <w:szCs w:val="28"/>
          <w:lang w:val="ru-RU"/>
        </w:rPr>
        <w:t>г</w:t>
      </w:r>
      <w:r w:rsidRPr="00276ED1">
        <w:rPr>
          <w:rFonts w:cs="Times New Roman"/>
          <w:szCs w:val="28"/>
        </w:rPr>
        <w:t xml:space="preserve">енези кримінально-правової охорони </w:t>
      </w:r>
      <w:r w:rsidRPr="00276ED1">
        <w:rPr>
          <w:rFonts w:cs="Times New Roman"/>
          <w:szCs w:val="28"/>
        </w:rPr>
        <w:lastRenderedPageBreak/>
        <w:t xml:space="preserve">власності. </w:t>
      </w:r>
      <w:r w:rsidRPr="00276ED1">
        <w:rPr>
          <w:rFonts w:eastAsia="TimesNewRomanPSMT" w:cs="Times New Roman"/>
          <w:szCs w:val="28"/>
        </w:rPr>
        <w:t xml:space="preserve">На </w:t>
      </w:r>
      <w:r w:rsidRPr="00276ED1">
        <w:rPr>
          <w:rFonts w:cs="Times New Roman"/>
          <w:szCs w:val="28"/>
        </w:rPr>
        <w:t>основі історичного аналізу розроблено періодизацію розвитку кримінально-правової охорони власності в країнах Східної Європи.</w:t>
      </w:r>
    </w:p>
    <w:p w14:paraId="0D75A6FA" w14:textId="77777777" w:rsidR="0098047A" w:rsidRPr="00276ED1" w:rsidRDefault="0098047A" w:rsidP="009804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Style w:val="tlid-translation"/>
          <w:rFonts w:cs="Times New Roman"/>
          <w:szCs w:val="28"/>
        </w:rPr>
      </w:pPr>
      <w:r w:rsidRPr="00276ED1">
        <w:rPr>
          <w:rFonts w:cs="Times New Roman"/>
          <w:color w:val="000000"/>
          <w:szCs w:val="28"/>
        </w:rPr>
        <w:t>Д</w:t>
      </w:r>
      <w:r w:rsidRPr="00276ED1">
        <w:rPr>
          <w:rFonts w:cs="Times New Roman"/>
          <w:iCs/>
          <w:szCs w:val="28"/>
        </w:rPr>
        <w:t xml:space="preserve">осліджено </w:t>
      </w:r>
      <w:r w:rsidRPr="00276ED1">
        <w:rPr>
          <w:rStyle w:val="tlid-translation"/>
          <w:rFonts w:cs="Times New Roman"/>
          <w:szCs w:val="28"/>
        </w:rPr>
        <w:t xml:space="preserve">кримінальні закони на предмет виявлення кримінально-правових норм про відповідальність за </w:t>
      </w:r>
      <w:r w:rsidRPr="00276ED1">
        <w:rPr>
          <w:rFonts w:cs="Times New Roman"/>
          <w:szCs w:val="28"/>
        </w:rPr>
        <w:t>кримінальні правопорушення</w:t>
      </w:r>
      <w:r w:rsidRPr="00276ED1">
        <w:rPr>
          <w:rStyle w:val="tlid-translation"/>
          <w:rFonts w:cs="Times New Roman"/>
          <w:szCs w:val="28"/>
        </w:rPr>
        <w:t xml:space="preserve"> проти власності в Україні та інших країнах Східної Європи.</w:t>
      </w:r>
    </w:p>
    <w:p w14:paraId="759383E8" w14:textId="2FB7F9C5" w:rsidR="0098047A" w:rsidRPr="00276ED1" w:rsidRDefault="0098047A" w:rsidP="0098047A">
      <w:pPr>
        <w:ind w:firstLine="708"/>
        <w:rPr>
          <w:rFonts w:cs="Times New Roman"/>
          <w:iCs/>
          <w:szCs w:val="28"/>
        </w:rPr>
      </w:pPr>
      <w:r w:rsidRPr="00276ED1">
        <w:rPr>
          <w:rStyle w:val="tlid-translation"/>
          <w:rFonts w:cs="Times New Roman"/>
          <w:szCs w:val="28"/>
        </w:rPr>
        <w:t xml:space="preserve">Виходячи зі спільності законодавчих підходів щодо структури кримінального закону, юридичних конструкцій </w:t>
      </w:r>
      <w:r w:rsidRPr="00276ED1">
        <w:rPr>
          <w:rFonts w:cs="Times New Roman"/>
          <w:szCs w:val="28"/>
        </w:rPr>
        <w:t>кримінальних правопорушень</w:t>
      </w:r>
      <w:r w:rsidRPr="00276ED1">
        <w:rPr>
          <w:rStyle w:val="tlid-translation"/>
          <w:rFonts w:cs="Times New Roman"/>
          <w:szCs w:val="28"/>
        </w:rPr>
        <w:t xml:space="preserve"> проти власності, а також законодавчих підходів до систематизації таких норм, виділено </w:t>
      </w:r>
      <w:r w:rsidR="00176677">
        <w:rPr>
          <w:rStyle w:val="tlid-translation"/>
          <w:rFonts w:cs="Times New Roman"/>
          <w:szCs w:val="28"/>
          <w:lang w:val="ru-RU"/>
        </w:rPr>
        <w:t xml:space="preserve">наступні </w:t>
      </w:r>
      <w:r w:rsidRPr="00276ED1">
        <w:rPr>
          <w:rStyle w:val="tlid-translation"/>
          <w:rFonts w:cs="Times New Roman"/>
          <w:szCs w:val="28"/>
        </w:rPr>
        <w:t>групи країн Східної Європи: 1) слов’янські країни Східної Європи пострадянського простору (</w:t>
      </w:r>
      <w:r w:rsidRPr="00276ED1">
        <w:rPr>
          <w:rFonts w:cs="Times New Roman"/>
          <w:iCs/>
          <w:szCs w:val="28"/>
        </w:rPr>
        <w:t>Україна, Білорусь</w:t>
      </w:r>
      <w:r>
        <w:rPr>
          <w:rFonts w:cs="Times New Roman"/>
          <w:iCs/>
          <w:szCs w:val="28"/>
          <w:lang w:val="ru-RU"/>
        </w:rPr>
        <w:t>, Рос</w:t>
      </w:r>
      <w:r>
        <w:rPr>
          <w:rFonts w:cs="Times New Roman"/>
          <w:iCs/>
          <w:szCs w:val="28"/>
        </w:rPr>
        <w:t>ія</w:t>
      </w:r>
      <w:r w:rsidRPr="00276ED1">
        <w:rPr>
          <w:rStyle w:val="tlid-translation"/>
          <w:rFonts w:cs="Times New Roman"/>
          <w:szCs w:val="28"/>
        </w:rPr>
        <w:t>); 2) слов’янські країни Східної Європи, не пов’язані з радянським періодом (</w:t>
      </w:r>
      <w:r w:rsidRPr="00276ED1">
        <w:rPr>
          <w:rFonts w:cs="Times New Roman"/>
          <w:iCs/>
          <w:szCs w:val="28"/>
        </w:rPr>
        <w:t>Польща, Чехія, Болгарія, Сербія, Словаччина, Хорватія, Боснія і Герцеговина, Македонія, Словенія, Чорногорія</w:t>
      </w:r>
      <w:r w:rsidRPr="00276ED1">
        <w:rPr>
          <w:rStyle w:val="tlid-translation"/>
          <w:rFonts w:cs="Times New Roman"/>
          <w:szCs w:val="28"/>
        </w:rPr>
        <w:t xml:space="preserve">); 3) </w:t>
      </w:r>
      <w:r w:rsidRPr="00276ED1">
        <w:rPr>
          <w:rFonts w:cs="Times New Roman"/>
          <w:iCs/>
          <w:szCs w:val="28"/>
        </w:rPr>
        <w:t>неслов’янські країни Східної Європи (Румунія, Угорщина, Албанія, Молдова, Литва, Латвія, Естонія).</w:t>
      </w:r>
    </w:p>
    <w:p w14:paraId="3738593D" w14:textId="77777777" w:rsidR="0098047A" w:rsidRPr="00276ED1" w:rsidRDefault="0098047A" w:rsidP="0098047A">
      <w:pPr>
        <w:ind w:firstLine="708"/>
        <w:rPr>
          <w:rStyle w:val="tlid-translation"/>
          <w:rFonts w:cs="Times New Roman"/>
          <w:szCs w:val="28"/>
        </w:rPr>
      </w:pPr>
      <w:r w:rsidRPr="00276ED1">
        <w:rPr>
          <w:rStyle w:val="tlid-translation"/>
          <w:rFonts w:cs="Times New Roman"/>
          <w:szCs w:val="28"/>
        </w:rPr>
        <w:t xml:space="preserve">Установлено, що власність як об’єкт кримінально-правової охорони являє собою суспільні відносини, які виникають з приводу не лише речі як предмета матеріального світу, а й інших цінностей, </w:t>
      </w:r>
      <w:r>
        <w:rPr>
          <w:rStyle w:val="tlid-translation"/>
          <w:rFonts w:cs="Times New Roman"/>
          <w:szCs w:val="28"/>
        </w:rPr>
        <w:t>у</w:t>
      </w:r>
      <w:r w:rsidRPr="00276ED1">
        <w:rPr>
          <w:rStyle w:val="tlid-translation"/>
          <w:rFonts w:cs="Times New Roman"/>
          <w:szCs w:val="28"/>
        </w:rPr>
        <w:t xml:space="preserve"> тому числі, не матеріальних. Доведено, що власність може бути визначено по-різному, в залежності від галузі права та правової системи. У правовій доктрині країн Східної Європи власність визначено як сукупність рухомих і нерухомих речей, прав і інтересів, що належать фізичній або юридичній особі, які можуть бути виражені у різних формах, у тому числі нематеріальній. Сукупність речей та інших економічних цінностей визначено як майно. </w:t>
      </w:r>
    </w:p>
    <w:p w14:paraId="07C439AD" w14:textId="77777777" w:rsidR="0098047A" w:rsidRPr="00276ED1" w:rsidRDefault="0098047A" w:rsidP="0098047A">
      <w:pPr>
        <w:ind w:firstLine="708"/>
        <w:rPr>
          <w:rStyle w:val="longtext"/>
          <w:rFonts w:cs="Times New Roman"/>
          <w:color w:val="000000"/>
          <w:szCs w:val="28"/>
        </w:rPr>
      </w:pPr>
      <w:r w:rsidRPr="00276ED1">
        <w:rPr>
          <w:rFonts w:cs="Times New Roman"/>
          <w:szCs w:val="28"/>
        </w:rPr>
        <w:t xml:space="preserve">У другому розділі охарактеризовано кримінальні правопорушення проти власності за законодавством України </w:t>
      </w:r>
      <w:r w:rsidRPr="00276ED1">
        <w:rPr>
          <w:rStyle w:val="tlid-translation"/>
          <w:rFonts w:cs="Times New Roman"/>
          <w:szCs w:val="28"/>
        </w:rPr>
        <w:t xml:space="preserve">та країн Східної Європи </w:t>
      </w:r>
      <w:r>
        <w:rPr>
          <w:rStyle w:val="tlid-translation"/>
          <w:rFonts w:cs="Times New Roman"/>
          <w:szCs w:val="28"/>
        </w:rPr>
        <w:t>і</w:t>
      </w:r>
      <w:r w:rsidRPr="00276ED1">
        <w:rPr>
          <w:rStyle w:val="tlid-translation"/>
          <w:rFonts w:cs="Times New Roman"/>
          <w:b/>
          <w:szCs w:val="28"/>
        </w:rPr>
        <w:t xml:space="preserve"> </w:t>
      </w:r>
      <w:r w:rsidRPr="00276ED1">
        <w:rPr>
          <w:rStyle w:val="longtext"/>
          <w:rFonts w:cs="Times New Roman"/>
          <w:color w:val="000000"/>
          <w:szCs w:val="28"/>
        </w:rPr>
        <w:t xml:space="preserve">досліджено розуміння сутності об’єкта як структурної частини складу </w:t>
      </w:r>
      <w:r w:rsidRPr="00276ED1">
        <w:rPr>
          <w:rFonts w:cs="Times New Roman"/>
          <w:szCs w:val="28"/>
        </w:rPr>
        <w:t>кримінального правопорушення</w:t>
      </w:r>
      <w:r w:rsidRPr="00276ED1">
        <w:rPr>
          <w:rStyle w:val="longtext"/>
          <w:rFonts w:cs="Times New Roman"/>
          <w:color w:val="000000"/>
          <w:szCs w:val="28"/>
        </w:rPr>
        <w:t xml:space="preserve"> в доктрині кримінального права країн Східної Європи. Установлено, що єдине поняття родового об’єкта </w:t>
      </w:r>
      <w:r w:rsidRPr="00276ED1">
        <w:rPr>
          <w:rFonts w:cs="Times New Roman"/>
          <w:szCs w:val="28"/>
        </w:rPr>
        <w:t>кримінальних правопорушень</w:t>
      </w:r>
      <w:r w:rsidRPr="00276ED1">
        <w:rPr>
          <w:rStyle w:val="longtext"/>
          <w:rFonts w:cs="Times New Roman"/>
          <w:color w:val="000000"/>
          <w:szCs w:val="28"/>
        </w:rPr>
        <w:t xml:space="preserve"> проти власності відсутнє. Доведено, що наукова дискусія з питань розуміння об’єкта </w:t>
      </w:r>
      <w:r w:rsidRPr="00276ED1">
        <w:rPr>
          <w:rFonts w:cs="Times New Roman"/>
          <w:szCs w:val="28"/>
        </w:rPr>
        <w:t>кримінальних правопорушень</w:t>
      </w:r>
      <w:r w:rsidRPr="00276ED1">
        <w:rPr>
          <w:rStyle w:val="longtext"/>
          <w:rFonts w:cs="Times New Roman"/>
          <w:color w:val="000000"/>
          <w:szCs w:val="28"/>
        </w:rPr>
        <w:t xml:space="preserve"> характерна для </w:t>
      </w:r>
      <w:r w:rsidRPr="00276ED1">
        <w:rPr>
          <w:rStyle w:val="longtext"/>
          <w:rFonts w:cs="Times New Roman"/>
          <w:color w:val="000000"/>
          <w:szCs w:val="28"/>
          <w:shd w:val="clear" w:color="auto" w:fill="FFFFFF"/>
        </w:rPr>
        <w:lastRenderedPageBreak/>
        <w:t xml:space="preserve">юридичної науки країн Східної Європи пострадянського простору. Усі підходи до розуміння сутності об’єкта </w:t>
      </w:r>
      <w:r w:rsidRPr="00276ED1">
        <w:rPr>
          <w:rFonts w:cs="Times New Roman"/>
          <w:szCs w:val="28"/>
        </w:rPr>
        <w:t>кримінальних правопорушень</w:t>
      </w:r>
      <w:r w:rsidRPr="00276ED1">
        <w:rPr>
          <w:rStyle w:val="longtext"/>
          <w:rFonts w:cs="Times New Roman"/>
          <w:color w:val="000000"/>
          <w:szCs w:val="28"/>
          <w:shd w:val="clear" w:color="auto" w:fill="FFFFFF"/>
        </w:rPr>
        <w:t xml:space="preserve"> проти власності зведено до двох основних: 1) об’єкт як суспільні відносини власності; 2) </w:t>
      </w:r>
      <w:r w:rsidRPr="00276ED1">
        <w:rPr>
          <w:rStyle w:val="longtext"/>
          <w:rFonts w:cs="Times New Roman"/>
          <w:color w:val="000000"/>
          <w:szCs w:val="28"/>
        </w:rPr>
        <w:t>об’єкт як певні цінності, блага, які охороняються кримінальним законом – право власності.</w:t>
      </w:r>
    </w:p>
    <w:p w14:paraId="0DE56463" w14:textId="77777777" w:rsidR="0098047A" w:rsidRPr="00276ED1" w:rsidRDefault="0098047A" w:rsidP="0098047A">
      <w:pPr>
        <w:ind w:firstLine="708"/>
        <w:rPr>
          <w:rStyle w:val="tlid-translation"/>
          <w:rFonts w:cs="Times New Roman"/>
          <w:szCs w:val="28"/>
        </w:rPr>
      </w:pPr>
      <w:r w:rsidRPr="00276ED1">
        <w:rPr>
          <w:rStyle w:val="longtext"/>
          <w:rFonts w:cs="Times New Roman"/>
          <w:color w:val="000000"/>
          <w:szCs w:val="28"/>
        </w:rPr>
        <w:t xml:space="preserve">Визначено, що однією з доктринальних та законодавчих тенденцій країн Східної Європи є розширення семантичного обсягу поняття «рухома річ» як предмета </w:t>
      </w:r>
      <w:r w:rsidRPr="00276ED1">
        <w:rPr>
          <w:rFonts w:cs="Times New Roman"/>
          <w:szCs w:val="28"/>
        </w:rPr>
        <w:t>кримінальних правопорушень</w:t>
      </w:r>
      <w:r w:rsidRPr="00276ED1">
        <w:rPr>
          <w:rStyle w:val="longtext"/>
          <w:rFonts w:cs="Times New Roman"/>
          <w:color w:val="000000"/>
          <w:szCs w:val="28"/>
        </w:rPr>
        <w:t xml:space="preserve"> проти власності. Так, згідно </w:t>
      </w:r>
      <w:r>
        <w:rPr>
          <w:rStyle w:val="longtext"/>
          <w:rFonts w:cs="Times New Roman"/>
          <w:color w:val="000000"/>
          <w:szCs w:val="28"/>
        </w:rPr>
        <w:t xml:space="preserve">з </w:t>
      </w:r>
      <w:r w:rsidRPr="00276ED1">
        <w:rPr>
          <w:rStyle w:val="longtext"/>
          <w:rFonts w:cs="Times New Roman"/>
          <w:color w:val="000000"/>
          <w:szCs w:val="28"/>
        </w:rPr>
        <w:t xml:space="preserve">ч.3 ст. 228 КК Румунії предметом крадіжки є електроенергія та будь-який інший вид енергії, що має економічну цінність. Зазначена тенденція є відображенням поширення в суспільстві нових видів </w:t>
      </w:r>
      <w:r w:rsidRPr="00276ED1">
        <w:rPr>
          <w:rFonts w:cs="Times New Roman"/>
          <w:szCs w:val="28"/>
        </w:rPr>
        <w:t>кримінальних правопорушень</w:t>
      </w:r>
      <w:r w:rsidRPr="00276ED1">
        <w:rPr>
          <w:rStyle w:val="longtext"/>
          <w:rFonts w:cs="Times New Roman"/>
          <w:color w:val="000000"/>
          <w:szCs w:val="28"/>
        </w:rPr>
        <w:t xml:space="preserve"> проти власності. </w:t>
      </w:r>
      <w:r w:rsidRPr="00276ED1">
        <w:rPr>
          <w:rFonts w:cs="Times New Roman"/>
          <w:szCs w:val="28"/>
        </w:rPr>
        <w:t>У кримінально-правовій доктрині Македонії зазначено, що предметом крадіжки може бути лише рухомий, матеріальний та чужий предмет, однак сам стан предмету значення не має, він може бути рідкий, твердий або газоподібний. Український законодавець не визначає електроенергію як предмет крадіжки, електроенергія є предметом кримінального правопорушення, передбаченого ст. 188-1 (викрадення електричної або теплової енергії шляхом її самовільного використання)</w:t>
      </w:r>
      <w:r>
        <w:rPr>
          <w:rFonts w:cs="Times New Roman"/>
          <w:szCs w:val="28"/>
        </w:rPr>
        <w:t>.</w:t>
      </w:r>
      <w:r w:rsidRPr="00276ED1">
        <w:rPr>
          <w:rFonts w:cs="Times New Roman"/>
          <w:szCs w:val="28"/>
        </w:rPr>
        <w:t xml:space="preserve"> </w:t>
      </w:r>
      <w:r>
        <w:rPr>
          <w:rFonts w:cs="Times New Roman"/>
          <w:szCs w:val="28"/>
        </w:rPr>
        <w:t>Т</w:t>
      </w:r>
      <w:r w:rsidRPr="00276ED1">
        <w:rPr>
          <w:rFonts w:cs="Times New Roman"/>
          <w:szCs w:val="28"/>
        </w:rPr>
        <w:t>аким чином, під</w:t>
      </w:r>
      <w:r>
        <w:rPr>
          <w:rFonts w:cs="Times New Roman"/>
          <w:szCs w:val="28"/>
        </w:rPr>
        <w:t xml:space="preserve"> </w:t>
      </w:r>
      <w:r w:rsidRPr="00276ED1">
        <w:rPr>
          <w:rFonts w:cs="Times New Roman"/>
          <w:szCs w:val="28"/>
        </w:rPr>
        <w:t xml:space="preserve">час розмежування крадіжки та викрадення електричної енергії розширення семантичного обсягу поняття </w:t>
      </w:r>
      <w:r>
        <w:rPr>
          <w:rFonts w:cs="Times New Roman"/>
          <w:szCs w:val="28"/>
        </w:rPr>
        <w:t>«</w:t>
      </w:r>
      <w:r w:rsidRPr="00276ED1">
        <w:rPr>
          <w:rFonts w:cs="Times New Roman"/>
          <w:szCs w:val="28"/>
        </w:rPr>
        <w:t>річ</w:t>
      </w:r>
      <w:r>
        <w:rPr>
          <w:rFonts w:cs="Times New Roman"/>
          <w:szCs w:val="28"/>
        </w:rPr>
        <w:t>»</w:t>
      </w:r>
      <w:r w:rsidRPr="00276ED1">
        <w:rPr>
          <w:rFonts w:cs="Times New Roman"/>
          <w:szCs w:val="28"/>
        </w:rPr>
        <w:t xml:space="preserve"> </w:t>
      </w:r>
      <w:r>
        <w:rPr>
          <w:rFonts w:cs="Times New Roman"/>
          <w:szCs w:val="28"/>
        </w:rPr>
        <w:t xml:space="preserve">у </w:t>
      </w:r>
      <w:r w:rsidRPr="00276ED1">
        <w:rPr>
          <w:rFonts w:cs="Times New Roman"/>
          <w:szCs w:val="28"/>
        </w:rPr>
        <w:t xml:space="preserve">КК України не відбувається. </w:t>
      </w:r>
    </w:p>
    <w:p w14:paraId="3448E8D5" w14:textId="77777777" w:rsidR="0098047A" w:rsidRPr="00276ED1" w:rsidRDefault="0098047A" w:rsidP="0098047A">
      <w:pPr>
        <w:ind w:firstLine="708"/>
        <w:rPr>
          <w:rFonts w:cs="Times New Roman"/>
          <w:szCs w:val="28"/>
        </w:rPr>
      </w:pPr>
      <w:r w:rsidRPr="00276ED1">
        <w:rPr>
          <w:rFonts w:cs="Times New Roman"/>
          <w:szCs w:val="28"/>
        </w:rPr>
        <w:t>Проаналізовано особливості об’єктивної сторони кримінальних правопорушень проти власності країн Східної Європи в законодавстві та доктрині. З’ясовано, що з об’єктивної сторони юридичні конструкції складів кримінальних правопорушень проти власності характеризуються неоднорідністю. З</w:t>
      </w:r>
      <w:r w:rsidRPr="00276ED1">
        <w:rPr>
          <w:rStyle w:val="tlid-translation"/>
          <w:rFonts w:cs="Times New Roman"/>
          <w:szCs w:val="28"/>
        </w:rPr>
        <w:t xml:space="preserve">аконодавча регламентація питання кримінальної відповідальності за </w:t>
      </w:r>
      <w:r w:rsidRPr="00276ED1">
        <w:rPr>
          <w:rFonts w:cs="Times New Roman"/>
          <w:szCs w:val="28"/>
        </w:rPr>
        <w:t>кримінальні правопорушення</w:t>
      </w:r>
      <w:r w:rsidRPr="00276ED1">
        <w:rPr>
          <w:rStyle w:val="tlid-translation"/>
          <w:rFonts w:cs="Times New Roman"/>
          <w:szCs w:val="28"/>
        </w:rPr>
        <w:t xml:space="preserve"> проти власності в країнах Східної Європи дозволила поділити досліджувані країни на групи: 1) </w:t>
      </w:r>
      <w:r w:rsidRPr="00276ED1">
        <w:rPr>
          <w:rFonts w:cs="Times New Roman"/>
          <w:szCs w:val="28"/>
        </w:rPr>
        <w:t xml:space="preserve">країни Східної Європи пострадянського простору, які поділяються на дві підгрупи: а) </w:t>
      </w:r>
      <w:r w:rsidRPr="00276ED1">
        <w:rPr>
          <w:rFonts w:cs="Times New Roman"/>
          <w:szCs w:val="28"/>
        </w:rPr>
        <w:lastRenderedPageBreak/>
        <w:t xml:space="preserve">країни, що є членами ЄС; б) країни, що не є членами ЄС; 2) країни Східної Європи, які не пов’язані з радянським періодом розвитку державності. </w:t>
      </w:r>
    </w:p>
    <w:p w14:paraId="6C18F610" w14:textId="77777777" w:rsidR="0098047A" w:rsidRPr="00276ED1" w:rsidRDefault="0098047A" w:rsidP="0098047A">
      <w:pPr>
        <w:ind w:firstLine="720"/>
        <w:rPr>
          <w:rFonts w:eastAsia="Times New Roman" w:cs="Times New Roman"/>
          <w:szCs w:val="28"/>
        </w:rPr>
      </w:pPr>
      <w:r w:rsidRPr="00276ED1">
        <w:rPr>
          <w:rFonts w:cs="Times New Roman"/>
          <w:szCs w:val="28"/>
        </w:rPr>
        <w:t xml:space="preserve">Визначено, що для першої підгрупи характерна наявність самостійних складів кримінальних правопорушень крадіжки, грабежу і розбою. Натомість для другої підгрупи країн характерна відсутність таких трьох самостійних складів кримінальних правопорушень. У ч. 1 ст. 175 КК Латвії передбачено кримінальну відповідальність за </w:t>
      </w:r>
      <w:r w:rsidRPr="00276ED1">
        <w:rPr>
          <w:rFonts w:eastAsia="Times New Roman" w:cs="Times New Roman"/>
          <w:szCs w:val="28"/>
        </w:rPr>
        <w:t>таємне або відкрите викрадення рухомого майна іншої особи. Разом з тим, у ч. 2 ст. 178 КК Литви відкритий спосіб викрадання майна зазначений як кваліфікуюча ознака викрадення.</w:t>
      </w:r>
    </w:p>
    <w:p w14:paraId="14A4B6FB" w14:textId="77777777" w:rsidR="0098047A" w:rsidRPr="00276ED1" w:rsidRDefault="0098047A" w:rsidP="0098047A">
      <w:pPr>
        <w:ind w:firstLine="720"/>
        <w:rPr>
          <w:rFonts w:cs="Times New Roman"/>
          <w:szCs w:val="28"/>
        </w:rPr>
      </w:pPr>
      <w:r w:rsidRPr="00276ED1">
        <w:rPr>
          <w:rFonts w:cs="Times New Roman"/>
          <w:szCs w:val="28"/>
        </w:rPr>
        <w:t xml:space="preserve">Акцентовано увагу на спільності визначення поняття крадіжки за КК країн Східної Європи, які не пов’язані з радянським періодом розвитку державності. Так, відповідно до ст. 235 КК Македонії, ст. 278 КК Польщі ст. 194 КК Болгарії, ст. 210 КК Сербії, ст. 199 КК Естонії, ст. 228 КК Хорватії, </w:t>
      </w:r>
      <w:r w:rsidRPr="00276ED1">
        <w:rPr>
          <w:rFonts w:eastAsia="Times New Roman" w:cs="Times New Roman"/>
          <w:szCs w:val="28"/>
        </w:rPr>
        <w:t xml:space="preserve">ст. 370 КК Угорщини </w:t>
      </w:r>
      <w:r w:rsidRPr="00276ED1">
        <w:rPr>
          <w:rFonts w:cs="Times New Roman"/>
          <w:szCs w:val="28"/>
        </w:rPr>
        <w:t>ст. 286 КК Федерації Боснія та Герцеговина, ст. 239 КК Чорногорії передбачено відповідальність за простий склад крадіжки: «Хто вилучає чужу рухому річ іншої особи, з наміром протизаконно привласнити її собі або третій особі…».</w:t>
      </w:r>
    </w:p>
    <w:p w14:paraId="0E0C75B5" w14:textId="77777777" w:rsidR="0098047A" w:rsidRPr="00276ED1" w:rsidRDefault="0098047A" w:rsidP="0098047A">
      <w:pPr>
        <w:ind w:firstLine="720"/>
        <w:rPr>
          <w:rFonts w:cs="Times New Roman"/>
          <w:szCs w:val="28"/>
        </w:rPr>
      </w:pPr>
      <w:r w:rsidRPr="00276ED1">
        <w:rPr>
          <w:rFonts w:cs="Times New Roman"/>
          <w:szCs w:val="28"/>
        </w:rPr>
        <w:t xml:space="preserve">Автором зроблено висновок, що для всіх країн Східної Європи предметом крадіжки характерно може виступати лише рухома річ. При цьому винний повинен усвідомлювати, що він вилучає чужу річ, тобто річ, яка йому не належить. </w:t>
      </w:r>
      <w:bookmarkStart w:id="0" w:name="_Hlk58759573"/>
      <w:r w:rsidRPr="00276ED1">
        <w:rPr>
          <w:rFonts w:cs="Times New Roman"/>
          <w:szCs w:val="28"/>
        </w:rPr>
        <w:t xml:space="preserve">Об’єктивна сторона виражається в діях, які полягають у вилученні. Особливістю формулювання крадіжки за КК країн Східної Європи, які не пов’язані з радянським періодом розвитку державності, є те, що законодавець не вказує на «таємність» як обов’язкову ознаку такого вилучення. За конструкцією об’єктивної сторони склад крадіжки є формальним. Моментом закінчення крадіжки є момент вчинення вилучення, не залежно від того, чи з’явилася у винного реальна можливість розпорядитися вилученою річчю на свій розсуд. </w:t>
      </w:r>
      <w:bookmarkEnd w:id="0"/>
    </w:p>
    <w:p w14:paraId="0F0C4EEA" w14:textId="77777777" w:rsidR="0098047A" w:rsidRPr="00276ED1" w:rsidRDefault="0098047A" w:rsidP="0098047A">
      <w:pPr>
        <w:ind w:firstLine="720"/>
        <w:rPr>
          <w:rFonts w:cs="Times New Roman"/>
          <w:szCs w:val="28"/>
        </w:rPr>
      </w:pPr>
      <w:r w:rsidRPr="00276ED1">
        <w:rPr>
          <w:rFonts w:cs="Times New Roman"/>
          <w:szCs w:val="28"/>
        </w:rPr>
        <w:t xml:space="preserve">Зроблено висновок щодо наявності характерної особливості для законодавства другої групи країн Східної Європи – самостійного складу </w:t>
      </w:r>
      <w:r w:rsidRPr="00276ED1">
        <w:rPr>
          <w:rFonts w:cs="Times New Roman"/>
          <w:szCs w:val="28"/>
        </w:rPr>
        <w:lastRenderedPageBreak/>
        <w:t>розбійницької крадіжки, яка з об’єктивної сторони характеризується активними діями винного щодо уникнення затримання, а саме застосуванням сили проти особи або погрози неминучого нападу на життя або здоров’я особи з метою збереження викраденого майна. Для країн першої підгрупи першої групи таке кримінальне правопорушення не відоме. Але за роз’ясненнями Пленумів Верховних Судів таких країн Східної Європи, такі дії слід кваліфікувати залежно від дій винного як грабіж або розбій.</w:t>
      </w:r>
    </w:p>
    <w:p w14:paraId="663C1649" w14:textId="77777777" w:rsidR="0098047A" w:rsidRPr="00276ED1" w:rsidRDefault="0098047A" w:rsidP="0098047A">
      <w:pPr>
        <w:ind w:firstLine="720"/>
        <w:rPr>
          <w:rFonts w:cs="Times New Roman"/>
          <w:szCs w:val="28"/>
        </w:rPr>
      </w:pPr>
      <w:r w:rsidRPr="00276ED1">
        <w:rPr>
          <w:rFonts w:cs="Times New Roman"/>
          <w:szCs w:val="28"/>
        </w:rPr>
        <w:t xml:space="preserve">На відміну від КК України, термін «розкрадання» є ключовим для окремої групи складів кримінальних правопорушень проти власності за КК Республіки Білорусії, КК РФ та ін. У кодексах країн Східної Європи другої групи, термін «розкрадання» не вживається. Для визначення способу вчинення кримінальних правопорушень даного виду використовуються дієслова «вилучити», «заволодіти», «захопити» і т. ін. </w:t>
      </w:r>
    </w:p>
    <w:p w14:paraId="2A2FDFF6" w14:textId="77777777" w:rsidR="0098047A" w:rsidRPr="00276ED1" w:rsidRDefault="0098047A" w:rsidP="0098047A">
      <w:pPr>
        <w:ind w:firstLine="708"/>
        <w:rPr>
          <w:rStyle w:val="tlid-translation"/>
          <w:rFonts w:cs="Times New Roman"/>
          <w:color w:val="FF0000"/>
          <w:szCs w:val="28"/>
        </w:rPr>
      </w:pPr>
      <w:r w:rsidRPr="00276ED1">
        <w:rPr>
          <w:rStyle w:val="tlid-translation"/>
          <w:rFonts w:cs="Times New Roman"/>
          <w:szCs w:val="28"/>
        </w:rPr>
        <w:t xml:space="preserve">Установлено, що з суб’єктивної сторони </w:t>
      </w:r>
      <w:r w:rsidRPr="00276ED1">
        <w:rPr>
          <w:rFonts w:cs="Times New Roman"/>
          <w:szCs w:val="28"/>
        </w:rPr>
        <w:t>кримінальні правопорушення</w:t>
      </w:r>
      <w:r w:rsidRPr="00276ED1">
        <w:rPr>
          <w:rStyle w:val="tlid-translation"/>
          <w:rFonts w:cs="Times New Roman"/>
          <w:szCs w:val="28"/>
        </w:rPr>
        <w:t xml:space="preserve"> проти власності, як правило, характеризуються виною у формі умислу. Виняток становить знищення чи пошкодження майна, що за КК деяких країн Східної Європи характеризується виною у формі необережності. Обов’язковою ознакою суб’єктивної сторони крадіжки, шахрайства, привласнення чи розтрати, грабежу, розбою в КК країн Східної Європи пострадянського простору є корисливий мотив та мета. У КК країн Східної Європи, </w:t>
      </w:r>
      <w:r w:rsidRPr="00276ED1">
        <w:rPr>
          <w:rFonts w:cs="Times New Roman"/>
          <w:szCs w:val="28"/>
        </w:rPr>
        <w:t>які не пов’язані з радянським періодом розвитку державності, обов’язковою ознакою суб’єктивної сторони крадіжки, розбою та шахрайства є намір незаконного привласнення речі для себе або для третьої особи.</w:t>
      </w:r>
    </w:p>
    <w:p w14:paraId="09AFBA5C" w14:textId="77777777" w:rsidR="0098047A" w:rsidRPr="00276ED1" w:rsidRDefault="0098047A" w:rsidP="0098047A">
      <w:pPr>
        <w:ind w:firstLine="708"/>
        <w:rPr>
          <w:rFonts w:cs="Times New Roman"/>
          <w:szCs w:val="28"/>
        </w:rPr>
      </w:pPr>
      <w:r w:rsidRPr="00276ED1">
        <w:rPr>
          <w:rStyle w:val="tlid-translation"/>
          <w:rFonts w:cs="Times New Roman"/>
          <w:szCs w:val="28"/>
        </w:rPr>
        <w:t xml:space="preserve">Суб’єктом </w:t>
      </w:r>
      <w:r w:rsidRPr="00276ED1">
        <w:rPr>
          <w:rFonts w:cs="Times New Roman"/>
          <w:szCs w:val="28"/>
        </w:rPr>
        <w:t xml:space="preserve">кримінальних </w:t>
      </w:r>
      <w:r w:rsidRPr="00276ED1">
        <w:rPr>
          <w:rStyle w:val="tlid-translation"/>
          <w:rFonts w:cs="Times New Roman"/>
          <w:szCs w:val="28"/>
        </w:rPr>
        <w:t xml:space="preserve">правопорушень проти власності за КК країн Східної Європи є не лише осудна фізична особа, яка досягла на час вчинення </w:t>
      </w:r>
      <w:r w:rsidRPr="00276ED1">
        <w:rPr>
          <w:rFonts w:cs="Times New Roman"/>
          <w:szCs w:val="28"/>
        </w:rPr>
        <w:t>кримінального правопорушення</w:t>
      </w:r>
      <w:r w:rsidRPr="00276ED1">
        <w:rPr>
          <w:rStyle w:val="tlid-translation"/>
          <w:rFonts w:cs="Times New Roman"/>
          <w:szCs w:val="28"/>
        </w:rPr>
        <w:t xml:space="preserve"> віку, з якого настає кримінальна відповідальність, а й юридична особа (КК Румунії, КК Чехії, КК Словенії, КК Латвії, КК Литви та ін.).</w:t>
      </w:r>
    </w:p>
    <w:p w14:paraId="358D14AB" w14:textId="77777777" w:rsidR="0098047A" w:rsidRPr="00276ED1" w:rsidRDefault="0098047A" w:rsidP="0098047A">
      <w:pPr>
        <w:ind w:firstLine="708"/>
        <w:rPr>
          <w:rStyle w:val="tlid-translation"/>
          <w:rFonts w:cs="Times New Roman"/>
          <w:i/>
          <w:szCs w:val="28"/>
        </w:rPr>
      </w:pPr>
      <w:r w:rsidRPr="00276ED1">
        <w:rPr>
          <w:rFonts w:cs="Times New Roman"/>
          <w:szCs w:val="28"/>
        </w:rPr>
        <w:t xml:space="preserve">У третьому розділі охарактеризовано кваліфіковані види складів кримінальних правопорушень проти власності за законодавством України </w:t>
      </w:r>
      <w:r w:rsidRPr="00276ED1">
        <w:rPr>
          <w:rStyle w:val="tlid-translation"/>
          <w:rFonts w:cs="Times New Roman"/>
          <w:szCs w:val="28"/>
        </w:rPr>
        <w:t xml:space="preserve">і </w:t>
      </w:r>
      <w:r w:rsidRPr="00276ED1">
        <w:rPr>
          <w:rStyle w:val="tlid-translation"/>
          <w:rFonts w:cs="Times New Roman"/>
          <w:szCs w:val="28"/>
        </w:rPr>
        <w:lastRenderedPageBreak/>
        <w:t>країн Східної Європи та</w:t>
      </w:r>
      <w:r w:rsidRPr="00276ED1">
        <w:rPr>
          <w:rStyle w:val="tlid-translation"/>
          <w:rFonts w:cs="Times New Roman"/>
          <w:b/>
          <w:szCs w:val="28"/>
        </w:rPr>
        <w:t xml:space="preserve"> </w:t>
      </w:r>
      <w:r w:rsidRPr="00276ED1">
        <w:rPr>
          <w:rStyle w:val="tlid-translation"/>
          <w:rFonts w:cs="Times New Roman"/>
          <w:szCs w:val="28"/>
        </w:rPr>
        <w:t xml:space="preserve">досліджено основні підстави систематизації кваліфікуючих ознак </w:t>
      </w:r>
      <w:r w:rsidRPr="00276ED1">
        <w:rPr>
          <w:rFonts w:cs="Times New Roman"/>
          <w:szCs w:val="28"/>
        </w:rPr>
        <w:t>кримінальних правопорушень</w:t>
      </w:r>
      <w:r w:rsidRPr="00276ED1">
        <w:rPr>
          <w:rStyle w:val="tlid-translation"/>
          <w:rFonts w:cs="Times New Roman"/>
          <w:szCs w:val="28"/>
        </w:rPr>
        <w:t xml:space="preserve"> проти власності за кримінальними законами України та інших країн Східної Європи.</w:t>
      </w:r>
    </w:p>
    <w:p w14:paraId="005EB546" w14:textId="77777777" w:rsidR="0098047A" w:rsidRPr="00276ED1" w:rsidRDefault="0098047A" w:rsidP="0098047A">
      <w:pPr>
        <w:pStyle w:val="rvps2"/>
        <w:spacing w:before="0" w:beforeAutospacing="0" w:after="0" w:afterAutospacing="0" w:line="360" w:lineRule="auto"/>
        <w:ind w:firstLine="708"/>
        <w:rPr>
          <w:rStyle w:val="tlid-translation"/>
          <w:sz w:val="28"/>
          <w:szCs w:val="28"/>
        </w:rPr>
      </w:pPr>
      <w:r w:rsidRPr="00276ED1">
        <w:rPr>
          <w:bCs/>
          <w:sz w:val="28"/>
          <w:szCs w:val="28"/>
        </w:rPr>
        <w:t xml:space="preserve">На основі аналізу кваліфікуючих ознак складів </w:t>
      </w:r>
      <w:r w:rsidRPr="00276ED1">
        <w:rPr>
          <w:sz w:val="28"/>
          <w:szCs w:val="28"/>
        </w:rPr>
        <w:t xml:space="preserve">кримінальних правопорушень проти власності за законодавством України </w:t>
      </w:r>
      <w:r w:rsidRPr="00276ED1">
        <w:rPr>
          <w:rStyle w:val="tlid-translation"/>
          <w:sz w:val="28"/>
          <w:szCs w:val="28"/>
        </w:rPr>
        <w:t xml:space="preserve">і країн Східної Європи виділено підстави систематизації: І. За об’єктивними ознаками: 1) за об’єктом складу </w:t>
      </w:r>
      <w:r w:rsidRPr="00276ED1">
        <w:rPr>
          <w:sz w:val="28"/>
          <w:szCs w:val="28"/>
        </w:rPr>
        <w:t>кримінального правопорушення</w:t>
      </w:r>
      <w:r w:rsidRPr="00276ED1">
        <w:rPr>
          <w:rStyle w:val="tlid-translation"/>
          <w:sz w:val="28"/>
          <w:szCs w:val="28"/>
        </w:rPr>
        <w:t xml:space="preserve">: а) за предметом </w:t>
      </w:r>
      <w:r w:rsidRPr="00276ED1">
        <w:rPr>
          <w:sz w:val="28"/>
          <w:szCs w:val="28"/>
        </w:rPr>
        <w:t>кримінальних правопорушень</w:t>
      </w:r>
      <w:r w:rsidRPr="00276ED1">
        <w:rPr>
          <w:rStyle w:val="tlid-translation"/>
          <w:sz w:val="28"/>
          <w:szCs w:val="28"/>
        </w:rPr>
        <w:t xml:space="preserve"> проти власності; б) за потерпілим</w:t>
      </w:r>
      <w:r w:rsidRPr="00276ED1">
        <w:rPr>
          <w:iCs/>
          <w:sz w:val="28"/>
          <w:szCs w:val="28"/>
        </w:rPr>
        <w:t>; 2</w:t>
      </w:r>
      <w:r w:rsidRPr="00276ED1">
        <w:rPr>
          <w:rStyle w:val="tlid-translation"/>
          <w:sz w:val="28"/>
          <w:szCs w:val="28"/>
        </w:rPr>
        <w:t xml:space="preserve">) за ознаками об’єктивної сторони: 1) </w:t>
      </w:r>
      <w:r w:rsidRPr="00276ED1">
        <w:rPr>
          <w:sz w:val="28"/>
          <w:szCs w:val="28"/>
        </w:rPr>
        <w:t>за ознаками місця вчинення кримінального правопорушення</w:t>
      </w:r>
      <w:r w:rsidRPr="00276ED1">
        <w:rPr>
          <w:rStyle w:val="tlid-translation"/>
          <w:sz w:val="28"/>
          <w:szCs w:val="28"/>
        </w:rPr>
        <w:t xml:space="preserve">; 2) за наслідком; </w:t>
      </w:r>
      <w:r w:rsidRPr="00276ED1">
        <w:rPr>
          <w:sz w:val="28"/>
          <w:szCs w:val="28"/>
        </w:rPr>
        <w:t xml:space="preserve">3) за ознаками обстановки; </w:t>
      </w:r>
      <w:r w:rsidRPr="00276ED1">
        <w:rPr>
          <w:iCs/>
          <w:sz w:val="28"/>
          <w:szCs w:val="28"/>
        </w:rPr>
        <w:t xml:space="preserve">4) </w:t>
      </w:r>
      <w:r w:rsidRPr="00276ED1">
        <w:rPr>
          <w:sz w:val="28"/>
          <w:szCs w:val="28"/>
        </w:rPr>
        <w:t>за ознаками</w:t>
      </w:r>
      <w:r w:rsidRPr="00276ED1">
        <w:rPr>
          <w:iCs/>
          <w:sz w:val="28"/>
          <w:szCs w:val="28"/>
        </w:rPr>
        <w:t xml:space="preserve"> знарядь та засобів; </w:t>
      </w:r>
      <w:r w:rsidRPr="00276ED1">
        <w:rPr>
          <w:rStyle w:val="tlid-translation"/>
          <w:sz w:val="28"/>
          <w:szCs w:val="28"/>
        </w:rPr>
        <w:t xml:space="preserve">5) за способом вчинення </w:t>
      </w:r>
      <w:r w:rsidRPr="00276ED1">
        <w:rPr>
          <w:sz w:val="28"/>
          <w:szCs w:val="28"/>
        </w:rPr>
        <w:t xml:space="preserve">кримінального правопорушення. </w:t>
      </w:r>
      <w:r w:rsidRPr="00276ED1">
        <w:rPr>
          <w:rStyle w:val="tlid-translation"/>
          <w:sz w:val="28"/>
          <w:szCs w:val="28"/>
        </w:rPr>
        <w:t>ІІ. За суб’єктивними ознаками: 1) за ознаками суб’єкта</w:t>
      </w:r>
      <w:r w:rsidRPr="00276ED1">
        <w:rPr>
          <w:rStyle w:val="rvts0"/>
          <w:sz w:val="28"/>
          <w:szCs w:val="28"/>
        </w:rPr>
        <w:t>; 2) за ознаками суб’єктивної сторони</w:t>
      </w:r>
      <w:r w:rsidRPr="00276ED1">
        <w:rPr>
          <w:rStyle w:val="tlid-translation"/>
          <w:sz w:val="28"/>
          <w:szCs w:val="28"/>
        </w:rPr>
        <w:t>.</w:t>
      </w:r>
    </w:p>
    <w:p w14:paraId="4C5CE70A" w14:textId="77777777" w:rsidR="0098047A" w:rsidRPr="00276ED1" w:rsidRDefault="0098047A" w:rsidP="0098047A">
      <w:pPr>
        <w:ind w:firstLine="720"/>
        <w:rPr>
          <w:rStyle w:val="tlid-translation"/>
          <w:rFonts w:cs="Times New Roman"/>
          <w:szCs w:val="28"/>
        </w:rPr>
      </w:pPr>
      <w:r w:rsidRPr="00276ED1">
        <w:rPr>
          <w:rStyle w:val="tlid-translation"/>
          <w:rFonts w:cs="Times New Roman"/>
          <w:szCs w:val="28"/>
        </w:rPr>
        <w:t>Встановлено, що у кримінальних кодексах країн Східної Європи зустрічаються кваліфікуючі ознаки, відповідні кримінальному законодавству України (незаконне проникнення до житла чи сховище, застосування насильства та ін.), а також оригінальні кваліфікуючі ознаки, що не притаманні українському кримінальному праву. У розглянутих кодексах вони, як правило, закріплені в самостійних статтях і параграфах, причому деякі винесені в заголовки, наприклад: у КК Сербії, КК Хорватії, КК Словенії існує окрема стаття, яка має назву «кваліфікована крадіжка» та особливо кваліфікована крадіжка, що має назву «розбійницька крадіжка». Встановлено, що у кодексах країн Східної Європи кваліфікуючі ознаки описані як в самостійних статтях (КК Албанії, КК Хорватії, КК Сербії, КК Словенії, КК Румунії та ін.), так і в статтях з основним складом (КК Угорщини, КК Чехії, КК Словаччини, КК Польщі та ін.).</w:t>
      </w:r>
    </w:p>
    <w:p w14:paraId="231855B5" w14:textId="77777777" w:rsidR="0098047A" w:rsidRPr="00276ED1" w:rsidRDefault="0098047A" w:rsidP="0098047A">
      <w:pPr>
        <w:pStyle w:val="rvps2"/>
        <w:spacing w:before="0" w:beforeAutospacing="0" w:after="0" w:afterAutospacing="0" w:line="360" w:lineRule="auto"/>
        <w:ind w:firstLine="720"/>
        <w:rPr>
          <w:iCs/>
          <w:sz w:val="28"/>
          <w:szCs w:val="28"/>
        </w:rPr>
      </w:pPr>
      <w:r w:rsidRPr="00276ED1">
        <w:rPr>
          <w:rStyle w:val="tlid-translation"/>
          <w:sz w:val="28"/>
          <w:szCs w:val="28"/>
        </w:rPr>
        <w:t>Оригінальними кваліфікуючими ознаками можна вважати, наприклад, вчинення крадіжки</w:t>
      </w:r>
      <w:r w:rsidRPr="00276ED1">
        <w:rPr>
          <w:color w:val="000000"/>
          <w:sz w:val="28"/>
          <w:szCs w:val="28"/>
        </w:rPr>
        <w:t xml:space="preserve"> із застосуванням зброї або іншого небезпечного знаряддя або засобу (</w:t>
      </w:r>
      <w:r w:rsidRPr="00276ED1">
        <w:rPr>
          <w:sz w:val="28"/>
          <w:szCs w:val="28"/>
        </w:rPr>
        <w:t>ст.140 КК Албанії</w:t>
      </w:r>
      <w:r w:rsidRPr="00276ED1">
        <w:rPr>
          <w:rStyle w:val="tlid-translation"/>
          <w:sz w:val="28"/>
          <w:szCs w:val="28"/>
        </w:rPr>
        <w:t xml:space="preserve">, </w:t>
      </w:r>
      <w:r w:rsidRPr="00276ED1">
        <w:rPr>
          <w:sz w:val="28"/>
          <w:szCs w:val="28"/>
        </w:rPr>
        <w:t>п.1 ч.1 ст. 240 КК Чорногорії</w:t>
      </w:r>
      <w:r w:rsidRPr="00276ED1">
        <w:rPr>
          <w:rStyle w:val="tlid-translation"/>
          <w:sz w:val="28"/>
          <w:szCs w:val="28"/>
        </w:rPr>
        <w:t xml:space="preserve">, </w:t>
      </w:r>
      <w:r w:rsidRPr="00276ED1">
        <w:rPr>
          <w:iCs/>
          <w:sz w:val="28"/>
          <w:szCs w:val="28"/>
        </w:rPr>
        <w:t>п. 4 ч.1 ст. 204 КК Сербії</w:t>
      </w:r>
      <w:r w:rsidRPr="00276ED1">
        <w:rPr>
          <w:rStyle w:val="tlid-translation"/>
          <w:sz w:val="28"/>
          <w:szCs w:val="28"/>
        </w:rPr>
        <w:t xml:space="preserve">); </w:t>
      </w:r>
      <w:r w:rsidRPr="00276ED1">
        <w:rPr>
          <w:color w:val="000000"/>
          <w:sz w:val="28"/>
          <w:szCs w:val="28"/>
          <w:shd w:val="clear" w:color="auto" w:fill="FFFFFF"/>
        </w:rPr>
        <w:t xml:space="preserve">щодо особи похилого віку, особи з інвалідністю, особи, яка </w:t>
      </w:r>
      <w:r w:rsidRPr="00276ED1">
        <w:rPr>
          <w:color w:val="000000"/>
          <w:sz w:val="28"/>
          <w:szCs w:val="28"/>
          <w:shd w:val="clear" w:color="auto" w:fill="FFFFFF"/>
        </w:rPr>
        <w:lastRenderedPageBreak/>
        <w:t>перебуває в безпорадному стані, або особи, яка страждає на психічний розлад (</w:t>
      </w:r>
      <w:r w:rsidRPr="00276ED1">
        <w:rPr>
          <w:sz w:val="28"/>
          <w:szCs w:val="28"/>
        </w:rPr>
        <w:t>п.6 ч.1 ст. 240 КК Чорногорії</w:t>
      </w:r>
      <w:r w:rsidRPr="00276ED1">
        <w:rPr>
          <w:rStyle w:val="tlid-translation"/>
          <w:sz w:val="28"/>
          <w:szCs w:val="28"/>
        </w:rPr>
        <w:t xml:space="preserve">; </w:t>
      </w:r>
      <w:r w:rsidRPr="00276ED1">
        <w:rPr>
          <w:iCs/>
          <w:sz w:val="28"/>
          <w:szCs w:val="28"/>
        </w:rPr>
        <w:t xml:space="preserve">п. 6 ч.1 ст. 204 КК Сербії; </w:t>
      </w:r>
      <w:r w:rsidRPr="00276ED1">
        <w:rPr>
          <w:rStyle w:val="tlid-translation"/>
          <w:sz w:val="28"/>
          <w:szCs w:val="28"/>
        </w:rPr>
        <w:t>п.4. ч.1 ст.</w:t>
      </w:r>
      <w:r w:rsidRPr="00276ED1">
        <w:rPr>
          <w:iCs/>
          <w:sz w:val="28"/>
          <w:szCs w:val="28"/>
        </w:rPr>
        <w:t xml:space="preserve"> 229 КК Хорватії</w:t>
      </w:r>
      <w:r w:rsidRPr="00276ED1">
        <w:rPr>
          <w:color w:val="000000"/>
          <w:sz w:val="28"/>
          <w:szCs w:val="28"/>
          <w:shd w:val="clear" w:color="auto" w:fill="FFFFFF"/>
        </w:rPr>
        <w:t xml:space="preserve">); </w:t>
      </w:r>
      <w:r w:rsidRPr="00276ED1">
        <w:rPr>
          <w:iCs/>
          <w:sz w:val="28"/>
          <w:szCs w:val="28"/>
        </w:rPr>
        <w:t xml:space="preserve">коли винний діяв, скориставшись умовами, які виникли внаслідок пожежі, повені, землетрусу, іншого стихійного лиха або у </w:t>
      </w:r>
      <w:r w:rsidRPr="00276ED1">
        <w:rPr>
          <w:rStyle w:val="tlid-translation"/>
          <w:sz w:val="28"/>
          <w:szCs w:val="28"/>
        </w:rPr>
        <w:t>стані національної небезпеки чи воєнного стану</w:t>
      </w:r>
      <w:r w:rsidRPr="00276ED1">
        <w:rPr>
          <w:iCs/>
          <w:sz w:val="28"/>
          <w:szCs w:val="28"/>
        </w:rPr>
        <w:t xml:space="preserve"> (</w:t>
      </w:r>
      <w:r w:rsidRPr="00276ED1">
        <w:rPr>
          <w:sz w:val="28"/>
          <w:szCs w:val="28"/>
        </w:rPr>
        <w:t>п.5 ч.1 ст. 240 КК Чорногорії</w:t>
      </w:r>
      <w:r w:rsidRPr="00276ED1">
        <w:rPr>
          <w:rStyle w:val="tlid-translation"/>
          <w:sz w:val="28"/>
          <w:szCs w:val="28"/>
        </w:rPr>
        <w:t xml:space="preserve">, </w:t>
      </w:r>
      <w:r w:rsidRPr="00276ED1">
        <w:rPr>
          <w:sz w:val="28"/>
          <w:szCs w:val="28"/>
        </w:rPr>
        <w:t>п.1 ч.1 ст. 195 КК Болгарії</w:t>
      </w:r>
      <w:r w:rsidRPr="00276ED1">
        <w:rPr>
          <w:rStyle w:val="tlid-translation"/>
          <w:sz w:val="28"/>
          <w:szCs w:val="28"/>
        </w:rPr>
        <w:t xml:space="preserve">, </w:t>
      </w:r>
      <w:r w:rsidRPr="00276ED1">
        <w:rPr>
          <w:sz w:val="28"/>
          <w:szCs w:val="28"/>
        </w:rPr>
        <w:t xml:space="preserve">п.2 ч.4 ст. 205 КК Чехії, </w:t>
      </w:r>
      <w:r w:rsidRPr="00276ED1">
        <w:rPr>
          <w:iCs/>
          <w:sz w:val="28"/>
          <w:szCs w:val="28"/>
        </w:rPr>
        <w:t>п. 5 ч.1 ст. 204 КК Сербії).</w:t>
      </w:r>
    </w:p>
    <w:p w14:paraId="779CD844" w14:textId="77777777" w:rsidR="0098047A" w:rsidRPr="00276ED1" w:rsidRDefault="0098047A" w:rsidP="0098047A">
      <w:pPr>
        <w:pStyle w:val="rvps2"/>
        <w:spacing w:before="0" w:beforeAutospacing="0" w:after="0" w:afterAutospacing="0" w:line="360" w:lineRule="auto"/>
        <w:ind w:firstLine="720"/>
        <w:rPr>
          <w:color w:val="000000"/>
          <w:sz w:val="28"/>
          <w:szCs w:val="28"/>
        </w:rPr>
      </w:pPr>
      <w:r w:rsidRPr="00276ED1">
        <w:rPr>
          <w:color w:val="000000"/>
          <w:sz w:val="28"/>
          <w:szCs w:val="28"/>
        </w:rPr>
        <w:t>На підставі позитивного досвіду країн Східної Європи</w:t>
      </w:r>
      <w:r w:rsidRPr="00276ED1">
        <w:rPr>
          <w:sz w:val="28"/>
          <w:szCs w:val="28"/>
        </w:rPr>
        <w:t xml:space="preserve"> запропоновано доповнити </w:t>
      </w:r>
      <w:r w:rsidRPr="00276ED1">
        <w:rPr>
          <w:color w:val="000000"/>
          <w:sz w:val="28"/>
          <w:szCs w:val="28"/>
        </w:rPr>
        <w:t xml:space="preserve">ч.3 ст.185, ч.3 ст. 186, ч.3 ст. 187 КК України кваліфікуючою ознакою </w:t>
      </w:r>
      <w:r w:rsidRPr="00276ED1">
        <w:rPr>
          <w:color w:val="000000"/>
          <w:sz w:val="28"/>
          <w:szCs w:val="28"/>
          <w:shd w:val="clear" w:color="auto" w:fill="FFFFFF"/>
        </w:rPr>
        <w:t>«</w:t>
      </w:r>
      <w:r w:rsidRPr="00276ED1">
        <w:rPr>
          <w:color w:val="000000"/>
          <w:sz w:val="28"/>
          <w:szCs w:val="28"/>
        </w:rPr>
        <w:t xml:space="preserve">з використанням обставин, що виникли внаслідок надзвичайних подій, воєнного стану або стану війни». </w:t>
      </w:r>
    </w:p>
    <w:p w14:paraId="5721AEE6" w14:textId="77777777" w:rsidR="0098047A" w:rsidRPr="00276ED1" w:rsidRDefault="0098047A" w:rsidP="0098047A">
      <w:pPr>
        <w:pStyle w:val="rvps2"/>
        <w:spacing w:before="0" w:beforeAutospacing="0" w:after="0" w:afterAutospacing="0" w:line="360" w:lineRule="auto"/>
        <w:ind w:firstLine="720"/>
        <w:rPr>
          <w:color w:val="000000"/>
          <w:sz w:val="28"/>
          <w:szCs w:val="28"/>
        </w:rPr>
      </w:pPr>
      <w:r w:rsidRPr="00276ED1">
        <w:rPr>
          <w:color w:val="000000"/>
          <w:sz w:val="28"/>
          <w:szCs w:val="28"/>
        </w:rPr>
        <w:t xml:space="preserve">Визначено, що оригінальною кваліфікуючою ознакою умисного знищення та пошкодження майна є вчинення такого </w:t>
      </w:r>
      <w:r w:rsidRPr="00276ED1">
        <w:rPr>
          <w:sz w:val="28"/>
          <w:szCs w:val="28"/>
        </w:rPr>
        <w:t>кримінального правопорушення</w:t>
      </w:r>
      <w:r w:rsidRPr="00276ED1">
        <w:rPr>
          <w:color w:val="000000"/>
          <w:sz w:val="28"/>
          <w:szCs w:val="28"/>
        </w:rPr>
        <w:t xml:space="preserve"> із мотивів расової, національної чи релігійної нетерпимості. Так, відповідно до п.2 ч.3 ст. 228 КК Чехії, знищення або пошкодження майна іншого з мотивів нетерпимості його належності до раси, етнічної групи, національності, соціальної групи, політичних чи релігійних переконань або відсутності релігійних переконань карається позбавленням волі від шести місяців до трьох років. На основі дослідження досвіду країн Східної Європи, а також з урахуванням етнічного та релігійного різноманіття українського суспільства, запропоновано доповнити ч.2 ст. 194 КК України новою кваліфікуючою </w:t>
      </w:r>
      <w:r w:rsidRPr="00276ED1">
        <w:rPr>
          <w:rStyle w:val="rvts0"/>
          <w:sz w:val="28"/>
          <w:szCs w:val="28"/>
        </w:rPr>
        <w:t>ознакою вчинення умисного знищення або пошкодження майна «з мотивів расової, національної чи релігійної нетерпимості</w:t>
      </w:r>
      <w:r w:rsidRPr="00276ED1">
        <w:rPr>
          <w:rStyle w:val="tlid-translation"/>
          <w:sz w:val="28"/>
          <w:szCs w:val="28"/>
        </w:rPr>
        <w:t>.</w:t>
      </w:r>
    </w:p>
    <w:p w14:paraId="423F93AF" w14:textId="77777777" w:rsidR="0098047A" w:rsidRPr="00276ED1" w:rsidRDefault="0098047A" w:rsidP="0098047A">
      <w:pPr>
        <w:ind w:firstLine="720"/>
        <w:rPr>
          <w:rFonts w:cs="Times New Roman"/>
          <w:color w:val="000000"/>
          <w:szCs w:val="28"/>
          <w:shd w:val="clear" w:color="auto" w:fill="FFFFFF"/>
        </w:rPr>
      </w:pPr>
      <w:r w:rsidRPr="00276ED1">
        <w:rPr>
          <w:rStyle w:val="tlid-translation"/>
          <w:rFonts w:cs="Times New Roman"/>
          <w:szCs w:val="28"/>
        </w:rPr>
        <w:t xml:space="preserve">Установлено, що в зарубіжному законодавстві зустрічаються казуїстична побудова розділів та глав статей. Так, у главі 3 розділу ХХ КК Албанії розміщенні дванадцять статей, що присвячені знищенню або пошкодженню майна, кожна з яких формує новий склад </w:t>
      </w:r>
      <w:r w:rsidRPr="00276ED1">
        <w:rPr>
          <w:rFonts w:cs="Times New Roman"/>
          <w:szCs w:val="28"/>
        </w:rPr>
        <w:t>кримінального правопорушення</w:t>
      </w:r>
      <w:r w:rsidRPr="00276ED1">
        <w:rPr>
          <w:rStyle w:val="tlid-translation"/>
          <w:rFonts w:cs="Times New Roman"/>
          <w:szCs w:val="28"/>
        </w:rPr>
        <w:t xml:space="preserve"> (знищення майна, знищення майна вибуховими речовинами, знищення майна підтопленням, знищення майна іншими засобами, знищення доріг, знищення мереж електромереж, знищення системи поливу та ін.). Видаються зайвими перерахування різних предметів </w:t>
      </w:r>
      <w:r w:rsidRPr="00276ED1">
        <w:rPr>
          <w:rFonts w:cs="Times New Roman"/>
          <w:szCs w:val="28"/>
        </w:rPr>
        <w:t xml:space="preserve">кримінальних </w:t>
      </w:r>
      <w:r w:rsidRPr="00276ED1">
        <w:rPr>
          <w:rFonts w:cs="Times New Roman"/>
          <w:szCs w:val="28"/>
        </w:rPr>
        <w:lastRenderedPageBreak/>
        <w:t>правопорушень</w:t>
      </w:r>
      <w:r w:rsidRPr="00276ED1">
        <w:rPr>
          <w:rStyle w:val="tlid-translation"/>
          <w:rFonts w:cs="Times New Roman"/>
          <w:szCs w:val="28"/>
        </w:rPr>
        <w:t>, а також кодифікація окремих випадків вчинення діяння. На основі аналізу зарубіжного досвіду країн Східної Європи, а також дослідження логіки співвідношення понять,</w:t>
      </w:r>
      <w:r w:rsidRPr="00276ED1">
        <w:rPr>
          <w:rFonts w:cs="Times New Roman"/>
          <w:bCs/>
          <w:color w:val="202124"/>
          <w:szCs w:val="28"/>
          <w:shd w:val="clear" w:color="auto" w:fill="FFFFFF"/>
        </w:rPr>
        <w:t xml:space="preserve"> зроблено висновок про порушення відношення підпорядкування</w:t>
      </w:r>
      <w:r w:rsidRPr="00276ED1">
        <w:rPr>
          <w:rFonts w:cs="Times New Roman"/>
          <w:color w:val="202124"/>
          <w:szCs w:val="28"/>
          <w:shd w:val="clear" w:color="auto" w:fill="FFFFFF"/>
        </w:rPr>
        <w:t xml:space="preserve"> </w:t>
      </w:r>
      <w:r w:rsidRPr="00276ED1">
        <w:rPr>
          <w:rFonts w:cs="Times New Roman"/>
          <w:szCs w:val="28"/>
          <w:shd w:val="clear" w:color="auto" w:fill="FFFFFF"/>
        </w:rPr>
        <w:t xml:space="preserve">між родовим </w:t>
      </w:r>
      <w:r w:rsidRPr="00276ED1">
        <w:rPr>
          <w:rFonts w:cs="Times New Roman"/>
          <w:bCs/>
          <w:szCs w:val="28"/>
          <w:shd w:val="clear" w:color="auto" w:fill="FFFFFF"/>
        </w:rPr>
        <w:t>поняттям «</w:t>
      </w:r>
      <w:r w:rsidRPr="00276ED1">
        <w:rPr>
          <w:rFonts w:cs="Times New Roman"/>
          <w:szCs w:val="28"/>
        </w:rPr>
        <w:t>загально небезпечний спосіб</w:t>
      </w:r>
      <w:r w:rsidRPr="00276ED1">
        <w:rPr>
          <w:rFonts w:cs="Times New Roman"/>
          <w:bCs/>
          <w:szCs w:val="28"/>
          <w:shd w:val="clear" w:color="auto" w:fill="FFFFFF"/>
        </w:rPr>
        <w:t>»</w:t>
      </w:r>
      <w:r w:rsidRPr="00276ED1">
        <w:rPr>
          <w:rFonts w:cs="Times New Roman"/>
          <w:szCs w:val="28"/>
          <w:shd w:val="clear" w:color="auto" w:fill="FFFFFF"/>
        </w:rPr>
        <w:t xml:space="preserve"> і </w:t>
      </w:r>
      <w:r w:rsidRPr="00276ED1">
        <w:rPr>
          <w:rFonts w:cs="Times New Roman"/>
          <w:bCs/>
          <w:szCs w:val="28"/>
          <w:shd w:val="clear" w:color="auto" w:fill="FFFFFF"/>
        </w:rPr>
        <w:t>поняттям</w:t>
      </w:r>
      <w:r w:rsidRPr="00276ED1">
        <w:rPr>
          <w:rFonts w:cs="Times New Roman"/>
          <w:szCs w:val="28"/>
          <w:shd w:val="clear" w:color="auto" w:fill="FFFFFF"/>
        </w:rPr>
        <w:t xml:space="preserve">, що є одним з видів цього роду «шляхом підпалу, вибуху» у диспозиції </w:t>
      </w:r>
      <w:r w:rsidRPr="00276ED1">
        <w:rPr>
          <w:rFonts w:cs="Times New Roman"/>
          <w:szCs w:val="28"/>
        </w:rPr>
        <w:t>ч. 2 ст. 194 та ст. 195 КК України</w:t>
      </w:r>
      <w:r w:rsidRPr="00276ED1">
        <w:rPr>
          <w:rFonts w:cs="Times New Roman"/>
          <w:szCs w:val="28"/>
          <w:shd w:val="clear" w:color="auto" w:fill="FFFFFF"/>
        </w:rPr>
        <w:t xml:space="preserve">. Крім того, </w:t>
      </w:r>
      <w:r w:rsidRPr="00276ED1">
        <w:rPr>
          <w:rFonts w:cs="Times New Roman"/>
          <w:color w:val="000000"/>
          <w:szCs w:val="28"/>
          <w:shd w:val="clear" w:color="auto" w:fill="FFFFFF"/>
        </w:rPr>
        <w:t xml:space="preserve">при порівнянні ст.194, 194-1, 195 КК України </w:t>
      </w:r>
      <w:r w:rsidRPr="00276ED1">
        <w:rPr>
          <w:rFonts w:cs="Times New Roman"/>
          <w:szCs w:val="28"/>
          <w:shd w:val="clear" w:color="auto" w:fill="FFFFFF"/>
        </w:rPr>
        <w:t xml:space="preserve">встановлено порушення </w:t>
      </w:r>
      <w:r w:rsidRPr="00276ED1">
        <w:rPr>
          <w:rFonts w:cs="Times New Roman"/>
          <w:color w:val="000000"/>
          <w:szCs w:val="28"/>
          <w:shd w:val="clear" w:color="auto" w:fill="FFFFFF"/>
        </w:rPr>
        <w:t xml:space="preserve">уніфікації кримінально-правової термінології у диспозиціях норм </w:t>
      </w:r>
      <w:r w:rsidRPr="00276ED1">
        <w:rPr>
          <w:rFonts w:cs="Times New Roman"/>
          <w:color w:val="000000"/>
          <w:szCs w:val="28"/>
        </w:rPr>
        <w:t>ч. 2 ст. 194 та ст. 195 КК України</w:t>
      </w:r>
      <w:r w:rsidRPr="00276ED1">
        <w:rPr>
          <w:rFonts w:cs="Times New Roman"/>
          <w:color w:val="000000"/>
          <w:szCs w:val="28"/>
          <w:shd w:val="clear" w:color="auto" w:fill="FFFFFF"/>
        </w:rPr>
        <w:t>.</w:t>
      </w:r>
    </w:p>
    <w:p w14:paraId="1C116A28" w14:textId="77777777" w:rsidR="0098047A" w:rsidRPr="00276ED1" w:rsidRDefault="0098047A" w:rsidP="0098047A">
      <w:pPr>
        <w:ind w:firstLine="720"/>
        <w:rPr>
          <w:rStyle w:val="tlid-translation"/>
          <w:rFonts w:cs="Times New Roman"/>
          <w:color w:val="7030A0"/>
          <w:szCs w:val="28"/>
        </w:rPr>
      </w:pPr>
      <w:r w:rsidRPr="00276ED1">
        <w:rPr>
          <w:rFonts w:cs="Times New Roman"/>
          <w:color w:val="000000"/>
          <w:szCs w:val="28"/>
          <w:shd w:val="clear" w:color="auto" w:fill="FFFFFF"/>
        </w:rPr>
        <w:t xml:space="preserve">Зроблено висновок про необхідність виключення слів </w:t>
      </w:r>
      <w:r w:rsidRPr="00276ED1">
        <w:rPr>
          <w:rFonts w:cs="Times New Roman"/>
          <w:color w:val="000000"/>
          <w:szCs w:val="28"/>
        </w:rPr>
        <w:t xml:space="preserve">«шляхом підпалу, вибуху або іншим» та зазначення «загальнонебезпечним способом» </w:t>
      </w:r>
      <w:r w:rsidRPr="00276ED1">
        <w:rPr>
          <w:rFonts w:cs="Times New Roman"/>
          <w:color w:val="000000"/>
          <w:szCs w:val="28"/>
          <w:shd w:val="clear" w:color="auto" w:fill="FFFFFF"/>
        </w:rPr>
        <w:t xml:space="preserve">у диспозиціях норм статей </w:t>
      </w:r>
      <w:r w:rsidRPr="00276ED1">
        <w:rPr>
          <w:rFonts w:cs="Times New Roman"/>
          <w:color w:val="000000"/>
          <w:szCs w:val="28"/>
        </w:rPr>
        <w:t>ч. 2 ст. 194 та ст. 195 КК України.</w:t>
      </w:r>
    </w:p>
    <w:p w14:paraId="6322423E" w14:textId="15D84A30" w:rsidR="0098047A" w:rsidRPr="00276ED1" w:rsidRDefault="0098047A" w:rsidP="0098047A">
      <w:pPr>
        <w:ind w:firstLine="720"/>
        <w:rPr>
          <w:rStyle w:val="tlid-translation"/>
          <w:rFonts w:cs="Times New Roman"/>
          <w:szCs w:val="28"/>
        </w:rPr>
      </w:pPr>
      <w:r w:rsidRPr="00276ED1">
        <w:rPr>
          <w:rStyle w:val="tlid-translation"/>
          <w:rFonts w:cs="Times New Roman"/>
          <w:szCs w:val="28"/>
        </w:rPr>
        <w:t xml:space="preserve">Визначено, що однією з тенденцій законодавства деяких країн Східної Європи є поліморфізм кримінально-правових норм про </w:t>
      </w:r>
      <w:r w:rsidRPr="00276ED1">
        <w:rPr>
          <w:rFonts w:cs="Times New Roman"/>
          <w:szCs w:val="28"/>
        </w:rPr>
        <w:t>кримінальні правопорушення</w:t>
      </w:r>
      <w:r w:rsidRPr="00276ED1">
        <w:rPr>
          <w:rStyle w:val="tlid-translation"/>
          <w:rFonts w:cs="Times New Roman"/>
          <w:szCs w:val="28"/>
        </w:rPr>
        <w:t xml:space="preserve"> проти власності, тобто поява нових різновидів схожого </w:t>
      </w:r>
      <w:r w:rsidRPr="00276ED1">
        <w:rPr>
          <w:rFonts w:cs="Times New Roman"/>
          <w:szCs w:val="28"/>
        </w:rPr>
        <w:t>правопорушення</w:t>
      </w:r>
      <w:r w:rsidRPr="00276ED1">
        <w:rPr>
          <w:rStyle w:val="tlid-translation"/>
          <w:rFonts w:cs="Times New Roman"/>
          <w:szCs w:val="28"/>
        </w:rPr>
        <w:t xml:space="preserve">. Так, </w:t>
      </w:r>
      <w:r w:rsidRPr="00276ED1">
        <w:rPr>
          <w:rFonts w:cs="Times New Roman"/>
          <w:szCs w:val="28"/>
          <w:shd w:val="clear" w:color="auto" w:fill="FFFFFF"/>
        </w:rPr>
        <w:t xml:space="preserve">у </w:t>
      </w:r>
      <w:r>
        <w:rPr>
          <w:rFonts w:cs="Times New Roman"/>
          <w:szCs w:val="28"/>
          <w:shd w:val="clear" w:color="auto" w:fill="FFFFFF"/>
        </w:rPr>
        <w:t>к</w:t>
      </w:r>
      <w:r w:rsidRPr="00276ED1">
        <w:rPr>
          <w:rFonts w:cs="Times New Roman"/>
          <w:szCs w:val="28"/>
          <w:shd w:val="clear" w:color="auto" w:fill="FFFFFF"/>
        </w:rPr>
        <w:t xml:space="preserve">одексах більшості країн Східної Європи, на відміну від України, крадіжка комп’ютерних програм, </w:t>
      </w:r>
      <w:r w:rsidRPr="00276ED1">
        <w:rPr>
          <w:rFonts w:cs="Times New Roman"/>
          <w:color w:val="000000"/>
          <w:szCs w:val="28"/>
        </w:rPr>
        <w:t xml:space="preserve">шахрайство з використанням електронно-обчислювальної техніки </w:t>
      </w:r>
      <w:r w:rsidRPr="00276ED1">
        <w:rPr>
          <w:rFonts w:cs="Times New Roman"/>
          <w:szCs w:val="28"/>
          <w:shd w:val="clear" w:color="auto" w:fill="FFFFFF"/>
        </w:rPr>
        <w:t>виступає самостійним склад</w:t>
      </w:r>
      <w:r w:rsidR="00463422">
        <w:rPr>
          <w:rFonts w:cs="Times New Roman"/>
          <w:szCs w:val="28"/>
          <w:shd w:val="clear" w:color="auto" w:fill="FFFFFF"/>
          <w:lang w:val="ru-RU"/>
        </w:rPr>
        <w:t>о</w:t>
      </w:r>
      <w:r w:rsidRPr="00276ED1">
        <w:rPr>
          <w:rFonts w:cs="Times New Roman"/>
          <w:szCs w:val="28"/>
          <w:shd w:val="clear" w:color="auto" w:fill="FFFFFF"/>
        </w:rPr>
        <w:t xml:space="preserve">м </w:t>
      </w:r>
      <w:r w:rsidRPr="00276ED1">
        <w:rPr>
          <w:rFonts w:cs="Times New Roman"/>
          <w:szCs w:val="28"/>
        </w:rPr>
        <w:t>кримінального правопорушення</w:t>
      </w:r>
      <w:r w:rsidRPr="00276ED1">
        <w:rPr>
          <w:rFonts w:cs="Times New Roman"/>
          <w:szCs w:val="28"/>
          <w:shd w:val="clear" w:color="auto" w:fill="FFFFFF"/>
        </w:rPr>
        <w:t xml:space="preserve">, оскільки використання іншого способу вчинення </w:t>
      </w:r>
      <w:r w:rsidRPr="00276ED1">
        <w:rPr>
          <w:rFonts w:cs="Times New Roman"/>
          <w:szCs w:val="28"/>
        </w:rPr>
        <w:t>кримінального правопорушення</w:t>
      </w:r>
      <w:r w:rsidRPr="00276ED1">
        <w:rPr>
          <w:rFonts w:cs="Times New Roman"/>
          <w:szCs w:val="28"/>
          <w:shd w:val="clear" w:color="auto" w:fill="FFFFFF"/>
        </w:rPr>
        <w:t xml:space="preserve">, а саме </w:t>
      </w:r>
      <w:r w:rsidRPr="00276ED1">
        <w:rPr>
          <w:rFonts w:cs="Times New Roman"/>
          <w:color w:val="000000"/>
          <w:szCs w:val="28"/>
        </w:rPr>
        <w:t>електронно-обчислювальної техніки, не впливає на ступінь його суспільної небезпеки.</w:t>
      </w:r>
    </w:p>
    <w:p w14:paraId="345429D4" w14:textId="77777777" w:rsidR="0098047A" w:rsidRPr="00276ED1" w:rsidRDefault="0098047A" w:rsidP="0098047A">
      <w:pPr>
        <w:ind w:firstLine="720"/>
        <w:rPr>
          <w:rFonts w:cs="Times New Roman"/>
          <w:szCs w:val="28"/>
        </w:rPr>
      </w:pPr>
      <w:r w:rsidRPr="00276ED1">
        <w:rPr>
          <w:rFonts w:cs="Times New Roman"/>
          <w:szCs w:val="28"/>
          <w:shd w:val="clear" w:color="auto" w:fill="FFFFFF"/>
        </w:rPr>
        <w:t xml:space="preserve">На </w:t>
      </w:r>
      <w:r w:rsidRPr="00276ED1">
        <w:rPr>
          <w:rFonts w:cs="Times New Roman"/>
          <w:color w:val="000000"/>
          <w:szCs w:val="28"/>
        </w:rPr>
        <w:t>основі дослідження зарубіжного досвіду країн Східної Європи запропоновано доповнити розділ VI Особливої частини КК України статтею 190</w:t>
      </w:r>
      <w:r w:rsidRPr="00276ED1">
        <w:rPr>
          <w:rFonts w:cs="Times New Roman"/>
          <w:color w:val="000000"/>
          <w:szCs w:val="28"/>
          <w:vertAlign w:val="superscript"/>
        </w:rPr>
        <w:t>1</w:t>
      </w:r>
      <w:r w:rsidRPr="00276ED1">
        <w:rPr>
          <w:rFonts w:cs="Times New Roman"/>
          <w:color w:val="000000"/>
          <w:szCs w:val="28"/>
        </w:rPr>
        <w:t xml:space="preserve"> «Шахрайство з використанням електронно-обчислювальної техніки».</w:t>
      </w:r>
    </w:p>
    <w:p w14:paraId="1BD573AC" w14:textId="77777777" w:rsidR="0098047A" w:rsidRPr="00276ED1" w:rsidRDefault="0098047A" w:rsidP="0098047A">
      <w:pPr>
        <w:rPr>
          <w:rStyle w:val="tlid-translation"/>
          <w:rFonts w:cs="Times New Roman"/>
          <w:szCs w:val="28"/>
        </w:rPr>
      </w:pPr>
      <w:r w:rsidRPr="00276ED1">
        <w:rPr>
          <w:rStyle w:val="tlid-translation"/>
          <w:rFonts w:cs="Times New Roman"/>
          <w:b/>
          <w:i/>
          <w:szCs w:val="28"/>
        </w:rPr>
        <w:t>Ключові слова:</w:t>
      </w:r>
      <w:r w:rsidRPr="00276ED1">
        <w:rPr>
          <w:rStyle w:val="tlid-translation"/>
          <w:rFonts w:cs="Times New Roman"/>
          <w:szCs w:val="28"/>
        </w:rPr>
        <w:t xml:space="preserve"> порівняльно-правове дослідження, країни Східної Європи, кримінальне право, </w:t>
      </w:r>
      <w:r w:rsidRPr="00276ED1">
        <w:rPr>
          <w:rFonts w:cs="Times New Roman"/>
          <w:szCs w:val="28"/>
        </w:rPr>
        <w:t>кримінальні правопорушення</w:t>
      </w:r>
      <w:r w:rsidRPr="00276ED1">
        <w:rPr>
          <w:rStyle w:val="tlid-translation"/>
          <w:rFonts w:cs="Times New Roman"/>
          <w:szCs w:val="28"/>
        </w:rPr>
        <w:t xml:space="preserve"> проти власності, кримінально-правова характеристика, склад </w:t>
      </w:r>
      <w:r w:rsidRPr="00276ED1">
        <w:rPr>
          <w:rFonts w:cs="Times New Roman"/>
          <w:szCs w:val="28"/>
        </w:rPr>
        <w:t>кримінального правопорушення</w:t>
      </w:r>
      <w:r w:rsidRPr="00276ED1">
        <w:rPr>
          <w:rStyle w:val="tlid-translation"/>
          <w:rFonts w:cs="Times New Roman"/>
          <w:szCs w:val="28"/>
        </w:rPr>
        <w:t>, власність.</w:t>
      </w:r>
    </w:p>
    <w:p w14:paraId="66C3562A" w14:textId="77777777" w:rsidR="0098047A" w:rsidRPr="00D74B62" w:rsidRDefault="0098047A" w:rsidP="0098047A">
      <w:pPr>
        <w:keepNext/>
        <w:spacing w:before="360" w:after="240"/>
        <w:ind w:firstLine="0"/>
        <w:jc w:val="center"/>
        <w:rPr>
          <w:rFonts w:cs="Times New Roman"/>
          <w:b/>
          <w:szCs w:val="28"/>
          <w:lang w:val="en-US"/>
        </w:rPr>
      </w:pPr>
      <w:r w:rsidRPr="00D74B62">
        <w:rPr>
          <w:rFonts w:cs="Times New Roman"/>
          <w:b/>
          <w:szCs w:val="28"/>
          <w:lang w:val="en-US"/>
        </w:rPr>
        <w:t>SUMM</w:t>
      </w:r>
      <w:r>
        <w:rPr>
          <w:rFonts w:cs="Times New Roman"/>
          <w:b/>
          <w:szCs w:val="28"/>
          <w:lang w:val="en-US"/>
        </w:rPr>
        <w:t>A</w:t>
      </w:r>
      <w:r w:rsidRPr="00D74B62">
        <w:rPr>
          <w:rFonts w:cs="Times New Roman"/>
          <w:b/>
          <w:szCs w:val="28"/>
          <w:lang w:val="en-US"/>
        </w:rPr>
        <w:t>RY</w:t>
      </w:r>
    </w:p>
    <w:p w14:paraId="6ECD6A70" w14:textId="77777777" w:rsidR="0098047A" w:rsidRPr="00D74B62" w:rsidRDefault="0098047A" w:rsidP="0098047A">
      <w:pPr>
        <w:pStyle w:val="a3"/>
        <w:widowControl w:val="0"/>
        <w:ind w:left="0"/>
        <w:rPr>
          <w:rFonts w:ascii="Times New Roman" w:hAnsi="Times New Roman"/>
          <w:color w:val="000000"/>
          <w:szCs w:val="28"/>
          <w:shd w:val="clear" w:color="auto" w:fill="FFFFFF"/>
          <w:lang w:val="en-US"/>
        </w:rPr>
      </w:pPr>
      <w:r w:rsidRPr="00D74B62">
        <w:rPr>
          <w:rFonts w:ascii="Times New Roman" w:hAnsi="Times New Roman"/>
          <w:b/>
          <w:color w:val="000000"/>
          <w:szCs w:val="28"/>
          <w:shd w:val="clear" w:color="auto" w:fill="FFFFFF"/>
          <w:lang w:val="en-US"/>
        </w:rPr>
        <w:t xml:space="preserve">Samokysh Inna. Criminal and legal protection of property under the </w:t>
      </w:r>
      <w:r w:rsidRPr="00D74B62">
        <w:rPr>
          <w:rFonts w:ascii="Times New Roman" w:hAnsi="Times New Roman"/>
          <w:b/>
          <w:color w:val="000000"/>
          <w:szCs w:val="28"/>
          <w:shd w:val="clear" w:color="auto" w:fill="FFFFFF"/>
          <w:lang w:val="en-US"/>
        </w:rPr>
        <w:lastRenderedPageBreak/>
        <w:t xml:space="preserve">legislation of Ukraine and Eastern Europe - </w:t>
      </w:r>
      <w:r w:rsidRPr="00D74B62">
        <w:rPr>
          <w:rFonts w:ascii="Times New Roman" w:hAnsi="Times New Roman"/>
          <w:color w:val="000000"/>
          <w:szCs w:val="28"/>
          <w:shd w:val="clear" w:color="auto" w:fill="FFFFFF"/>
          <w:lang w:val="en-US"/>
        </w:rPr>
        <w:t xml:space="preserve">Qualifying scientific work on the rights of the manuscript. The dissertation on competition of a degree of the Doctor of Philosophy on a specialty 081 </w:t>
      </w:r>
      <w:r>
        <w:rPr>
          <w:rFonts w:ascii="Times New Roman" w:hAnsi="Times New Roman"/>
          <w:color w:val="000000"/>
          <w:szCs w:val="28"/>
          <w:shd w:val="clear" w:color="auto" w:fill="FFFFFF"/>
        </w:rPr>
        <w:t xml:space="preserve">– </w:t>
      </w:r>
      <w:r w:rsidRPr="00D74B62">
        <w:rPr>
          <w:rFonts w:ascii="Times New Roman" w:hAnsi="Times New Roman"/>
          <w:color w:val="000000"/>
          <w:szCs w:val="28"/>
          <w:shd w:val="clear" w:color="auto" w:fill="FFFFFF"/>
          <w:lang w:val="en-US"/>
        </w:rPr>
        <w:t>Law. - National University "Odessa Law Academy", Odessa, 2020.</w:t>
      </w:r>
    </w:p>
    <w:p w14:paraId="59793B14" w14:textId="77777777" w:rsidR="0098047A" w:rsidRPr="00D74B62" w:rsidRDefault="0098047A" w:rsidP="0098047A">
      <w:pPr>
        <w:pStyle w:val="a3"/>
        <w:widowControl w:val="0"/>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The dissertation is devoted to a comprehensive study of criminal law protection of property under the laws of Ukraine and Eastern Europe, which resulted in a number of proposals and recommendations to improve the content and form of the Criminal Code of Ukraine on criminal law protection of property.</w:t>
      </w:r>
    </w:p>
    <w:p w14:paraId="1ADC59CA" w14:textId="77777777" w:rsidR="0098047A" w:rsidRPr="00D74B62" w:rsidRDefault="0098047A" w:rsidP="0098047A">
      <w:pPr>
        <w:pStyle w:val="a3"/>
        <w:widowControl w:val="0"/>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The first section, devoted to the theoretical and legal principles of criminal law protection of property under the laws of Ukraine and Eastern Europe, analyzes the historical legal norms on liability for criminal offenses against property in the legislation of Ukraine and Eastern Europe. The development of the legislation of Ukraine and some Eastern European countries on criminal liability for criminal offenses against the property from the beginning of the codification of law to the present is studied. The general tendencies of development of the legislation for the countries of Eastern Europe are analyzed. Analysis of the history of criminal law protection of property in Ukraine and Eastern Europe showed that the Ukrainian criminal law tradition of property protection was influenced by Eastern European countries, because, in certain periods of history, Ukraine and some Eastern European countries were single state legislation. This led to the spread of interactions and borrowings, which was reflected in today's system of criminal law protection of property.</w:t>
      </w:r>
    </w:p>
    <w:p w14:paraId="126D66F6" w14:textId="77777777" w:rsidR="0098047A" w:rsidRPr="00D74B62" w:rsidRDefault="0098047A" w:rsidP="0098047A">
      <w:pPr>
        <w:pStyle w:val="a3"/>
        <w:widowControl w:val="0"/>
        <w:ind w:left="0"/>
        <w:rPr>
          <w:rFonts w:ascii="Times New Roman" w:hAnsi="Times New Roman"/>
          <w:color w:val="000000"/>
          <w:szCs w:val="28"/>
          <w:highlight w:val="yellow"/>
          <w:shd w:val="clear" w:color="auto" w:fill="FFFFFF"/>
          <w:lang w:val="en-US"/>
        </w:rPr>
      </w:pPr>
      <w:r w:rsidRPr="00D74B62">
        <w:rPr>
          <w:rFonts w:ascii="Times New Roman" w:hAnsi="Times New Roman"/>
          <w:color w:val="000000"/>
          <w:szCs w:val="28"/>
          <w:shd w:val="clear" w:color="auto" w:fill="FFFFFF"/>
          <w:lang w:val="en-US"/>
        </w:rPr>
        <w:t>Despite certain differences in the criminal law protection of property in Eastern Europe, it is possible to identify certain features at certain stages of the genesis of the criminal law protection of property. Based on the historical analysis, the periodization of the development of criminal law protection of property in Eastern Europe has been developed.</w:t>
      </w:r>
    </w:p>
    <w:p w14:paraId="0A13B746" w14:textId="77777777" w:rsidR="0098047A" w:rsidRPr="00D74B62" w:rsidRDefault="0098047A" w:rsidP="0098047A">
      <w:pPr>
        <w:pStyle w:val="a3"/>
        <w:widowControl w:val="0"/>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Criminal laws have been studied in order to identify criminal law on liability for criminal offenses against property in Ukraine and other Eastern European countries.</w:t>
      </w:r>
    </w:p>
    <w:p w14:paraId="316AABFB" w14:textId="77777777" w:rsidR="0098047A" w:rsidRPr="00D74B62" w:rsidRDefault="0098047A" w:rsidP="0098047A">
      <w:pPr>
        <w:pStyle w:val="a3"/>
        <w:widowControl w:val="0"/>
        <w:ind w:left="0"/>
        <w:rPr>
          <w:rFonts w:ascii="Times New Roman" w:hAnsi="Times New Roman"/>
          <w:color w:val="000000"/>
          <w:szCs w:val="28"/>
          <w:highlight w:val="yellow"/>
          <w:shd w:val="clear" w:color="auto" w:fill="FFFFFF"/>
          <w:lang w:val="en-US"/>
        </w:rPr>
      </w:pPr>
      <w:r w:rsidRPr="00D74B62">
        <w:rPr>
          <w:rFonts w:ascii="Times New Roman" w:hAnsi="Times New Roman"/>
          <w:color w:val="000000"/>
          <w:szCs w:val="28"/>
          <w:shd w:val="clear" w:color="auto" w:fill="FFFFFF"/>
          <w:lang w:val="en-US"/>
        </w:rPr>
        <w:lastRenderedPageBreak/>
        <w:t>Based on the common legislative approaches to the structure of criminal law, legal constructions of criminal offenses against property, as well as legislative approaches to the systematization of such norms, the following groups of Eastern European countries are identified: 1) Slavic Eastern European countries of post-Soviet space (Russia, Ukraine, Belarus); 2) Slavic countries of Eastern Europe, not related to the Soviet period (Poland, Czech Republic, Bulgaria, Serbia, Slovakia, Croatia, Bosnia and Herzegovina, Macedonia, Slovenia, Montenegro); 3) non-Slavic countries of Eastern Europe (Romania, Hungary, Albania, Moldova, Lithuania, Latvia, Estonia).</w:t>
      </w:r>
    </w:p>
    <w:p w14:paraId="645494D2" w14:textId="77777777" w:rsidR="0098047A" w:rsidRPr="00D74B62" w:rsidRDefault="0098047A" w:rsidP="0098047A">
      <w:pPr>
        <w:pStyle w:val="a3"/>
        <w:widowControl w:val="0"/>
        <w:ind w:left="0"/>
        <w:rPr>
          <w:rFonts w:ascii="Times New Roman" w:hAnsi="Times New Roman"/>
          <w:color w:val="000000"/>
          <w:szCs w:val="28"/>
          <w:highlight w:val="yellow"/>
          <w:shd w:val="clear" w:color="auto" w:fill="FFFFFF"/>
          <w:lang w:val="en-US"/>
        </w:rPr>
      </w:pPr>
      <w:r w:rsidRPr="00D74B62">
        <w:rPr>
          <w:rFonts w:ascii="Times New Roman" w:hAnsi="Times New Roman"/>
          <w:color w:val="000000"/>
          <w:szCs w:val="28"/>
          <w:shd w:val="clear" w:color="auto" w:fill="FFFFFF"/>
          <w:lang w:val="en-US"/>
        </w:rPr>
        <w:t>It is established that property as an object of criminal law protection is a social relationship that arises not only about things as the subject of the material world but also other values, including non-material. It is proved that property can be defined differently, depending on the branch of law and the legal system. In the legal doctrine of Eastern Europe, the property is defined as a set of movable and immovable things, rights, and interests belonging to a natural or legal person, which can be expressed in various forms, including intangible. The set of things and other economic values ​​is defined as property.</w:t>
      </w:r>
    </w:p>
    <w:p w14:paraId="1BDE37EC" w14:textId="77777777" w:rsidR="0098047A" w:rsidRPr="00D74B62" w:rsidRDefault="0098047A" w:rsidP="0098047A">
      <w:pPr>
        <w:pStyle w:val="a3"/>
        <w:widowControl w:val="0"/>
        <w:ind w:left="0"/>
        <w:rPr>
          <w:rFonts w:ascii="Times New Roman" w:hAnsi="Times New Roman"/>
          <w:color w:val="000000"/>
          <w:szCs w:val="28"/>
          <w:highlight w:val="yellow"/>
          <w:shd w:val="clear" w:color="auto" w:fill="FFFFFF"/>
          <w:lang w:val="en-US"/>
        </w:rPr>
      </w:pPr>
      <w:r w:rsidRPr="00D74B62">
        <w:rPr>
          <w:rFonts w:ascii="Times New Roman" w:hAnsi="Times New Roman"/>
          <w:color w:val="000000"/>
          <w:szCs w:val="28"/>
          <w:shd w:val="clear" w:color="auto" w:fill="FFFFFF"/>
          <w:lang w:val="en-US"/>
        </w:rPr>
        <w:t>The second section describes the criminal offenses against property under the laws of Ukraine and Eastern Europe and examines the understanding of the essence of the object as a structural part of the criminal offense in the doctrine of the criminal law of Eastern Europe. It is established that there is no single concept of the generic object of criminal offenses against property. It is proved that the scientific discussion on the understanding of the object of criminal offenses is typical for the legal science of the Eastern European countries of the post-Soviet space. All approaches to understanding the essence of the object of criminal offenses against property are reduced to two main: 1) the object as a public property relationship; 2) the object as certain values, goods, which are protected by criminal law - the right of ownership.</w:t>
      </w:r>
    </w:p>
    <w:p w14:paraId="37142756" w14:textId="77777777" w:rsidR="0098047A" w:rsidRPr="00D74B62" w:rsidRDefault="0098047A" w:rsidP="0098047A">
      <w:pPr>
        <w:widowControl w:val="0"/>
        <w:ind w:firstLine="708"/>
        <w:rPr>
          <w:rFonts w:cs="Times New Roman"/>
          <w:color w:val="000000"/>
          <w:szCs w:val="28"/>
          <w:shd w:val="clear" w:color="auto" w:fill="FFFFFF"/>
          <w:lang w:val="en-US"/>
        </w:rPr>
      </w:pPr>
      <w:r w:rsidRPr="00D74B62">
        <w:rPr>
          <w:rFonts w:cs="Times New Roman"/>
          <w:color w:val="000000"/>
          <w:szCs w:val="28"/>
          <w:shd w:val="clear" w:color="auto" w:fill="FFFFFF"/>
          <w:lang w:val="en-US"/>
        </w:rPr>
        <w:t xml:space="preserve">It is determined that one of the doctrinal and legislative tendencies of Eastern European countries is the expansion of the semantic scope of the concept of "movable thing" as a subject of criminal offenses against property. Thus, according </w:t>
      </w:r>
      <w:r w:rsidRPr="00D74B62">
        <w:rPr>
          <w:rFonts w:cs="Times New Roman"/>
          <w:color w:val="000000"/>
          <w:szCs w:val="28"/>
          <w:shd w:val="clear" w:color="auto" w:fill="FFFFFF"/>
          <w:lang w:val="en-US"/>
        </w:rPr>
        <w:lastRenderedPageBreak/>
        <w:t>to Part 3 of Art. 228 of the Romanian Criminal Code, the subject of the theft is electricity and any other type of energy that has economic value. This trend is a reflection of the spread of new types of criminal offenses against property in society. The criminal law doctrine of Macedonia states that the subject of theft can only be a movable, tangible, and foreign object, but the condition of the object does not matter, it can be liquid, solid, or gaseous. The Ukrainian legislator does not define electricity as a subject of theft, electricity is the subject of a criminal offense under Art. 188-1 (theft of electric or thermal energy through its unauthorized use), thus, during the distinction between theft and theft of electric energy, the expansion of the semantic scope of the concept of a thing, in the Criminal Code of Ukraine, does not occur.</w:t>
      </w:r>
    </w:p>
    <w:p w14:paraId="1B35D67A" w14:textId="77777777" w:rsidR="0098047A" w:rsidRPr="00D74B62" w:rsidRDefault="0098047A" w:rsidP="0098047A">
      <w:pPr>
        <w:widowControl w:val="0"/>
        <w:ind w:firstLine="708"/>
        <w:rPr>
          <w:rFonts w:cs="Times New Roman"/>
          <w:color w:val="000000"/>
          <w:szCs w:val="28"/>
          <w:shd w:val="clear" w:color="auto" w:fill="FFFFFF"/>
          <w:lang w:val="en-US"/>
        </w:rPr>
      </w:pPr>
      <w:r w:rsidRPr="00D74B62">
        <w:rPr>
          <w:rFonts w:cs="Times New Roman"/>
          <w:color w:val="000000"/>
          <w:szCs w:val="28"/>
          <w:shd w:val="clear" w:color="auto" w:fill="FFFFFF"/>
          <w:lang w:val="en-US"/>
        </w:rPr>
        <w:t>The peculiarities of the objective side of criminal offenses against the property of Eastern European countries in the legislation and doctrine are analyzed. It was found that, from the objective point of view, the legal constructions of criminal offenses against property are characterized by heterogeneity. Legislative regulation of criminal liability for criminal offenses against property in Eastern Europe, allowed to divide the studied countries into groups: 1) Eastern European countries of the post-Soviet space, which are divided into two subgroups: a) EU member states; b) non-EU countries; 2) Eastern European countries that are not related to the Soviet period of statehood development.</w:t>
      </w:r>
    </w:p>
    <w:p w14:paraId="7B71BDB0" w14:textId="77777777" w:rsidR="0098047A" w:rsidRPr="00D74B62" w:rsidRDefault="0098047A" w:rsidP="0098047A">
      <w:pPr>
        <w:widowControl w:val="0"/>
        <w:ind w:firstLine="708"/>
        <w:rPr>
          <w:rFonts w:cs="Times New Roman"/>
          <w:color w:val="000000"/>
          <w:szCs w:val="28"/>
          <w:highlight w:val="yellow"/>
          <w:shd w:val="clear" w:color="auto" w:fill="FFFFFF"/>
          <w:lang w:val="en-US"/>
        </w:rPr>
      </w:pPr>
      <w:r w:rsidRPr="00D74B62">
        <w:rPr>
          <w:rFonts w:cs="Times New Roman"/>
          <w:color w:val="000000"/>
          <w:szCs w:val="28"/>
          <w:shd w:val="clear" w:color="auto" w:fill="FFFFFF"/>
          <w:lang w:val="en-US"/>
        </w:rPr>
        <w:t>It is determined that the first subgroup is characterized by the presence of independent corpus delicti of theft, robbery, and burglary. On the other hand, the second subgroup of countries is characterized by the absence of such three independent corpus delicti. In Part 1 of Art. 175 of the Criminal Code of Latvia provides for criminal liability for secret or overt theft of movable property of another person. However, in Part 2 of Art. 178 of the Criminal Code of Lithuania open method of theft of property is specified as a qualifying sign of theft.</w:t>
      </w:r>
    </w:p>
    <w:p w14:paraId="5587120E" w14:textId="77777777" w:rsidR="0098047A" w:rsidRPr="00D74B62" w:rsidRDefault="0098047A" w:rsidP="0098047A">
      <w:pPr>
        <w:widowControl w:val="0"/>
        <w:ind w:firstLine="708"/>
        <w:rPr>
          <w:rFonts w:cs="Times New Roman"/>
          <w:color w:val="000000"/>
          <w:szCs w:val="28"/>
          <w:shd w:val="clear" w:color="auto" w:fill="FFFFFF"/>
          <w:lang w:val="en-US"/>
        </w:rPr>
      </w:pPr>
      <w:r w:rsidRPr="00D74B62">
        <w:rPr>
          <w:rFonts w:cs="Times New Roman"/>
          <w:color w:val="000000"/>
          <w:szCs w:val="28"/>
          <w:shd w:val="clear" w:color="auto" w:fill="FFFFFF"/>
          <w:lang w:val="en-US"/>
        </w:rPr>
        <w:t xml:space="preserve">Emphasis is placed on the common definition of the concept of theft under the Criminal Code of Eastern Europe, which are not related to the Soviet period of statehood. Yes, in accordance with Art. 235 of the Criminal Code of Macedonia, Art. 278 of the Criminal Code of Poland Art. 194 of the Criminal Code of Bulgaria, </w:t>
      </w:r>
      <w:r w:rsidRPr="00D74B62">
        <w:rPr>
          <w:rFonts w:cs="Times New Roman"/>
          <w:color w:val="000000"/>
          <w:szCs w:val="28"/>
          <w:shd w:val="clear" w:color="auto" w:fill="FFFFFF"/>
          <w:lang w:val="en-US"/>
        </w:rPr>
        <w:lastRenderedPageBreak/>
        <w:t>Art. 210 of the Criminal Code of Serbia, Art. 199 of the Criminal Code of Estonia, Art. 228 of the Criminal Code of Croatia, Art. 370 of the Criminal Code of Hungary Art. 286 of the Criminal Code of the Federation of Bosnia and Herzegovina, Art. 239 of the Criminal Code of Montenegro provides for liability for a simple theft: "Who seizes another's movable property of another person, with the intention to illegally appropriate it to himself or a third party…".</w:t>
      </w:r>
    </w:p>
    <w:p w14:paraId="39CC8C83" w14:textId="77777777" w:rsidR="0098047A" w:rsidRPr="00D74B62" w:rsidRDefault="0098047A" w:rsidP="0098047A">
      <w:pPr>
        <w:widowControl w:val="0"/>
        <w:ind w:firstLine="708"/>
        <w:rPr>
          <w:rFonts w:cs="Times New Roman"/>
          <w:color w:val="000000"/>
          <w:szCs w:val="28"/>
          <w:shd w:val="clear" w:color="auto" w:fill="FFFFFF"/>
          <w:lang w:val="en-US"/>
        </w:rPr>
      </w:pPr>
      <w:r w:rsidRPr="00D74B62">
        <w:rPr>
          <w:rFonts w:cs="Times New Roman"/>
          <w:color w:val="000000"/>
          <w:szCs w:val="28"/>
          <w:shd w:val="clear" w:color="auto" w:fill="FFFFFF"/>
          <w:lang w:val="en-US"/>
        </w:rPr>
        <w:t>The author concludes that for all Eastern European countries the subject of theft can be only a movable thing. In this case, the perpetrator must realize that he is seizing someone else's thing, that is, a thing that does not belong to him. The objective side is expressed in the actions that consist of removal. The peculiarity of the wording of theft under the Criminal Code of Eastern European countries, which are not related to the Soviet period of statehood, is that the legislator does not indicate "secrecy" as a mandatory feature of such seizure. By the design of the objective side, the composition of the theft is formal. The moment of completion of the theft is the moment of seizure, regardless of whether the perpetrator has a real opportunity to dispose of the seized thing at its discretion.</w:t>
      </w:r>
    </w:p>
    <w:p w14:paraId="773746DE" w14:textId="77777777" w:rsidR="0098047A" w:rsidRPr="00D74B62" w:rsidRDefault="0098047A" w:rsidP="0098047A">
      <w:pPr>
        <w:widowControl w:val="0"/>
        <w:ind w:firstLine="708"/>
        <w:rPr>
          <w:rFonts w:cs="Times New Roman"/>
          <w:color w:val="000000"/>
          <w:szCs w:val="28"/>
          <w:shd w:val="clear" w:color="auto" w:fill="FFFFFF"/>
          <w:lang w:val="en-US"/>
        </w:rPr>
      </w:pPr>
      <w:r w:rsidRPr="00D74B62">
        <w:rPr>
          <w:rFonts w:cs="Times New Roman"/>
          <w:color w:val="000000"/>
          <w:szCs w:val="28"/>
          <w:shd w:val="clear" w:color="auto" w:fill="FFFFFF"/>
          <w:lang w:val="en-US"/>
        </w:rPr>
        <w:t>It is concluded that there is a characteristic feature of the legislation of the second group of Eastern European countries - an independent composition of robbery, which is objectively characterized by active actions of the perpetrator to avoid detention, namely the use of force against a person or threat of imminent attack on life or health. in order to preserve the stolen property. For the countries of the first subgroup of the first group, such criminal offense is not known. But according to the Plenums of the Supreme Courts of such Eastern European countries, such actions should be classified as robbery or burglary.</w:t>
      </w:r>
    </w:p>
    <w:p w14:paraId="1EA6A537" w14:textId="77777777" w:rsidR="0098047A" w:rsidRPr="00D74B62" w:rsidRDefault="0098047A" w:rsidP="0098047A">
      <w:pPr>
        <w:widowControl w:val="0"/>
        <w:ind w:firstLine="708"/>
        <w:rPr>
          <w:rFonts w:cs="Times New Roman"/>
          <w:color w:val="000000"/>
          <w:szCs w:val="28"/>
          <w:highlight w:val="yellow"/>
          <w:shd w:val="clear" w:color="auto" w:fill="FFFFFF"/>
          <w:lang w:val="en-US"/>
        </w:rPr>
      </w:pPr>
      <w:r w:rsidRPr="00D74B62">
        <w:rPr>
          <w:rFonts w:cs="Times New Roman"/>
          <w:color w:val="000000"/>
          <w:szCs w:val="28"/>
          <w:shd w:val="clear" w:color="auto" w:fill="FFFFFF"/>
          <w:lang w:val="en-US"/>
        </w:rPr>
        <w:t>In contrast to the Criminal Code of Ukraine, the term "theft" is key for a separate group of criminal offenses against property under the Criminal Code of the Republic of Belarus, the Criminal Code, and others. In the codes of the Eastern European countries of the second group, the term "theft" is not used. The verbs "seize", "take by storm", "capture", etc. are used to determine the manner in which criminal offenses of this type are committed.</w:t>
      </w:r>
    </w:p>
    <w:p w14:paraId="7A1CFE7A" w14:textId="77777777" w:rsidR="0098047A" w:rsidRPr="00D74B62" w:rsidRDefault="0098047A" w:rsidP="0098047A">
      <w:pPr>
        <w:pStyle w:val="a3"/>
        <w:widowControl w:val="0"/>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lastRenderedPageBreak/>
        <w:t>It has been established that, on the subjective side, criminal offenses against property are usually characterized by guilt in the form of intent. The exception is the destruction or damage to property, which under the Criminal Code of some Eastern European countries is characterized by guilt in the form of negligence. An obligatory sign of the subjective side of theft, fraud, misappropriation or embezzlement, robbery, robbery in the Criminal Code of Eastern Europe of the post-Soviet space, is a selfish motive and purpose. In the Criminal Code of Eastern Europe, which is not related to the Soviet period of statehood, the obligatory sign of the subjective side of theft, robbery, and fraud is the intention to misappropriate the thing for themselves or for a third party.</w:t>
      </w:r>
    </w:p>
    <w:p w14:paraId="455B83CF" w14:textId="77777777" w:rsidR="0098047A" w:rsidRPr="00D74B62" w:rsidRDefault="0098047A" w:rsidP="0098047A">
      <w:pPr>
        <w:pStyle w:val="a3"/>
        <w:widowControl w:val="0"/>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The subject of criminal offenses against property under the Criminal Code of Eastern Europe is not only a sane individual who has reached the age of criminal responsibility at the time of the crime but also a legal entity (Romanian Criminal Code, Czech Criminal Code, Slovenian Criminal Code, Latvian Criminal Code, Criminal Code of Lithuania, etc.).</w:t>
      </w:r>
    </w:p>
    <w:p w14:paraId="62DC6ED8" w14:textId="77777777" w:rsidR="0098047A" w:rsidRPr="00D74B62" w:rsidRDefault="0098047A" w:rsidP="0098047A">
      <w:pPr>
        <w:pStyle w:val="a3"/>
        <w:widowControl w:val="0"/>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The third section describes the qualified types of criminal offenses against property under the laws of Ukraine and Eastern Europe and examines the main grounds for systematization of qualifying features of criminal offenses against property under the criminal laws of Ukraine and other Eastern European countries.</w:t>
      </w:r>
    </w:p>
    <w:p w14:paraId="3D953BB8" w14:textId="77777777" w:rsidR="0098047A" w:rsidRPr="00D74B62" w:rsidRDefault="0098047A" w:rsidP="0098047A">
      <w:pPr>
        <w:pStyle w:val="a3"/>
        <w:widowControl w:val="0"/>
        <w:spacing w:line="348" w:lineRule="auto"/>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Based on the analysis of the qualifying features of criminal offenses against property under the laws of Ukraine and Eastern Europe, the grounds for systematization are identified: I. On objective grounds: 1) on the object of criminal offenses: a) on the subject of criminal offenses against the property; b) for the victim; 2) on the grounds of the objective side: 1) on the grounds of the place of commission of a criminal offense; 2) as a consequence; 3) on the grounds of the situation; 4) on the grounds of tools and means; 5) by the method of committing a criminal offense. ІІ. On subjective grounds: 1) on the grounds of the subject; 2) on the grounds of the subjective side.</w:t>
      </w:r>
    </w:p>
    <w:p w14:paraId="2120E739" w14:textId="77777777" w:rsidR="0098047A" w:rsidRPr="00D74B62" w:rsidRDefault="0098047A" w:rsidP="0098047A">
      <w:pPr>
        <w:pStyle w:val="a3"/>
        <w:widowControl w:val="0"/>
        <w:spacing w:line="348" w:lineRule="auto"/>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 xml:space="preserve">It is established that in the criminal codes of Eastern Europe there are qualifiers corresponding to the criminal legislation of Ukraine (illegal entry into </w:t>
      </w:r>
      <w:r w:rsidRPr="00D74B62">
        <w:rPr>
          <w:rFonts w:ascii="Times New Roman" w:hAnsi="Times New Roman"/>
          <w:color w:val="000000"/>
          <w:szCs w:val="28"/>
          <w:shd w:val="clear" w:color="auto" w:fill="FFFFFF"/>
          <w:lang w:val="en-US"/>
        </w:rPr>
        <w:lastRenderedPageBreak/>
        <w:t>housing or shelter, use of violence, etc.), as well as original qualifiers that are not inherent in Ukrainian criminal law. In the considered codes, they are usually enshrined in separate articles and paragraphs, and some are included in the titles, for example: in the Criminal Code of Serbia, the Criminal Code of Croatia, the Criminal Code of Slovenia there is a separate article called "aggravated theft" and especially aggravated theft. called "robbery". It is established that in the codes of Eastern European countries, qualifying features are described both in separate articles (Criminal Code of Albania, Criminal Code of Croatia, Criminal Code of Slovenia, Criminal Code of Romania, etc.) and in articles with the main composition (Criminal Code of Hungary, Criminal Code of the Czech Republic). Criminal Code of Slovakia, Criminal Code of Poland, etc.).</w:t>
      </w:r>
    </w:p>
    <w:p w14:paraId="06534655" w14:textId="77777777" w:rsidR="0098047A" w:rsidRPr="00D74B62" w:rsidRDefault="0098047A" w:rsidP="0098047A">
      <w:pPr>
        <w:pStyle w:val="a3"/>
        <w:widowControl w:val="0"/>
        <w:spacing w:line="348" w:lineRule="auto"/>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The original qualifying features can be considered, for example, theft with a weapon or other dangerous weapon or means (Article 140 of the Criminal Code of Albania, paragraph 1, part 1, Article 240 of the Criminal Code of Montenegro, paragraph 4, part 1, Article 204 of the Criminal Code of Serbia)</w:t>
      </w:r>
      <w:r>
        <w:rPr>
          <w:rFonts w:ascii="Times New Roman" w:hAnsi="Times New Roman"/>
          <w:color w:val="000000"/>
          <w:szCs w:val="28"/>
          <w:shd w:val="clear" w:color="auto" w:fill="FFFFFF"/>
          <w:lang w:val="en-US"/>
        </w:rPr>
        <w:t xml:space="preserve">; </w:t>
      </w:r>
      <w:r w:rsidRPr="00D74B62">
        <w:rPr>
          <w:rFonts w:ascii="Times New Roman" w:hAnsi="Times New Roman"/>
          <w:color w:val="000000"/>
          <w:szCs w:val="28"/>
          <w:shd w:val="clear" w:color="auto" w:fill="FFFFFF"/>
          <w:lang w:val="en-US"/>
        </w:rPr>
        <w:t>in respect of an elderly person, a person with a disability, a person in a helpless state, or a person suffering from a mental disorder (paragraph 6, part 1 of Article 240 of the Criminal Code of Montenegro; paragraph 6, part 1 of Article 204 of the Criminal Code of Serbia; paragraph 4. Part 1 of Article 229 of the Criminal Code of Croatia); when the perpetrator acted using the conditions resulting from fire, flood, earthquake, other natural disaster or in a state of national danger or martial law (paragraph 5 part 1 of Article 240 of the Criminal Code of Montenegro, paragraph 1 part 1 of Article 195 of the Criminal Code Bulgaria, paragraph 2 part 4 of Article 205 of the Criminal Code of the Czech Republic, paragraph 5 part 1 of Article 204 of the Criminal Code of Serbia).</w:t>
      </w:r>
    </w:p>
    <w:p w14:paraId="43BDEF70" w14:textId="77777777" w:rsidR="0098047A" w:rsidRPr="00D74B62" w:rsidRDefault="0098047A" w:rsidP="0098047A">
      <w:pPr>
        <w:pStyle w:val="a3"/>
        <w:widowControl w:val="0"/>
        <w:spacing w:line="348" w:lineRule="auto"/>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Based on the positive experience of Eastern Europe, it is proposed to supplement Part 3 of Article 185, Part 3 of Art. 186, part 3 of Art. 187 of the Criminal Code of Ukraine by a qualifying feature "with the use of circumstances arising from emergencies, martial law or state of war."</w:t>
      </w:r>
    </w:p>
    <w:p w14:paraId="68977D3E" w14:textId="77777777" w:rsidR="0098047A" w:rsidRPr="00D74B62" w:rsidRDefault="0098047A" w:rsidP="0098047A">
      <w:pPr>
        <w:pStyle w:val="a3"/>
        <w:widowControl w:val="0"/>
        <w:spacing w:line="348" w:lineRule="auto"/>
        <w:ind w:left="0"/>
        <w:rPr>
          <w:rFonts w:ascii="Times New Roman" w:hAnsi="Times New Roman"/>
          <w:color w:val="000000"/>
          <w:szCs w:val="28"/>
          <w:highlight w:val="yellow"/>
          <w:shd w:val="clear" w:color="auto" w:fill="FFFFFF"/>
          <w:lang w:val="en-US"/>
        </w:rPr>
      </w:pPr>
      <w:r w:rsidRPr="00D74B62">
        <w:rPr>
          <w:rFonts w:ascii="Times New Roman" w:hAnsi="Times New Roman"/>
          <w:color w:val="000000"/>
          <w:szCs w:val="28"/>
          <w:shd w:val="clear" w:color="auto" w:fill="FFFFFF"/>
          <w:lang w:val="en-US"/>
        </w:rPr>
        <w:t xml:space="preserve">It is determined that the original qualifying feature of intentional destruction and damage to property is the commission of such a criminal offense on the grounds </w:t>
      </w:r>
      <w:r w:rsidRPr="00D74B62">
        <w:rPr>
          <w:rFonts w:ascii="Times New Roman" w:hAnsi="Times New Roman"/>
          <w:color w:val="000000"/>
          <w:szCs w:val="28"/>
          <w:shd w:val="clear" w:color="auto" w:fill="FFFFFF"/>
          <w:lang w:val="en-US"/>
        </w:rPr>
        <w:lastRenderedPageBreak/>
        <w:t>of racial, national or religious intolerance. Thus, in accordance with paragraph 2 of Part 3 of Art. 228 of the Criminal Code of the Czech Republic, destruction or damage to property of another on the grounds of intolerance of his race, ethnic group, nationality, social group, political or religious beliefs, or lack of religious beliefs is punishable by imprisonment from six months to three years. Based on the study of the experience of Eastern Europe, as well as taking into account the ethnic and religious diversity of Ukrainian society, it is proposed to supplement Part 2 of Art. 194 of the Criminal Code of Ukraine as a new qualifying sign of intentional destruction or damage to property "on the grounds of racial, national or religious intolerance.</w:t>
      </w:r>
    </w:p>
    <w:p w14:paraId="16ACA066" w14:textId="77777777" w:rsidR="0098047A" w:rsidRPr="00D74B62" w:rsidRDefault="0098047A" w:rsidP="0098047A">
      <w:pPr>
        <w:pStyle w:val="a3"/>
        <w:widowControl w:val="0"/>
        <w:spacing w:line="348" w:lineRule="auto"/>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It is established that in foreign legislation there is casuistic construction of sections and chapters of articles. Thus, Chapter 3 of Section XX of the Albanian Criminal Code contains twelve articles on the destruction or damage of property, each of which forms a new criminal offense (destruction of property, destruction of property by explosives, destruction of property by flooding, destruction of property by other means, destruction of roads, destruction power grids, destruction of irrigation system, etc.). Enumerations of various subjects of criminal offenses, and also a codification of separate cases of commission of act seem superfluous. Based on the analysis of foreign experience in Eastern Europe, as well as a study of the logic of the relationship of concepts, it was concluded that the relationship of subordination between the generic concept of "generally dangerous way" and the concept of one of these species "by arson, explosion" in the disposition h. 2 st. 194 and Art. 195 of the Criminal Code of Ukraine. In addition, when comparing Articles 194, 194-1, 195 of the Criminal Code of Ukraine, a violation of the unification of criminal law terminology in the provisions of Part 2 of Article 194 and Art. 195 of the Criminal Code of Ukraine.</w:t>
      </w:r>
    </w:p>
    <w:p w14:paraId="7792199B" w14:textId="77777777" w:rsidR="0098047A" w:rsidRPr="00D74B62" w:rsidRDefault="0098047A" w:rsidP="0098047A">
      <w:pPr>
        <w:pStyle w:val="a3"/>
        <w:widowControl w:val="0"/>
        <w:spacing w:line="348" w:lineRule="auto"/>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The conclusion is made about the need to exclude the words "by arson, explosion or other" and the indication of "generally dangerous way" in the provisions of the articles of Part 2 of Art. 194 and Art. 195 of the Criminal Code of Ukraine.</w:t>
      </w:r>
    </w:p>
    <w:p w14:paraId="3AED441F" w14:textId="07424648" w:rsidR="0098047A" w:rsidRPr="00D74B62" w:rsidRDefault="0098047A" w:rsidP="0098047A">
      <w:pPr>
        <w:pStyle w:val="a3"/>
        <w:widowControl w:val="0"/>
        <w:spacing w:line="348" w:lineRule="auto"/>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 xml:space="preserve">It is determined that one of the trends in the legislation of some Eastern </w:t>
      </w:r>
      <w:r w:rsidRPr="00D74B62">
        <w:rPr>
          <w:rFonts w:ascii="Times New Roman" w:hAnsi="Times New Roman"/>
          <w:color w:val="000000"/>
          <w:szCs w:val="28"/>
          <w:shd w:val="clear" w:color="auto" w:fill="FFFFFF"/>
          <w:lang w:val="en-US"/>
        </w:rPr>
        <w:lastRenderedPageBreak/>
        <w:t>European countries is the polymorphism of criminal law on criminal offenses against property,  the emergence of new types of similar offenses. Thus, in the Codes of most Eastern European countries, in contrast to Ukraine, theft of computer programs, fraud with the use of electronic computers are independent components of a criminal offense, because the use of another method of committing a criminal offense, namely computers, does not affect to the degree of its social danger.</w:t>
      </w:r>
    </w:p>
    <w:p w14:paraId="3B5B39FF" w14:textId="77777777" w:rsidR="0098047A" w:rsidRPr="00D74B62" w:rsidRDefault="0098047A" w:rsidP="0098047A">
      <w:pPr>
        <w:pStyle w:val="a3"/>
        <w:widowControl w:val="0"/>
        <w:spacing w:line="348" w:lineRule="auto"/>
        <w:ind w:left="0"/>
        <w:rPr>
          <w:rFonts w:ascii="Times New Roman" w:hAnsi="Times New Roman"/>
          <w:color w:val="000000"/>
          <w:szCs w:val="28"/>
          <w:shd w:val="clear" w:color="auto" w:fill="FFFFFF"/>
          <w:lang w:val="en-US"/>
        </w:rPr>
      </w:pPr>
      <w:r w:rsidRPr="00D74B62">
        <w:rPr>
          <w:rFonts w:ascii="Times New Roman" w:hAnsi="Times New Roman"/>
          <w:color w:val="000000"/>
          <w:szCs w:val="28"/>
          <w:shd w:val="clear" w:color="auto" w:fill="FFFFFF"/>
          <w:lang w:val="en-US"/>
        </w:rPr>
        <w:t>Based on a study of foreign experience in Eastern Europe, it is proposed to supplement Section VI of the Special Part of the Criminal Code of Ukraine with Article 1901 "Fraud with the use of electronic computers."</w:t>
      </w:r>
    </w:p>
    <w:p w14:paraId="35CCB238" w14:textId="77777777" w:rsidR="0098047A" w:rsidRPr="00D74B62" w:rsidRDefault="0098047A" w:rsidP="0098047A">
      <w:pPr>
        <w:pStyle w:val="a3"/>
        <w:widowControl w:val="0"/>
        <w:spacing w:line="348" w:lineRule="auto"/>
        <w:ind w:left="0"/>
        <w:rPr>
          <w:rFonts w:ascii="Times New Roman" w:hAnsi="Times New Roman"/>
          <w:color w:val="000000"/>
          <w:szCs w:val="28"/>
          <w:shd w:val="clear" w:color="auto" w:fill="FFFFFF"/>
          <w:lang w:val="en-US"/>
        </w:rPr>
      </w:pPr>
      <w:r w:rsidRPr="0058387D">
        <w:rPr>
          <w:rFonts w:ascii="Times New Roman" w:hAnsi="Times New Roman"/>
          <w:b/>
          <w:i/>
          <w:iCs/>
          <w:color w:val="000000"/>
          <w:szCs w:val="28"/>
          <w:shd w:val="clear" w:color="auto" w:fill="FFFFFF"/>
          <w:lang w:val="en-US"/>
        </w:rPr>
        <w:t>Keywords:</w:t>
      </w:r>
      <w:r w:rsidRPr="00D74B62">
        <w:rPr>
          <w:rFonts w:ascii="Times New Roman" w:hAnsi="Times New Roman"/>
          <w:color w:val="000000"/>
          <w:szCs w:val="28"/>
          <w:shd w:val="clear" w:color="auto" w:fill="FFFFFF"/>
          <w:lang w:val="en-US"/>
        </w:rPr>
        <w:t xml:space="preserve"> comparative legal research, Eastern European countries, criminal law, criminal offenses against property, criminal law characteristics, the corpus delicty of a criminal offense, property.</w:t>
      </w:r>
    </w:p>
    <w:p w14:paraId="08DDEC3C" w14:textId="77777777" w:rsidR="0098047A" w:rsidRPr="00276ED1" w:rsidRDefault="0098047A" w:rsidP="0098047A">
      <w:pPr>
        <w:rPr>
          <w:rFonts w:eastAsia="Calibri" w:cs="Times New Roman"/>
          <w:b/>
          <w:bCs/>
          <w:szCs w:val="28"/>
          <w:lang w:eastAsia="en-US"/>
        </w:rPr>
      </w:pPr>
      <w:r w:rsidRPr="00276ED1">
        <w:rPr>
          <w:rFonts w:cs="Times New Roman"/>
          <w:b/>
          <w:bCs/>
          <w:szCs w:val="28"/>
        </w:rPr>
        <w:br w:type="page"/>
      </w:r>
    </w:p>
    <w:sectPr w:rsidR="0098047A" w:rsidRPr="00276ED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047A"/>
    <w:rsid w:val="00176677"/>
    <w:rsid w:val="002075F8"/>
    <w:rsid w:val="00463422"/>
    <w:rsid w:val="0098047A"/>
    <w:rsid w:val="00DF0E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4EAB2"/>
  <w15:chartTrackingRefBased/>
  <w15:docId w15:val="{BA71DB67-89CA-4375-9998-13C9348BF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8047A"/>
    <w:pPr>
      <w:spacing w:after="0" w:line="360" w:lineRule="auto"/>
      <w:ind w:firstLine="709"/>
      <w:jc w:val="both"/>
    </w:pPr>
    <w:rPr>
      <w:rFonts w:ascii="Times New Roman" w:eastAsiaTheme="minorEastAsia" w:hAnsi="Times New Roman"/>
      <w:sz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98047A"/>
  </w:style>
  <w:style w:type="character" w:customStyle="1" w:styleId="rvts0">
    <w:name w:val="rvts0"/>
    <w:rsid w:val="0098047A"/>
    <w:rPr>
      <w:rFonts w:cs="Times New Roman"/>
    </w:rPr>
  </w:style>
  <w:style w:type="paragraph" w:customStyle="1" w:styleId="rvps2">
    <w:name w:val="rvps2"/>
    <w:basedOn w:val="a"/>
    <w:rsid w:val="0098047A"/>
    <w:pPr>
      <w:spacing w:before="100" w:beforeAutospacing="1" w:after="100" w:afterAutospacing="1" w:line="240" w:lineRule="auto"/>
    </w:pPr>
    <w:rPr>
      <w:rFonts w:eastAsia="Times New Roman" w:cs="Times New Roman"/>
      <w:sz w:val="24"/>
      <w:szCs w:val="24"/>
    </w:rPr>
  </w:style>
  <w:style w:type="character" w:customStyle="1" w:styleId="longtext">
    <w:name w:val="long_text"/>
    <w:basedOn w:val="a0"/>
    <w:rsid w:val="0098047A"/>
  </w:style>
  <w:style w:type="paragraph" w:styleId="a3">
    <w:name w:val="List Paragraph"/>
    <w:basedOn w:val="a"/>
    <w:uiPriority w:val="34"/>
    <w:qFormat/>
    <w:rsid w:val="0098047A"/>
    <w:pPr>
      <w:ind w:left="720"/>
      <w:contextualSpacing/>
    </w:pPr>
    <w:rPr>
      <w:rFonts w:ascii="Calibri" w:eastAsia="Calibri" w:hAnsi="Calibri"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4938</Words>
  <Characters>28152</Characters>
  <Application>Microsoft Office Word</Application>
  <DocSecurity>0</DocSecurity>
  <Lines>234</Lines>
  <Paragraphs>66</Paragraphs>
  <ScaleCrop>false</ScaleCrop>
  <Company/>
  <LinksUpToDate>false</LinksUpToDate>
  <CharactersWithSpaces>33024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 Chan</dc:creator>
  <cp:keywords/>
  <dc:description/>
  <cp:lastModifiedBy>Gala Chan</cp:lastModifiedBy>
  <cp:revision>4</cp:revision>
  <dcterms:created xsi:type="dcterms:W3CDTF">2021-07-13T05:36:00Z</dcterms:created>
  <dcterms:modified xsi:type="dcterms:W3CDTF">2021-07-13T05:41:00Z</dcterms:modified>
</cp:coreProperties>
</file>