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2951BB" w14:textId="77777777" w:rsidR="00D6393B" w:rsidRPr="00451649" w:rsidRDefault="00D6393B" w:rsidP="00D6393B">
      <w:pPr>
        <w:widowControl/>
        <w:autoSpaceDE w:val="0"/>
        <w:autoSpaceDN w:val="0"/>
        <w:adjustRightInd w:val="0"/>
        <w:spacing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uk-UA" w:eastAsia="en-US" w:bidi="ar-SA"/>
        </w:rPr>
      </w:pPr>
      <w:r w:rsidRPr="00451649">
        <w:rPr>
          <w:rFonts w:ascii="Times New Roman" w:eastAsia="Calibri" w:hAnsi="Times New Roman" w:cs="Times New Roman"/>
          <w:b/>
          <w:sz w:val="28"/>
          <w:szCs w:val="28"/>
          <w:lang w:val="uk-UA" w:eastAsia="en-US" w:bidi="ar-SA"/>
        </w:rPr>
        <w:t>ТЕМИ РЕФЕРАТІВ</w:t>
      </w:r>
    </w:p>
    <w:p w14:paraId="65316546" w14:textId="77777777" w:rsidR="00D6393B" w:rsidRPr="00451649" w:rsidRDefault="00D6393B" w:rsidP="00D6393B">
      <w:pPr>
        <w:widowControl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uk-UA" w:bidi="ar-SA"/>
        </w:rPr>
      </w:pPr>
      <w:r w:rsidRPr="00451649">
        <w:rPr>
          <w:rFonts w:ascii="Times New Roman" w:eastAsia="Calibri" w:hAnsi="Times New Roman" w:cs="Times New Roman"/>
          <w:sz w:val="28"/>
          <w:szCs w:val="28"/>
          <w:lang w:val="uk-UA" w:eastAsia="uk-UA" w:bidi="ar-SA"/>
        </w:rPr>
        <w:t xml:space="preserve">1. Винахід, його ознаки. Умови патентоспроможності винаходу: «новизна винаходу», «винахідницький рівень» і «промислова придатність». Поняття «рівня техніки» стосовно до винаходу. </w:t>
      </w:r>
    </w:p>
    <w:p w14:paraId="33070F77" w14:textId="77777777" w:rsidR="00D6393B" w:rsidRPr="00451649" w:rsidRDefault="00D6393B" w:rsidP="00D6393B">
      <w:pPr>
        <w:widowControl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uk-UA" w:bidi="ar-SA"/>
        </w:rPr>
      </w:pPr>
      <w:r w:rsidRPr="00451649">
        <w:rPr>
          <w:rFonts w:ascii="Times New Roman" w:eastAsia="Calibri" w:hAnsi="Times New Roman" w:cs="Times New Roman"/>
          <w:sz w:val="28"/>
          <w:szCs w:val="28"/>
          <w:lang w:val="uk-UA" w:eastAsia="uk-UA" w:bidi="ar-SA"/>
        </w:rPr>
        <w:t xml:space="preserve">2. Рішення, які не є винаходами. Рішення, які не визнаються патентоспроможними. </w:t>
      </w:r>
    </w:p>
    <w:p w14:paraId="30E90453" w14:textId="77777777" w:rsidR="00D6393B" w:rsidRPr="00451649" w:rsidRDefault="00D6393B" w:rsidP="00D6393B">
      <w:pPr>
        <w:widowControl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uk-UA" w:bidi="ar-SA"/>
        </w:rPr>
      </w:pPr>
      <w:r w:rsidRPr="00451649">
        <w:rPr>
          <w:rFonts w:ascii="Times New Roman" w:eastAsia="Calibri" w:hAnsi="Times New Roman" w:cs="Times New Roman"/>
          <w:sz w:val="28"/>
          <w:szCs w:val="28"/>
          <w:lang w:val="uk-UA" w:eastAsia="uk-UA" w:bidi="ar-SA"/>
        </w:rPr>
        <w:t xml:space="preserve">3. Корисна модель, її ознаки. Умови патентоспроможності корисної моделі: «новизна» і «промислова придатність». Поняття «рівень техніки» стосовно до корисної моделі. </w:t>
      </w:r>
    </w:p>
    <w:p w14:paraId="7657B18D" w14:textId="77777777" w:rsidR="00D6393B" w:rsidRPr="00451649" w:rsidRDefault="00D6393B" w:rsidP="00D6393B">
      <w:pPr>
        <w:widowControl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uk-UA" w:bidi="ar-SA"/>
        </w:rPr>
      </w:pPr>
      <w:r w:rsidRPr="00451649">
        <w:rPr>
          <w:rFonts w:ascii="Times New Roman" w:eastAsia="Calibri" w:hAnsi="Times New Roman" w:cs="Times New Roman"/>
          <w:sz w:val="28"/>
          <w:szCs w:val="28"/>
          <w:lang w:val="uk-UA" w:eastAsia="uk-UA" w:bidi="ar-SA"/>
        </w:rPr>
        <w:t xml:space="preserve">4. Пропозиції, яким не надається правова охорона в якості корисної моделі. </w:t>
      </w:r>
    </w:p>
    <w:p w14:paraId="1D43606A" w14:textId="77777777" w:rsidR="00D6393B" w:rsidRPr="00451649" w:rsidRDefault="00D6393B" w:rsidP="00D6393B">
      <w:pPr>
        <w:widowControl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uk-UA" w:bidi="ar-SA"/>
        </w:rPr>
      </w:pPr>
      <w:r w:rsidRPr="00451649">
        <w:rPr>
          <w:rFonts w:ascii="Times New Roman" w:eastAsia="Calibri" w:hAnsi="Times New Roman" w:cs="Times New Roman"/>
          <w:sz w:val="28"/>
          <w:szCs w:val="28"/>
          <w:lang w:val="uk-UA" w:eastAsia="uk-UA" w:bidi="ar-SA"/>
        </w:rPr>
        <w:t xml:space="preserve">5. Особи, що мають право на одержання патенту на винахід, корисну модель, промисловий зразок. Перехід, передача права на одержання патенту. Правове регулювання відносин, пов'язаних з винаходами, корисними моделями й промисловими зразками, створеними працівником у зв'язку з виконанням трудових обов'язків або конкретного завдання роботодавця. </w:t>
      </w:r>
    </w:p>
    <w:p w14:paraId="3CD69574" w14:textId="77777777" w:rsidR="00D6393B" w:rsidRPr="00451649" w:rsidRDefault="00D6393B" w:rsidP="00D6393B">
      <w:pPr>
        <w:widowControl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uk-UA" w:bidi="ar-SA"/>
        </w:rPr>
      </w:pPr>
      <w:r w:rsidRPr="00451649">
        <w:rPr>
          <w:rFonts w:ascii="Times New Roman" w:eastAsia="Calibri" w:hAnsi="Times New Roman" w:cs="Times New Roman"/>
          <w:sz w:val="28"/>
          <w:szCs w:val="28"/>
          <w:lang w:val="uk-UA" w:eastAsia="uk-UA" w:bidi="ar-SA"/>
        </w:rPr>
        <w:t xml:space="preserve">6. Правове регулювання відносин, пов'язаних з винаходами, корисними моделями, промисловими зразками, створеними при виконанні робіт за договором, що прямо не передбачав їхнє створення. </w:t>
      </w:r>
    </w:p>
    <w:p w14:paraId="0F305FE8" w14:textId="77777777" w:rsidR="00D6393B" w:rsidRPr="00451649" w:rsidRDefault="00D6393B" w:rsidP="00D6393B">
      <w:pPr>
        <w:widowControl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uk-UA" w:bidi="ar-SA"/>
        </w:rPr>
      </w:pPr>
      <w:r w:rsidRPr="00451649">
        <w:rPr>
          <w:rFonts w:ascii="Times New Roman" w:eastAsia="Calibri" w:hAnsi="Times New Roman" w:cs="Times New Roman"/>
          <w:sz w:val="28"/>
          <w:szCs w:val="28"/>
          <w:lang w:val="uk-UA" w:eastAsia="uk-UA" w:bidi="ar-SA"/>
        </w:rPr>
        <w:t xml:space="preserve">7. Правове регулювання відносин, пов'язаних із промисловими зразками, створеними за замовленням. </w:t>
      </w:r>
    </w:p>
    <w:p w14:paraId="4DDBF5D0" w14:textId="77777777" w:rsidR="00D6393B" w:rsidRDefault="00D6393B" w:rsidP="00D6393B">
      <w:pPr>
        <w:widowControl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uk-UA" w:bidi="ar-SA"/>
        </w:rPr>
      </w:pPr>
      <w:r w:rsidRPr="00451649">
        <w:rPr>
          <w:rFonts w:ascii="Times New Roman" w:eastAsia="Calibri" w:hAnsi="Times New Roman" w:cs="Times New Roman"/>
          <w:sz w:val="28"/>
          <w:szCs w:val="28"/>
          <w:lang w:val="uk-UA" w:eastAsia="uk-UA" w:bidi="ar-SA"/>
        </w:rPr>
        <w:t xml:space="preserve">8. Термін дії виключного права на винахід, корисну модель, промисловий зразок. Термін дії виключного права на винахід, що відноситься до лікарського засобу. </w:t>
      </w:r>
    </w:p>
    <w:p w14:paraId="0A71FEB0" w14:textId="77777777" w:rsidR="00D6393B" w:rsidRPr="00451649" w:rsidRDefault="00D6393B" w:rsidP="00D6393B">
      <w:pPr>
        <w:widowControl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uk-UA" w:bidi="ar-SA"/>
        </w:rPr>
      </w:pPr>
      <w:r w:rsidRPr="00451649">
        <w:rPr>
          <w:rFonts w:ascii="Times New Roman" w:eastAsia="Calibri" w:hAnsi="Times New Roman" w:cs="Times New Roman"/>
          <w:color w:val="auto"/>
          <w:sz w:val="28"/>
          <w:szCs w:val="28"/>
          <w:lang w:val="uk-UA" w:eastAsia="uk-UA" w:bidi="ar-SA"/>
        </w:rPr>
        <w:t xml:space="preserve">9. Права й обов'язки патентовласника. Взаємини патентовласників, яким виключне право належить спільно. Права й обов'язки третіх осіб стосовно патентовласника. </w:t>
      </w:r>
    </w:p>
    <w:p w14:paraId="52445C69" w14:textId="77777777" w:rsidR="00D6393B" w:rsidRPr="00451649" w:rsidRDefault="00D6393B" w:rsidP="00D6393B">
      <w:pPr>
        <w:widowControl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Calibri" w:hAnsi="Times New Roman" w:cs="Times New Roman"/>
          <w:color w:val="auto"/>
          <w:sz w:val="28"/>
          <w:szCs w:val="28"/>
          <w:lang w:val="uk-UA" w:eastAsia="uk-UA" w:bidi="ar-SA"/>
        </w:rPr>
      </w:pPr>
      <w:r w:rsidRPr="00451649">
        <w:rPr>
          <w:rFonts w:ascii="Times New Roman" w:eastAsia="Calibri" w:hAnsi="Times New Roman" w:cs="Times New Roman"/>
          <w:color w:val="auto"/>
          <w:sz w:val="28"/>
          <w:szCs w:val="28"/>
          <w:lang w:val="uk-UA" w:eastAsia="uk-UA" w:bidi="ar-SA"/>
        </w:rPr>
        <w:t xml:space="preserve">10. Права й обов'язки патентовласника. Взаємини патентовласників, яким виключне право належить спільно. Права й обов'язки третіх осіб стосовно патентовласника. </w:t>
      </w:r>
    </w:p>
    <w:p w14:paraId="239A0402" w14:textId="77777777" w:rsidR="00D6393B" w:rsidRPr="00451649" w:rsidRDefault="00D6393B" w:rsidP="00D6393B">
      <w:pPr>
        <w:widowControl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Calibri" w:hAnsi="Times New Roman" w:cs="Times New Roman"/>
          <w:color w:val="auto"/>
          <w:sz w:val="28"/>
          <w:szCs w:val="28"/>
          <w:lang w:val="uk-UA" w:eastAsia="uk-UA" w:bidi="ar-SA"/>
        </w:rPr>
      </w:pPr>
      <w:r w:rsidRPr="00451649">
        <w:rPr>
          <w:rFonts w:ascii="Times New Roman" w:eastAsia="Calibri" w:hAnsi="Times New Roman" w:cs="Times New Roman"/>
          <w:color w:val="auto"/>
          <w:sz w:val="28"/>
          <w:szCs w:val="28"/>
          <w:lang w:val="uk-UA" w:eastAsia="uk-UA" w:bidi="ar-SA"/>
        </w:rPr>
        <w:lastRenderedPageBreak/>
        <w:t xml:space="preserve">11. Види використання винаходу, корисної моделі або промислового зразка. Дії, що не є порушенням виключного права на винахід, корисну модель або промисловий зразок. Незаконне використання винаходу, корисної моделі або промислового зразка </w:t>
      </w:r>
    </w:p>
    <w:p w14:paraId="66988EBA" w14:textId="77777777" w:rsidR="00D6393B" w:rsidRPr="00451649" w:rsidRDefault="00D6393B" w:rsidP="00D6393B">
      <w:pPr>
        <w:widowControl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Calibri" w:hAnsi="Times New Roman" w:cs="Times New Roman"/>
          <w:color w:val="auto"/>
          <w:sz w:val="28"/>
          <w:szCs w:val="28"/>
          <w:lang w:val="uk-UA" w:eastAsia="uk-UA" w:bidi="ar-SA"/>
        </w:rPr>
      </w:pPr>
      <w:r w:rsidRPr="00451649">
        <w:rPr>
          <w:rFonts w:ascii="Times New Roman" w:eastAsia="Calibri" w:hAnsi="Times New Roman" w:cs="Times New Roman"/>
          <w:color w:val="auto"/>
          <w:sz w:val="28"/>
          <w:szCs w:val="28"/>
          <w:lang w:val="uk-UA" w:eastAsia="uk-UA" w:bidi="ar-SA"/>
        </w:rPr>
        <w:t xml:space="preserve">12. Право попереднього користувача. </w:t>
      </w:r>
    </w:p>
    <w:p w14:paraId="05A852C9" w14:textId="77777777" w:rsidR="00D6393B" w:rsidRPr="00451649" w:rsidRDefault="00D6393B" w:rsidP="00D6393B">
      <w:pPr>
        <w:widowControl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Calibri" w:hAnsi="Times New Roman" w:cs="Times New Roman"/>
          <w:color w:val="auto"/>
          <w:sz w:val="28"/>
          <w:szCs w:val="28"/>
          <w:lang w:val="uk-UA" w:eastAsia="uk-UA" w:bidi="ar-SA"/>
        </w:rPr>
      </w:pPr>
      <w:r w:rsidRPr="00451649">
        <w:rPr>
          <w:rFonts w:ascii="Times New Roman" w:eastAsia="Calibri" w:hAnsi="Times New Roman" w:cs="Times New Roman"/>
          <w:color w:val="auto"/>
          <w:sz w:val="28"/>
          <w:szCs w:val="28"/>
          <w:lang w:val="uk-UA" w:eastAsia="uk-UA" w:bidi="ar-SA"/>
        </w:rPr>
        <w:t xml:space="preserve">13. Перехід винаходу, корисної моделі або промислового зразка в суспільне надбання. </w:t>
      </w:r>
    </w:p>
    <w:p w14:paraId="257C9B00" w14:textId="77777777" w:rsidR="00D6393B" w:rsidRPr="00451649" w:rsidRDefault="00D6393B" w:rsidP="00D6393B">
      <w:pPr>
        <w:widowControl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Calibri" w:hAnsi="Times New Roman" w:cs="Times New Roman"/>
          <w:color w:val="auto"/>
          <w:sz w:val="28"/>
          <w:szCs w:val="28"/>
          <w:lang w:val="uk-UA" w:eastAsia="uk-UA" w:bidi="ar-SA"/>
        </w:rPr>
      </w:pPr>
      <w:r w:rsidRPr="00451649">
        <w:rPr>
          <w:rFonts w:ascii="Times New Roman" w:eastAsia="Calibri" w:hAnsi="Times New Roman" w:cs="Times New Roman"/>
          <w:color w:val="auto"/>
          <w:sz w:val="28"/>
          <w:szCs w:val="28"/>
          <w:lang w:val="uk-UA" w:eastAsia="uk-UA" w:bidi="ar-SA"/>
        </w:rPr>
        <w:t xml:space="preserve">14. Розпорядження виключним правом на результат інтелектуальної діяльності. </w:t>
      </w:r>
    </w:p>
    <w:p w14:paraId="38530865" w14:textId="77777777" w:rsidR="00D6393B" w:rsidRPr="00451649" w:rsidRDefault="00D6393B" w:rsidP="00D6393B">
      <w:pPr>
        <w:widowControl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Calibri" w:hAnsi="Times New Roman" w:cs="Times New Roman"/>
          <w:color w:val="auto"/>
          <w:sz w:val="28"/>
          <w:szCs w:val="28"/>
          <w:lang w:val="uk-UA" w:eastAsia="uk-UA" w:bidi="ar-SA"/>
        </w:rPr>
      </w:pPr>
      <w:r w:rsidRPr="00451649">
        <w:rPr>
          <w:rFonts w:ascii="Times New Roman" w:eastAsia="Calibri" w:hAnsi="Times New Roman" w:cs="Times New Roman"/>
          <w:color w:val="auto"/>
          <w:sz w:val="28"/>
          <w:szCs w:val="28"/>
          <w:lang w:val="uk-UA" w:eastAsia="uk-UA" w:bidi="ar-SA"/>
        </w:rPr>
        <w:t xml:space="preserve">15. Відкрита ліцензія, її умови й порядок надання. </w:t>
      </w:r>
    </w:p>
    <w:p w14:paraId="6475E9C6" w14:textId="77777777" w:rsidR="00D6393B" w:rsidRPr="00451649" w:rsidRDefault="00D6393B" w:rsidP="00D6393B">
      <w:pPr>
        <w:widowControl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Calibri" w:hAnsi="Times New Roman" w:cs="Times New Roman"/>
          <w:color w:val="auto"/>
          <w:sz w:val="28"/>
          <w:szCs w:val="28"/>
          <w:lang w:val="uk-UA" w:eastAsia="uk-UA" w:bidi="ar-SA"/>
        </w:rPr>
      </w:pPr>
      <w:r w:rsidRPr="00451649">
        <w:rPr>
          <w:rFonts w:ascii="Times New Roman" w:eastAsia="Calibri" w:hAnsi="Times New Roman" w:cs="Times New Roman"/>
          <w:color w:val="auto"/>
          <w:sz w:val="28"/>
          <w:szCs w:val="28"/>
          <w:lang w:val="uk-UA" w:eastAsia="uk-UA" w:bidi="ar-SA"/>
        </w:rPr>
        <w:t xml:space="preserve">16. Договір комерційної концесії, відмінні риси, правове регулювання </w:t>
      </w:r>
    </w:p>
    <w:p w14:paraId="1A963E07" w14:textId="77777777" w:rsidR="00D6393B" w:rsidRPr="00451649" w:rsidRDefault="00D6393B" w:rsidP="00D6393B">
      <w:pPr>
        <w:widowControl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Calibri" w:hAnsi="Times New Roman" w:cs="Times New Roman"/>
          <w:color w:val="auto"/>
          <w:sz w:val="28"/>
          <w:szCs w:val="28"/>
          <w:lang w:val="uk-UA" w:eastAsia="uk-UA" w:bidi="ar-SA"/>
        </w:rPr>
      </w:pPr>
      <w:r w:rsidRPr="00451649">
        <w:rPr>
          <w:rFonts w:ascii="Times New Roman" w:eastAsia="Calibri" w:hAnsi="Times New Roman" w:cs="Times New Roman"/>
          <w:color w:val="auto"/>
          <w:sz w:val="28"/>
          <w:szCs w:val="28"/>
          <w:lang w:val="uk-UA" w:eastAsia="uk-UA" w:bidi="ar-SA"/>
        </w:rPr>
        <w:t xml:space="preserve">17. Подача заявки через патентного повіреного, можливість подачі заявок заявниками деяких країнах СНД і ведення по них справ без участі національних патентних повірників цих країн. </w:t>
      </w:r>
    </w:p>
    <w:p w14:paraId="10D65801" w14:textId="77777777" w:rsidR="00D6393B" w:rsidRPr="00451649" w:rsidRDefault="00D6393B" w:rsidP="00D6393B">
      <w:pPr>
        <w:widowControl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Calibri" w:hAnsi="Times New Roman" w:cs="Times New Roman"/>
          <w:color w:val="auto"/>
          <w:sz w:val="28"/>
          <w:szCs w:val="28"/>
          <w:lang w:val="uk-UA" w:eastAsia="uk-UA" w:bidi="ar-SA"/>
        </w:rPr>
      </w:pPr>
      <w:r w:rsidRPr="00451649">
        <w:rPr>
          <w:rFonts w:ascii="Times New Roman" w:eastAsia="Calibri" w:hAnsi="Times New Roman" w:cs="Times New Roman"/>
          <w:color w:val="auto"/>
          <w:sz w:val="28"/>
          <w:szCs w:val="28"/>
          <w:lang w:val="uk-UA" w:eastAsia="uk-UA" w:bidi="ar-SA"/>
        </w:rPr>
        <w:t xml:space="preserve">18. Дата подачі заявок на винахід, корисну модель і промисловий зразок. Особливості її встановлення. </w:t>
      </w:r>
    </w:p>
    <w:p w14:paraId="09FAE074" w14:textId="77777777" w:rsidR="00D6393B" w:rsidRPr="00451649" w:rsidRDefault="00D6393B" w:rsidP="00D6393B">
      <w:pPr>
        <w:widowControl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Calibri" w:hAnsi="Times New Roman" w:cs="Times New Roman"/>
          <w:color w:val="auto"/>
          <w:sz w:val="28"/>
          <w:szCs w:val="28"/>
          <w:lang w:val="uk-UA" w:eastAsia="uk-UA" w:bidi="ar-SA"/>
        </w:rPr>
      </w:pPr>
      <w:r w:rsidRPr="00451649">
        <w:rPr>
          <w:rFonts w:ascii="Times New Roman" w:eastAsia="Calibri" w:hAnsi="Times New Roman" w:cs="Times New Roman"/>
          <w:color w:val="auto"/>
          <w:sz w:val="28"/>
          <w:szCs w:val="28"/>
          <w:lang w:val="uk-UA" w:eastAsia="uk-UA" w:bidi="ar-SA"/>
        </w:rPr>
        <w:t xml:space="preserve">19. Умови встановлення пріоритету винаходу, корисної моделі й промислового зразка. Поняття конвенційного пріоритету. Документи, що підтверджують правомірність вимоги заявника про надання пільги. </w:t>
      </w:r>
    </w:p>
    <w:p w14:paraId="78817D8E" w14:textId="77777777" w:rsidR="00D6393B" w:rsidRPr="00451649" w:rsidRDefault="00D6393B" w:rsidP="00D6393B">
      <w:pPr>
        <w:widowControl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Calibri" w:hAnsi="Times New Roman" w:cs="Times New Roman"/>
          <w:color w:val="auto"/>
          <w:sz w:val="28"/>
          <w:szCs w:val="28"/>
          <w:lang w:val="uk-UA" w:eastAsia="uk-UA" w:bidi="ar-SA"/>
        </w:rPr>
      </w:pPr>
      <w:r w:rsidRPr="00451649">
        <w:rPr>
          <w:rFonts w:ascii="Times New Roman" w:eastAsia="Calibri" w:hAnsi="Times New Roman" w:cs="Times New Roman"/>
          <w:color w:val="auto"/>
          <w:sz w:val="28"/>
          <w:szCs w:val="28"/>
          <w:lang w:val="uk-UA" w:eastAsia="uk-UA" w:bidi="ar-SA"/>
        </w:rPr>
        <w:t xml:space="preserve">20. Зміст і строки формальної експертизи заявок на винахід або на промисловий зразок. </w:t>
      </w:r>
    </w:p>
    <w:p w14:paraId="1ABAB25D" w14:textId="77777777" w:rsidR="00D6393B" w:rsidRPr="00451649" w:rsidRDefault="00D6393B" w:rsidP="00D6393B">
      <w:pPr>
        <w:widowControl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Calibri" w:hAnsi="Times New Roman" w:cs="Times New Roman"/>
          <w:color w:val="auto"/>
          <w:sz w:val="28"/>
          <w:szCs w:val="28"/>
          <w:lang w:val="uk-UA" w:eastAsia="uk-UA" w:bidi="ar-SA"/>
        </w:rPr>
      </w:pPr>
      <w:r w:rsidRPr="00451649">
        <w:rPr>
          <w:rFonts w:ascii="Times New Roman" w:eastAsia="Calibri" w:hAnsi="Times New Roman" w:cs="Times New Roman"/>
          <w:color w:val="auto"/>
          <w:sz w:val="28"/>
          <w:szCs w:val="28"/>
          <w:lang w:val="uk-UA" w:eastAsia="uk-UA" w:bidi="ar-SA"/>
        </w:rPr>
        <w:t xml:space="preserve">21. Зміст експертизи по суті заявок на винахід або на промисловий зразок. </w:t>
      </w:r>
    </w:p>
    <w:p w14:paraId="07596458" w14:textId="77777777" w:rsidR="00D6393B" w:rsidRPr="00451649" w:rsidRDefault="00D6393B" w:rsidP="00D6393B">
      <w:pPr>
        <w:widowControl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Calibri" w:hAnsi="Times New Roman" w:cs="Times New Roman"/>
          <w:color w:val="auto"/>
          <w:sz w:val="28"/>
          <w:szCs w:val="28"/>
          <w:lang w:val="uk-UA" w:eastAsia="uk-UA" w:bidi="ar-SA"/>
        </w:rPr>
      </w:pPr>
      <w:r w:rsidRPr="00451649">
        <w:rPr>
          <w:rFonts w:ascii="Times New Roman" w:eastAsia="Calibri" w:hAnsi="Times New Roman" w:cs="Times New Roman"/>
          <w:color w:val="auto"/>
          <w:sz w:val="28"/>
          <w:szCs w:val="28"/>
          <w:lang w:val="uk-UA" w:eastAsia="uk-UA" w:bidi="ar-SA"/>
        </w:rPr>
        <w:t xml:space="preserve">22. Публікація відомостей про заявку на винахід. </w:t>
      </w:r>
    </w:p>
    <w:p w14:paraId="0B6B2D2F" w14:textId="77777777" w:rsidR="00D6393B" w:rsidRPr="00451649" w:rsidRDefault="00D6393B" w:rsidP="00D6393B">
      <w:pPr>
        <w:widowControl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Calibri" w:hAnsi="Times New Roman" w:cs="Times New Roman"/>
          <w:color w:val="auto"/>
          <w:sz w:val="28"/>
          <w:szCs w:val="28"/>
          <w:lang w:val="uk-UA" w:eastAsia="uk-UA" w:bidi="ar-SA"/>
        </w:rPr>
      </w:pPr>
      <w:r w:rsidRPr="00451649">
        <w:rPr>
          <w:rFonts w:ascii="Times New Roman" w:eastAsia="Calibri" w:hAnsi="Times New Roman" w:cs="Times New Roman"/>
          <w:color w:val="auto"/>
          <w:sz w:val="28"/>
          <w:szCs w:val="28"/>
          <w:lang w:val="uk-UA" w:eastAsia="uk-UA" w:bidi="ar-SA"/>
        </w:rPr>
        <w:t xml:space="preserve">23. Експертиза заявки на корисну модель. Види рішень за заявкою, порядок їхнього прийняття. Підстави для відмови. Визнання заявки відкликаної. </w:t>
      </w:r>
    </w:p>
    <w:p w14:paraId="29B113CE" w14:textId="77777777" w:rsidR="00D6393B" w:rsidRPr="00451649" w:rsidRDefault="00D6393B" w:rsidP="00D6393B">
      <w:pPr>
        <w:widowControl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Calibri" w:hAnsi="Times New Roman" w:cs="Times New Roman"/>
          <w:color w:val="auto"/>
          <w:sz w:val="28"/>
          <w:szCs w:val="28"/>
          <w:lang w:val="uk-UA" w:eastAsia="uk-UA" w:bidi="ar-SA"/>
        </w:rPr>
      </w:pPr>
      <w:r w:rsidRPr="00451649">
        <w:rPr>
          <w:rFonts w:ascii="Times New Roman" w:eastAsia="Calibri" w:hAnsi="Times New Roman" w:cs="Times New Roman"/>
          <w:color w:val="auto"/>
          <w:sz w:val="28"/>
          <w:szCs w:val="28"/>
          <w:lang w:val="uk-UA" w:eastAsia="uk-UA" w:bidi="ar-SA"/>
        </w:rPr>
        <w:t xml:space="preserve">24. Правова охорона секретних винаходів. Порядок подачі заявки на секретний винахід. </w:t>
      </w:r>
    </w:p>
    <w:p w14:paraId="0951945D" w14:textId="77777777" w:rsidR="00D6393B" w:rsidRPr="00451649" w:rsidRDefault="00D6393B" w:rsidP="00D6393B">
      <w:pPr>
        <w:widowControl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Calibri" w:hAnsi="Times New Roman" w:cs="Times New Roman"/>
          <w:color w:val="auto"/>
          <w:sz w:val="28"/>
          <w:szCs w:val="28"/>
          <w:lang w:val="uk-UA" w:eastAsia="uk-UA" w:bidi="ar-SA"/>
        </w:rPr>
      </w:pPr>
      <w:r w:rsidRPr="00451649">
        <w:rPr>
          <w:rFonts w:ascii="Times New Roman" w:eastAsia="Calibri" w:hAnsi="Times New Roman" w:cs="Times New Roman"/>
          <w:color w:val="auto"/>
          <w:sz w:val="28"/>
          <w:szCs w:val="28"/>
          <w:lang w:val="uk-UA" w:eastAsia="uk-UA" w:bidi="ar-SA"/>
        </w:rPr>
        <w:t xml:space="preserve">25. Тимчасова правова охорона винаходів, умови її виникнення. </w:t>
      </w:r>
    </w:p>
    <w:p w14:paraId="19B5750D" w14:textId="77777777" w:rsidR="00D6393B" w:rsidRPr="00451649" w:rsidRDefault="00D6393B" w:rsidP="00D6393B">
      <w:pPr>
        <w:widowControl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Calibri" w:hAnsi="Times New Roman" w:cs="Times New Roman"/>
          <w:color w:val="auto"/>
          <w:sz w:val="28"/>
          <w:szCs w:val="28"/>
          <w:lang w:val="uk-UA" w:eastAsia="uk-UA" w:bidi="ar-SA"/>
        </w:rPr>
      </w:pPr>
      <w:r w:rsidRPr="00451649">
        <w:rPr>
          <w:rFonts w:ascii="Times New Roman" w:eastAsia="Calibri" w:hAnsi="Times New Roman" w:cs="Times New Roman"/>
          <w:color w:val="auto"/>
          <w:sz w:val="28"/>
          <w:szCs w:val="28"/>
          <w:lang w:val="uk-UA" w:eastAsia="uk-UA" w:bidi="ar-SA"/>
        </w:rPr>
        <w:lastRenderedPageBreak/>
        <w:t xml:space="preserve">26. Патентування винаходів або корисних моделей в іноземних державах відповідно до національних і міжнародних процедур. </w:t>
      </w:r>
    </w:p>
    <w:p w14:paraId="61582F37" w14:textId="77777777" w:rsidR="00D6393B" w:rsidRPr="00451649" w:rsidRDefault="00D6393B" w:rsidP="00D6393B">
      <w:pPr>
        <w:widowControl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Calibri" w:hAnsi="Times New Roman" w:cs="Times New Roman"/>
          <w:color w:val="auto"/>
          <w:sz w:val="28"/>
          <w:szCs w:val="28"/>
          <w:lang w:val="uk-UA" w:eastAsia="uk-UA" w:bidi="ar-SA"/>
        </w:rPr>
      </w:pPr>
      <w:r w:rsidRPr="00451649">
        <w:rPr>
          <w:rFonts w:ascii="Times New Roman" w:eastAsia="Calibri" w:hAnsi="Times New Roman" w:cs="Times New Roman"/>
          <w:color w:val="auto"/>
          <w:sz w:val="28"/>
          <w:szCs w:val="28"/>
          <w:lang w:val="uk-UA" w:eastAsia="uk-UA" w:bidi="ar-SA"/>
        </w:rPr>
        <w:t xml:space="preserve">27. Євразійський патент, порядок його отримання. </w:t>
      </w:r>
    </w:p>
    <w:p w14:paraId="0F18335D" w14:textId="77777777" w:rsidR="00D6393B" w:rsidRPr="00451649" w:rsidRDefault="00D6393B" w:rsidP="00D6393B">
      <w:pPr>
        <w:widowControl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Calibri" w:hAnsi="Times New Roman" w:cs="Times New Roman"/>
          <w:color w:val="auto"/>
          <w:sz w:val="28"/>
          <w:szCs w:val="28"/>
          <w:lang w:val="uk-UA" w:eastAsia="uk-UA" w:bidi="ar-SA"/>
        </w:rPr>
      </w:pPr>
      <w:r w:rsidRPr="00451649">
        <w:rPr>
          <w:rFonts w:ascii="Times New Roman" w:eastAsia="Calibri" w:hAnsi="Times New Roman" w:cs="Times New Roman"/>
          <w:color w:val="auto"/>
          <w:sz w:val="28"/>
          <w:szCs w:val="28"/>
          <w:lang w:val="uk-UA" w:eastAsia="uk-UA" w:bidi="ar-SA"/>
        </w:rPr>
        <w:t xml:space="preserve">28. Патентні мита, їхні види, порядок оплати. Підстави для звільнення від сплати мит, зменшення їхніх розмірів, відстрочки їхньої сплати або повернення. </w:t>
      </w:r>
    </w:p>
    <w:p w14:paraId="2E773D38" w14:textId="77777777" w:rsidR="00D6393B" w:rsidRPr="00451649" w:rsidRDefault="00D6393B" w:rsidP="00D6393B">
      <w:pPr>
        <w:widowControl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Calibri" w:hAnsi="Times New Roman" w:cs="Times New Roman"/>
          <w:color w:val="auto"/>
          <w:sz w:val="28"/>
          <w:szCs w:val="28"/>
          <w:lang w:val="uk-UA" w:eastAsia="uk-UA" w:bidi="ar-SA"/>
        </w:rPr>
      </w:pPr>
      <w:r w:rsidRPr="00451649">
        <w:rPr>
          <w:rFonts w:ascii="Times New Roman" w:eastAsia="Calibri" w:hAnsi="Times New Roman" w:cs="Times New Roman"/>
          <w:color w:val="auto"/>
          <w:sz w:val="28"/>
          <w:szCs w:val="28"/>
          <w:lang w:val="uk-UA" w:eastAsia="uk-UA" w:bidi="ar-SA"/>
        </w:rPr>
        <w:t xml:space="preserve">29. Зміст виключного права на торговельну марку. </w:t>
      </w:r>
    </w:p>
    <w:p w14:paraId="2F745D4B" w14:textId="77777777" w:rsidR="00D6393B" w:rsidRPr="00451649" w:rsidRDefault="00D6393B" w:rsidP="00D6393B">
      <w:pPr>
        <w:pStyle w:val="Default"/>
        <w:spacing w:line="360" w:lineRule="auto"/>
        <w:ind w:firstLine="709"/>
        <w:jc w:val="both"/>
        <w:rPr>
          <w:sz w:val="28"/>
          <w:szCs w:val="28"/>
          <w:lang w:eastAsia="uk-UA"/>
        </w:rPr>
      </w:pPr>
      <w:r w:rsidRPr="00451649">
        <w:rPr>
          <w:color w:val="auto"/>
          <w:sz w:val="28"/>
          <w:szCs w:val="28"/>
          <w:lang w:eastAsia="uk-UA"/>
        </w:rPr>
        <w:t xml:space="preserve">30. Поняття розпізнавальної здатності позначення. Заборона на реєстрацію в якості знаків для товарів і послуг позначень, що ввійшли в загальне вживання для позначення товарів певного виду; що є загальноприйнятими символами й термінами; що характеризують(вид, якість, кількість, властивість, призначення, цінність, а також на час, місце й спосіб їхнього виробництва або збуту); що представляють собою форму товарів, що </w:t>
      </w:r>
      <w:r w:rsidRPr="00451649">
        <w:rPr>
          <w:sz w:val="28"/>
          <w:szCs w:val="28"/>
          <w:lang w:eastAsia="uk-UA"/>
        </w:rPr>
        <w:t xml:space="preserve">визначається винятково або головним чином властивістю або призначенням товарів. </w:t>
      </w:r>
    </w:p>
    <w:p w14:paraId="1E2BD8D2" w14:textId="77777777" w:rsidR="00D6393B" w:rsidRPr="00451649" w:rsidRDefault="00D6393B" w:rsidP="00D6393B">
      <w:pPr>
        <w:widowControl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uk-UA" w:bidi="ar-SA"/>
        </w:rPr>
      </w:pPr>
      <w:r w:rsidRPr="00451649">
        <w:rPr>
          <w:rFonts w:ascii="Times New Roman" w:eastAsia="Calibri" w:hAnsi="Times New Roman" w:cs="Times New Roman"/>
          <w:sz w:val="28"/>
          <w:szCs w:val="28"/>
          <w:lang w:val="uk-UA" w:eastAsia="uk-UA" w:bidi="ar-SA"/>
        </w:rPr>
        <w:t xml:space="preserve">31. Міжнародна класифікація товарів і послуг для реєстрації знаків (МКТП) і основні критерії її побудови. </w:t>
      </w:r>
    </w:p>
    <w:p w14:paraId="1329AA36" w14:textId="77777777" w:rsidR="00D6393B" w:rsidRPr="00451649" w:rsidRDefault="00D6393B" w:rsidP="00D6393B">
      <w:pPr>
        <w:widowControl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uk-UA" w:bidi="ar-SA"/>
        </w:rPr>
      </w:pPr>
      <w:r w:rsidRPr="00451649">
        <w:rPr>
          <w:rFonts w:ascii="Times New Roman" w:eastAsia="Calibri" w:hAnsi="Times New Roman" w:cs="Times New Roman"/>
          <w:sz w:val="28"/>
          <w:szCs w:val="28"/>
          <w:lang w:val="uk-UA" w:eastAsia="uk-UA" w:bidi="ar-SA"/>
        </w:rPr>
        <w:t xml:space="preserve">32. Дата подачі заявки на знак для товарів і послуг. Пріоритет знаків для товарів і послуг. Умови встановлення конвенційних, виставочного пріоритетів і пріоритету за виділеною заявкою. Документи, що підтверджують правомірність вимоги заявника про встановлення конвенційного або виставочного пріоритету. </w:t>
      </w:r>
    </w:p>
    <w:p w14:paraId="40739CC1" w14:textId="77777777" w:rsidR="00D6393B" w:rsidRPr="00451649" w:rsidRDefault="00D6393B" w:rsidP="00D6393B">
      <w:pPr>
        <w:widowControl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uk-UA" w:bidi="ar-SA"/>
        </w:rPr>
      </w:pPr>
      <w:r w:rsidRPr="00451649">
        <w:rPr>
          <w:rFonts w:ascii="Times New Roman" w:eastAsia="Calibri" w:hAnsi="Times New Roman" w:cs="Times New Roman"/>
          <w:sz w:val="28"/>
          <w:szCs w:val="28"/>
          <w:lang w:val="uk-UA" w:eastAsia="uk-UA" w:bidi="ar-SA"/>
        </w:rPr>
        <w:t xml:space="preserve">33. Термін дії виключного права на торговельну марку і порядок його продовження. </w:t>
      </w:r>
    </w:p>
    <w:p w14:paraId="2E51685D" w14:textId="77777777" w:rsidR="00D6393B" w:rsidRPr="00451649" w:rsidRDefault="00D6393B" w:rsidP="00D6393B">
      <w:pPr>
        <w:widowControl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uk-UA" w:bidi="ar-SA"/>
        </w:rPr>
      </w:pPr>
      <w:r w:rsidRPr="00451649">
        <w:rPr>
          <w:rFonts w:ascii="Times New Roman" w:eastAsia="Calibri" w:hAnsi="Times New Roman" w:cs="Times New Roman"/>
          <w:sz w:val="28"/>
          <w:szCs w:val="28"/>
          <w:lang w:val="uk-UA" w:eastAsia="uk-UA" w:bidi="ar-SA"/>
        </w:rPr>
        <w:t xml:space="preserve">34. Добре відома торговельна марка. Умови й порядок визнання </w:t>
      </w:r>
      <w:proofErr w:type="spellStart"/>
      <w:r w:rsidRPr="00451649">
        <w:rPr>
          <w:rFonts w:ascii="Times New Roman" w:eastAsia="Calibri" w:hAnsi="Times New Roman" w:cs="Times New Roman"/>
          <w:sz w:val="28"/>
          <w:szCs w:val="28"/>
          <w:lang w:val="uk-UA" w:eastAsia="uk-UA" w:bidi="ar-SA"/>
        </w:rPr>
        <w:t>знака</w:t>
      </w:r>
      <w:proofErr w:type="spellEnd"/>
      <w:r w:rsidRPr="00451649">
        <w:rPr>
          <w:rFonts w:ascii="Times New Roman" w:eastAsia="Calibri" w:hAnsi="Times New Roman" w:cs="Times New Roman"/>
          <w:sz w:val="28"/>
          <w:szCs w:val="28"/>
          <w:lang w:val="uk-UA" w:eastAsia="uk-UA" w:bidi="ar-SA"/>
        </w:rPr>
        <w:t xml:space="preserve"> для товарів і послуг добре відомим в Україні. Обсяг надання правової охорони. Термін дії правової охорони добре відомої торговельної марки. </w:t>
      </w:r>
    </w:p>
    <w:p w14:paraId="041D7FDF" w14:textId="77777777" w:rsidR="00D6393B" w:rsidRPr="00451649" w:rsidRDefault="00D6393B" w:rsidP="00D6393B">
      <w:pPr>
        <w:widowControl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uk-UA" w:bidi="ar-SA"/>
        </w:rPr>
      </w:pPr>
      <w:r w:rsidRPr="00451649">
        <w:rPr>
          <w:rFonts w:ascii="Times New Roman" w:eastAsia="Calibri" w:hAnsi="Times New Roman" w:cs="Times New Roman"/>
          <w:sz w:val="28"/>
          <w:szCs w:val="28"/>
          <w:lang w:val="uk-UA" w:eastAsia="uk-UA" w:bidi="ar-SA"/>
        </w:rPr>
        <w:t xml:space="preserve">35. Колективний знак. Суб'єкти права. Умови надання правової охорони колективному знаку. Можливості перетворення колективного </w:t>
      </w:r>
      <w:proofErr w:type="spellStart"/>
      <w:r w:rsidRPr="00451649">
        <w:rPr>
          <w:rFonts w:ascii="Times New Roman" w:eastAsia="Calibri" w:hAnsi="Times New Roman" w:cs="Times New Roman"/>
          <w:sz w:val="28"/>
          <w:szCs w:val="28"/>
          <w:lang w:val="uk-UA" w:eastAsia="uk-UA" w:bidi="ar-SA"/>
        </w:rPr>
        <w:t>знака</w:t>
      </w:r>
      <w:proofErr w:type="spellEnd"/>
      <w:r w:rsidRPr="00451649">
        <w:rPr>
          <w:rFonts w:ascii="Times New Roman" w:eastAsia="Calibri" w:hAnsi="Times New Roman" w:cs="Times New Roman"/>
          <w:sz w:val="28"/>
          <w:szCs w:val="28"/>
          <w:lang w:val="uk-UA" w:eastAsia="uk-UA" w:bidi="ar-SA"/>
        </w:rPr>
        <w:t xml:space="preserve"> або заявки </w:t>
      </w:r>
      <w:r w:rsidRPr="00451649">
        <w:rPr>
          <w:rFonts w:ascii="Times New Roman" w:eastAsia="Calibri" w:hAnsi="Times New Roman" w:cs="Times New Roman"/>
          <w:sz w:val="28"/>
          <w:szCs w:val="28"/>
          <w:lang w:val="uk-UA" w:eastAsia="uk-UA" w:bidi="ar-SA"/>
        </w:rPr>
        <w:lastRenderedPageBreak/>
        <w:t xml:space="preserve">на його реєстрацію в знак для товарів і послуг або заявку на реєстрацію знаку для товарів і послуг й навпаки. </w:t>
      </w:r>
    </w:p>
    <w:p w14:paraId="7ABF3772" w14:textId="77777777" w:rsidR="00D6393B" w:rsidRPr="00451649" w:rsidRDefault="00D6393B" w:rsidP="00D6393B">
      <w:pPr>
        <w:widowControl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uk-UA" w:bidi="ar-SA"/>
        </w:rPr>
      </w:pPr>
      <w:r w:rsidRPr="00451649">
        <w:rPr>
          <w:rFonts w:ascii="Times New Roman" w:eastAsia="Calibri" w:hAnsi="Times New Roman" w:cs="Times New Roman"/>
          <w:bCs/>
          <w:sz w:val="28"/>
          <w:szCs w:val="28"/>
          <w:lang w:val="uk-UA" w:eastAsia="uk-UA" w:bidi="ar-SA"/>
        </w:rPr>
        <w:t>36.</w:t>
      </w:r>
      <w:r w:rsidRPr="00451649">
        <w:rPr>
          <w:rFonts w:ascii="Times New Roman" w:eastAsia="Calibri" w:hAnsi="Times New Roman" w:cs="Times New Roman"/>
          <w:b/>
          <w:bCs/>
          <w:sz w:val="28"/>
          <w:szCs w:val="28"/>
          <w:lang w:val="uk-UA" w:eastAsia="uk-UA" w:bidi="ar-SA"/>
        </w:rPr>
        <w:t xml:space="preserve"> </w:t>
      </w:r>
      <w:r w:rsidRPr="00451649">
        <w:rPr>
          <w:rFonts w:ascii="Times New Roman" w:eastAsia="Calibri" w:hAnsi="Times New Roman" w:cs="Times New Roman"/>
          <w:sz w:val="28"/>
          <w:szCs w:val="28"/>
          <w:lang w:val="uk-UA" w:eastAsia="uk-UA" w:bidi="ar-SA"/>
        </w:rPr>
        <w:t xml:space="preserve">Договір комерційної концесії. </w:t>
      </w:r>
    </w:p>
    <w:p w14:paraId="25A69530" w14:textId="2E6E9304" w:rsidR="00600014" w:rsidRDefault="00600014" w:rsidP="00D6393B"/>
    <w:sectPr w:rsidR="0060001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1EEA"/>
    <w:rsid w:val="002B31EA"/>
    <w:rsid w:val="00600014"/>
    <w:rsid w:val="00B61EEA"/>
    <w:rsid w:val="00D6393B"/>
    <w:rsid w:val="00DF44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BF9973"/>
  <w15:chartTrackingRefBased/>
  <w15:docId w15:val="{C627D713-5350-4D8A-9C3F-0B06D26968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rsid w:val="00D6393B"/>
    <w:pPr>
      <w:widowControl w:val="0"/>
      <w:spacing w:after="0" w:line="240" w:lineRule="auto"/>
    </w:pPr>
    <w:rPr>
      <w:rFonts w:ascii="Arial Unicode MS" w:eastAsia="Arial Unicode MS" w:hAnsi="Arial Unicode MS" w:cs="Arial Unicode MS"/>
      <w:color w:val="000000"/>
      <w:sz w:val="24"/>
      <w:szCs w:val="24"/>
      <w:lang w:val="ru-RU" w:eastAsia="ru-RU" w:bidi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D6393B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751</Words>
  <Characters>4284</Characters>
  <Application>Microsoft Office Word</Application>
  <DocSecurity>0</DocSecurity>
  <Lines>35</Lines>
  <Paragraphs>10</Paragraphs>
  <ScaleCrop>false</ScaleCrop>
  <Company/>
  <LinksUpToDate>false</LinksUpToDate>
  <CharactersWithSpaces>5025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2024-10-07T10:17:00Z</dcterms:created>
  <dcterms:modified xsi:type="dcterms:W3CDTF">2024-10-07T10:17:00Z</dcterms:modified>
</cp:coreProperties>
</file>