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widowControl w:val="false"/>
        <w:spacing w:lineRule="auto" w:line="276" w:before="0" w:after="200"/>
        <w:jc w:val="center"/>
        <w:rPr>
          <w:rFonts w:ascii="Times New Roman" w:hAnsi="Times New Roman" w:eastAsia="Times New Roman" w:cs="Times New Roman"/>
          <w:sz w:val="32"/>
          <w:szCs w:val="32"/>
        </w:rPr>
      </w:pPr>
      <w:bookmarkStart w:id="0" w:name="_GoBack"/>
      <w:bookmarkEnd w:id="0"/>
      <w:r>
        <w:rPr>
          <w:rFonts w:eastAsia="Times New Roman" w:cs="Times New Roman" w:ascii="Times New Roman" w:hAnsi="Times New Roman"/>
          <w:sz w:val="32"/>
          <w:szCs w:val="32"/>
        </w:rPr>
        <w:t>МІНІСТЕРСТВО ОСВІТИ І НАУКИ УКРАЇНИ</w:t>
      </w:r>
    </w:p>
    <w:p>
      <w:pPr>
        <w:pStyle w:val="Normal"/>
        <w:widowControl w:val="false"/>
        <w:spacing w:lineRule="auto" w:line="276" w:before="0" w:after="20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НАЦІОНАЛЬНИЙ УНІВЕРСИТЕТ</w:t>
      </w:r>
    </w:p>
    <w:p>
      <w:pPr>
        <w:pStyle w:val="Normal"/>
        <w:widowControl w:val="false"/>
        <w:spacing w:lineRule="auto" w:line="276" w:before="0" w:after="20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«ОДЕСЬКА ЮРИДИЧНА АКАДЕМІЯ»</w:t>
      </w:r>
    </w:p>
    <w:p>
      <w:pPr>
        <w:pStyle w:val="Normal"/>
        <w:widowControl w:val="false"/>
        <w:spacing w:lineRule="auto" w:line="276" w:before="0" w:after="20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КАФЕДРА КІБЕРБЕЗПЕКИ</w:t>
      </w:r>
    </w:p>
    <w:p>
      <w:pPr>
        <w:pStyle w:val="Normal"/>
        <w:widowControl w:val="false"/>
        <w:spacing w:lineRule="auto" w:line="276" w:before="0" w:after="20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Василенко М. Д., Манаков С.Ю., Слатвінська В.М.</w:t>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i/>
          <w:i/>
          <w:sz w:val="32"/>
          <w:szCs w:val="32"/>
        </w:rPr>
      </w:pPr>
      <w:r>
        <w:rPr>
          <w:rFonts w:eastAsia="Times New Roman" w:cs="Times New Roman" w:ascii="Times New Roman" w:hAnsi="Times New Roman"/>
          <w:i/>
          <w:sz w:val="32"/>
          <w:szCs w:val="32"/>
        </w:rPr>
      </w:r>
    </w:p>
    <w:p>
      <w:pPr>
        <w:pStyle w:val="Normal"/>
        <w:widowControl w:val="false"/>
        <w:spacing w:lineRule="auto" w:line="240" w:before="0" w:after="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widowControl w:val="false"/>
        <w:spacing w:lineRule="auto" w:line="240" w:before="0" w:after="0"/>
        <w:jc w:val="center"/>
        <w:rPr>
          <w:rFonts w:ascii="Times New Roman" w:hAnsi="Times New Roman" w:eastAsia="Times New Roman" w:cs="Times New Roman"/>
          <w:b/>
          <w:b/>
          <w:smallCaps/>
          <w:sz w:val="32"/>
          <w:szCs w:val="32"/>
        </w:rPr>
      </w:pPr>
      <w:r>
        <w:rPr>
          <w:rFonts w:eastAsia="Times New Roman" w:cs="Times New Roman" w:ascii="Times New Roman" w:hAnsi="Times New Roman"/>
          <w:b/>
          <w:smallCaps/>
          <w:sz w:val="32"/>
          <w:szCs w:val="32"/>
        </w:rPr>
        <w:t>АДМІНІСТРУВАННЯ ТА ЗАХИСТ БАЗ ТА СХОВИЩ ДАНИХ</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highlight w:val="yellow"/>
        </w:rPr>
      </w:pPr>
      <w:r>
        <w:rPr>
          <w:rFonts w:eastAsia="Times New Roman" w:cs="Times New Roman" w:ascii="Times New Roman" w:hAnsi="Times New Roman"/>
          <w:sz w:val="32"/>
          <w:szCs w:val="32"/>
        </w:rPr>
        <w:t>МЕТОДИЧНІ  ВКАЗІВКИ</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(для бакалаврів галузі знань 12 «Інформаційні технології», спеціальності 122 «Комп’ютерні науки» факультету кібербезпеки та інформаційних технологій)</w:t>
      </w:r>
    </w:p>
    <w:p>
      <w:pPr>
        <w:pStyle w:val="Normal"/>
        <w:widowControl w:val="false"/>
        <w:spacing w:lineRule="auto" w:line="240" w:before="0" w:after="0"/>
        <w:ind w:firstLine="680"/>
        <w:jc w:val="center"/>
        <w:rPr>
          <w:rFonts w:ascii="Times New Roman" w:hAnsi="Times New Roman" w:eastAsia="Times New Roman" w:cs="Times New Roman"/>
          <w:i/>
          <w:i/>
          <w:sz w:val="32"/>
          <w:szCs w:val="32"/>
        </w:rPr>
      </w:pPr>
      <w:r>
        <w:rPr>
          <w:rFonts w:eastAsia="Times New Roman" w:cs="Times New Roman" w:ascii="Times New Roman" w:hAnsi="Times New Roman"/>
          <w:i/>
          <w:sz w:val="32"/>
          <w:szCs w:val="32"/>
        </w:rPr>
      </w:r>
    </w:p>
    <w:p>
      <w:pPr>
        <w:pStyle w:val="Normal"/>
        <w:widowControl w:val="false"/>
        <w:spacing w:lineRule="auto" w:line="240" w:before="0" w:after="0"/>
        <w:ind w:firstLine="68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ind w:firstLine="680"/>
        <w:jc w:val="both"/>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Одеса</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2024</w:t>
      </w:r>
    </w:p>
    <w:p>
      <w:pPr>
        <w:pStyle w:val="Normal"/>
        <w:widowControl w:val="false"/>
        <w:spacing w:lineRule="auto" w:line="240" w:before="0" w:after="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rPr>
          <w:rFonts w:ascii="Times New Roman" w:hAnsi="Times New Roman" w:eastAsia="Times New Roman" w:cs="Times New Roman"/>
          <w:sz w:val="28"/>
          <w:szCs w:val="28"/>
        </w:rPr>
      </w:pPr>
      <w:r>
        <w:rPr>
          <w:rFonts w:eastAsia="Times New Roman" w:cs="Times New Roman" w:ascii="Times New Roman" w:hAnsi="Times New Roman"/>
          <w:sz w:val="28"/>
          <w:szCs w:val="28"/>
        </w:rPr>
      </w:r>
      <w:r>
        <w:br w:type="page"/>
      </w:r>
    </w:p>
    <w:p>
      <w:pPr>
        <w:pStyle w:val="Normal"/>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УДК 004.056.5:004.056.56</w:t>
      </w:r>
    </w:p>
    <w:p>
      <w:pPr>
        <w:pStyle w:val="Normal"/>
        <w:spacing w:lineRule="auto" w:line="240" w:before="0" w:after="0"/>
        <w:jc w:val="center"/>
        <w:rPr>
          <w:rFonts w:ascii="Times New Roman" w:hAnsi="Times New Roman" w:eastAsia="Times New Roman" w:cs="Times New Roman"/>
          <w:i/>
          <w:i/>
          <w:sz w:val="28"/>
          <w:szCs w:val="28"/>
        </w:rPr>
      </w:pPr>
      <w:r>
        <w:rPr>
          <w:rFonts w:eastAsia="Times New Roman" w:cs="Times New Roman" w:ascii="Times New Roman" w:hAnsi="Times New Roman"/>
          <w:i/>
          <w:color w:val="000000"/>
          <w:sz w:val="28"/>
          <w:szCs w:val="28"/>
        </w:rPr>
        <w:t>Рекомендовано навчально-методичною радою</w:t>
      </w:r>
    </w:p>
    <w:p>
      <w:pPr>
        <w:pStyle w:val="Normal"/>
        <w:spacing w:lineRule="auto" w:line="240" w:before="0" w:after="0"/>
        <w:jc w:val="center"/>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t xml:space="preserve">Національного університету «Одеська юридична академія» </w:t>
      </w:r>
    </w:p>
    <w:p>
      <w:pPr>
        <w:pStyle w:val="Normal"/>
        <w:spacing w:lineRule="auto" w:line="240" w:before="0" w:after="0"/>
        <w:jc w:val="center"/>
        <w:rPr>
          <w:rFonts w:ascii="Times New Roman" w:hAnsi="Times New Roman" w:eastAsia="Times New Roman" w:cs="Times New Roman"/>
          <w:i/>
          <w:i/>
          <w:sz w:val="28"/>
          <w:szCs w:val="28"/>
        </w:rPr>
      </w:pPr>
      <w:r>
        <w:rPr>
          <w:rFonts w:eastAsia="Times New Roman" w:cs="Times New Roman" w:ascii="Times New Roman" w:hAnsi="Times New Roman"/>
          <w:i/>
          <w:color w:val="000000"/>
          <w:sz w:val="28"/>
          <w:szCs w:val="28"/>
        </w:rPr>
        <w:t xml:space="preserve">(протокол № </w:t>
      </w:r>
      <w:r>
        <w:rPr>
          <w:rFonts w:eastAsia="Times New Roman" w:cs="Times New Roman" w:ascii="Times New Roman" w:hAnsi="Times New Roman"/>
          <w:i/>
          <w:sz w:val="28"/>
          <w:szCs w:val="28"/>
        </w:rPr>
        <w:t>5</w:t>
      </w:r>
      <w:r>
        <w:rPr>
          <w:rFonts w:eastAsia="Times New Roman" w:cs="Times New Roman" w:ascii="Times New Roman" w:hAnsi="Times New Roman"/>
          <w:i/>
          <w:color w:val="000000"/>
          <w:sz w:val="28"/>
          <w:szCs w:val="28"/>
        </w:rPr>
        <w:t xml:space="preserve"> від 21.0</w:t>
      </w:r>
      <w:r>
        <w:rPr>
          <w:rFonts w:eastAsia="Times New Roman" w:cs="Times New Roman" w:ascii="Times New Roman" w:hAnsi="Times New Roman"/>
          <w:i/>
          <w:sz w:val="28"/>
          <w:szCs w:val="28"/>
        </w:rPr>
        <w:t>2</w:t>
      </w:r>
      <w:r>
        <w:rPr>
          <w:rFonts w:eastAsia="Times New Roman" w:cs="Times New Roman" w:ascii="Times New Roman" w:hAnsi="Times New Roman"/>
          <w:i/>
          <w:color w:val="000000"/>
          <w:sz w:val="28"/>
          <w:szCs w:val="28"/>
        </w:rPr>
        <w:t>.2024 р.)</w:t>
      </w:r>
    </w:p>
    <w:p>
      <w:pPr>
        <w:pStyle w:val="Normal"/>
        <w:spacing w:lineRule="auto" w:line="240"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lineRule="auto" w:line="240" w:before="0" w:after="0"/>
        <w:jc w:val="both"/>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Розробники:</w:t>
      </w:r>
    </w:p>
    <w:p>
      <w:pPr>
        <w:pStyle w:val="Normal"/>
        <w:spacing w:lineRule="auto" w:line="240" w:before="0" w:after="0"/>
        <w:jc w:val="both"/>
        <w:rPr>
          <w:rFonts w:ascii="Times New Roman" w:hAnsi="Times New Roman" w:eastAsia="Times New Roman" w:cs="Times New Roman"/>
          <w:sz w:val="28"/>
          <w:szCs w:val="28"/>
          <w:highlight w:val="yellow"/>
        </w:rPr>
      </w:pPr>
      <w:r>
        <w:rPr>
          <w:rFonts w:eastAsia="Times New Roman" w:cs="Times New Roman" w:ascii="Times New Roman" w:hAnsi="Times New Roman"/>
          <w:b/>
          <w:sz w:val="28"/>
          <w:szCs w:val="28"/>
        </w:rPr>
        <w:t>Василенко М. Д.</w:t>
      </w:r>
      <w:r>
        <w:rPr>
          <w:rFonts w:eastAsia="Times New Roman" w:cs="Times New Roman" w:ascii="Times New Roman" w:hAnsi="Times New Roman"/>
          <w:sz w:val="28"/>
          <w:szCs w:val="28"/>
        </w:rPr>
        <w:t xml:space="preserve"> -  доктор фізико-математичних наук, професор, професор кафедри кібербезпеки Національного університету «Одеська юридична академія», ORCID iD: </w:t>
      </w:r>
      <w:hyperlink r:id="rId2">
        <w:r>
          <w:rPr>
            <w:rFonts w:eastAsia="Times New Roman" w:cs="Times New Roman" w:ascii="Times New Roman" w:hAnsi="Times New Roman"/>
            <w:sz w:val="28"/>
            <w:szCs w:val="28"/>
          </w:rPr>
          <w:t>https://orcid.org/0000-0002-8555-5712</w:t>
        </w:r>
      </w:hyperlink>
      <w:r>
        <w:rPr>
          <w:rFonts w:eastAsia="Times New Roman" w:cs="Times New Roman" w:ascii="Times New Roman" w:hAnsi="Times New Roman"/>
          <w:sz w:val="28"/>
          <w:szCs w:val="28"/>
        </w:rPr>
        <w:t>;</w:t>
      </w:r>
    </w:p>
    <w:p>
      <w:pPr>
        <w:pStyle w:val="Normal"/>
        <w:spacing w:lineRule="auto" w:line="240" w:before="0" w:after="0"/>
        <w:jc w:val="both"/>
        <w:rPr>
          <w:rFonts w:ascii="Times New Roman" w:hAnsi="Times New Roman" w:eastAsia="Times New Roman" w:cs="Times New Roman"/>
          <w:sz w:val="28"/>
          <w:szCs w:val="28"/>
          <w:highlight w:val="yellow"/>
        </w:rPr>
      </w:pPr>
      <w:r>
        <w:rPr>
          <w:rFonts w:eastAsia="Times New Roman" w:cs="Times New Roman" w:ascii="Times New Roman" w:hAnsi="Times New Roman"/>
          <w:b/>
          <w:sz w:val="28"/>
          <w:szCs w:val="28"/>
        </w:rPr>
        <w:t>Манаков С. Ю.</w:t>
      </w:r>
      <w:r>
        <w:rPr>
          <w:rFonts w:eastAsia="Times New Roman" w:cs="Times New Roman" w:ascii="Times New Roman" w:hAnsi="Times New Roman"/>
          <w:sz w:val="28"/>
          <w:szCs w:val="28"/>
        </w:rPr>
        <w:t xml:space="preserve"> - кандидат технічних наук, доцент кафедри інформаційних технологій Національного університету «Одеська юридична академія», ORCID iD: </w:t>
      </w:r>
      <w:hyperlink r:id="rId3">
        <w:r>
          <w:rPr>
            <w:rFonts w:eastAsia="Times New Roman" w:cs="Times New Roman" w:ascii="Times New Roman" w:hAnsi="Times New Roman"/>
            <w:sz w:val="28"/>
            <w:szCs w:val="28"/>
          </w:rPr>
          <w:t>https://orcid.org/my-orcid?orcid=0000-0001-5930-4592</w:t>
        </w:r>
      </w:hyperlink>
      <w:r>
        <w:rPr>
          <w:rFonts w:eastAsia="Times New Roman" w:cs="Times New Roman" w:ascii="Times New Roman" w:hAnsi="Times New Roman"/>
          <w:sz w:val="28"/>
          <w:szCs w:val="28"/>
        </w:rPr>
        <w:t>;</w:t>
      </w:r>
    </w:p>
    <w:p>
      <w:pPr>
        <w:pStyle w:val="Normal"/>
        <w:spacing w:lineRule="auto" w:line="240" w:before="0" w:after="0"/>
        <w:jc w:val="both"/>
        <w:rPr>
          <w:rFonts w:ascii="Times New Roman" w:hAnsi="Times New Roman" w:eastAsia="Times New Roman" w:cs="Times New Roman"/>
          <w:sz w:val="28"/>
          <w:szCs w:val="28"/>
          <w:highlight w:val="yellow"/>
        </w:rPr>
      </w:pPr>
      <w:r>
        <w:rPr>
          <w:rFonts w:eastAsia="Times New Roman" w:cs="Times New Roman" w:ascii="Times New Roman" w:hAnsi="Times New Roman"/>
          <w:b/>
          <w:sz w:val="28"/>
          <w:szCs w:val="28"/>
        </w:rPr>
        <w:t xml:space="preserve">Слатвінська В. М. - </w:t>
      </w:r>
      <w:r>
        <w:rPr>
          <w:rFonts w:eastAsia="Times New Roman" w:cs="Times New Roman" w:ascii="Times New Roman" w:hAnsi="Times New Roman"/>
          <w:sz w:val="28"/>
          <w:szCs w:val="28"/>
        </w:rPr>
        <w:t xml:space="preserve">асистент кафедри кібербезпеки Національного університету «Одеська юридична академія», ORCID iD: </w:t>
      </w:r>
      <w:hyperlink r:id="rId4">
        <w:r>
          <w:rPr>
            <w:rFonts w:eastAsia="Times New Roman" w:cs="Times New Roman" w:ascii="Times New Roman" w:hAnsi="Times New Roman"/>
            <w:sz w:val="28"/>
            <w:szCs w:val="28"/>
          </w:rPr>
          <w:t>https://orcid.org/0000-0002-6082-981X</w:t>
        </w:r>
      </w:hyperlink>
      <w:r>
        <w:rPr>
          <w:rFonts w:eastAsia="Times New Roman" w:cs="Times New Roman" w:ascii="Times New Roman" w:hAnsi="Times New Roman"/>
          <w:sz w:val="28"/>
          <w:szCs w:val="28"/>
        </w:rPr>
        <w:t>;</w:t>
      </w:r>
    </w:p>
    <w:p>
      <w:pPr>
        <w:pStyle w:val="Normal"/>
        <w:spacing w:lineRule="auto" w:line="240" w:before="0" w:after="0"/>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both"/>
        <w:rPr>
          <w:rFonts w:ascii="Times New Roman" w:hAnsi="Times New Roman" w:eastAsia="Times New Roman" w:cs="Times New Roman"/>
          <w:sz w:val="28"/>
          <w:szCs w:val="28"/>
        </w:rPr>
      </w:pPr>
      <w:r>
        <w:rPr>
          <w:rFonts w:eastAsia="Times New Roman" w:cs="Times New Roman" w:ascii="Times New Roman" w:hAnsi="Times New Roman"/>
          <w:b/>
          <w:color w:val="000000"/>
          <w:sz w:val="28"/>
          <w:szCs w:val="28"/>
        </w:rPr>
        <w:t>Рецензенти:</w:t>
      </w:r>
    </w:p>
    <w:p>
      <w:pPr>
        <w:pStyle w:val="Normal"/>
        <w:spacing w:lineRule="auto" w:line="240" w:before="0" w:after="0"/>
        <w:jc w:val="both"/>
        <w:rPr>
          <w:rFonts w:ascii="Times New Roman" w:hAnsi="Times New Roman" w:eastAsia="Times New Roman" w:cs="Times New Roman"/>
          <w:color w:val="000000"/>
          <w:sz w:val="28"/>
          <w:szCs w:val="28"/>
        </w:rPr>
      </w:pPr>
      <w:bookmarkStart w:id="1" w:name="bookmark=id.gjdgxs"/>
      <w:bookmarkEnd w:id="1"/>
      <w:r>
        <w:rPr>
          <w:rFonts w:eastAsia="Times New Roman" w:cs="Times New Roman" w:ascii="Times New Roman" w:hAnsi="Times New Roman"/>
          <w:b/>
          <w:color w:val="000000"/>
          <w:sz w:val="28"/>
          <w:szCs w:val="28"/>
        </w:rPr>
        <w:t xml:space="preserve">Тупкало В.М. –  </w:t>
      </w:r>
      <w:r>
        <w:rPr>
          <w:rFonts w:eastAsia="Times New Roman" w:cs="Times New Roman" w:ascii="Times New Roman" w:hAnsi="Times New Roman"/>
          <w:color w:val="000000"/>
          <w:sz w:val="28"/>
          <w:szCs w:val="28"/>
        </w:rPr>
        <w:t>доктор технічних наук, професор, професор кафедри кібербезпеки,  інформаційних технологій  та економіки Київського університету інтелектуальної власності та права Національного університету «Одеська юридична академія»</w:t>
      </w:r>
    </w:p>
    <w:p>
      <w:pPr>
        <w:pStyle w:val="Normal"/>
        <w:spacing w:lineRule="auto" w:line="240"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 xml:space="preserve">Логінова Н.І. – </w:t>
      </w:r>
      <w:r>
        <w:rPr>
          <w:rFonts w:eastAsia="Times New Roman" w:cs="Times New Roman" w:ascii="Times New Roman" w:hAnsi="Times New Roman"/>
          <w:color w:val="000000"/>
          <w:sz w:val="28"/>
          <w:szCs w:val="28"/>
        </w:rPr>
        <w:t>кандидат педагогічних наук, доцент, завідувачка кафедри інформаційних технологій Національного університету «Одеська юридична академія»</w:t>
      </w:r>
    </w:p>
    <w:p>
      <w:pPr>
        <w:pStyle w:val="Normal"/>
        <w:spacing w:lineRule="auto" w:line="240" w:before="0" w:after="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lineRule="auto" w:line="240" w:before="0" w:after="0"/>
        <w:ind w:firstLine="567"/>
        <w:jc w:val="both"/>
        <w:rPr>
          <w:rFonts w:ascii="Times New Roman" w:hAnsi="Times New Roman" w:eastAsia="Times New Roman" w:cs="Times New Roman"/>
          <w:color w:val="FF0000"/>
          <w:sz w:val="28"/>
          <w:szCs w:val="28"/>
        </w:rPr>
      </w:pPr>
      <w:r>
        <w:rPr>
          <w:rFonts w:eastAsia="Times New Roman" w:cs="Times New Roman" w:ascii="Times New Roman" w:hAnsi="Times New Roman"/>
          <w:color w:val="000000"/>
          <w:sz w:val="28"/>
          <w:szCs w:val="28"/>
        </w:rPr>
        <w:t xml:space="preserve">Адміністрування та захист баз та сховищ даних: методичні  вказівки </w:t>
      </w:r>
      <w:r>
        <w:rPr>
          <w:rFonts w:eastAsia="Times New Roman" w:cs="Times New Roman" w:ascii="Times New Roman" w:hAnsi="Times New Roman"/>
          <w:sz w:val="28"/>
          <w:szCs w:val="28"/>
        </w:rPr>
        <w:t>(для бакалаврів галузі знань 12 «Інформаційні технології», спеціальності 122 «Комп’ютерні науки» факультету кібербезпеки та інформаційних технологій)</w:t>
      </w:r>
      <w:r>
        <w:rPr>
          <w:rFonts w:eastAsia="Times New Roman" w:cs="Times New Roman" w:ascii="Times New Roman" w:hAnsi="Times New Roman"/>
          <w:color w:val="000000"/>
          <w:sz w:val="28"/>
          <w:szCs w:val="28"/>
        </w:rPr>
        <w:t xml:space="preserve"> [Електронне видання] / М.Д. Василенко,</w:t>
      </w:r>
      <w:r>
        <w:rPr/>
        <w:t xml:space="preserve"> </w:t>
      </w:r>
      <w:r>
        <w:rPr>
          <w:rFonts w:eastAsia="Times New Roman" w:cs="Times New Roman" w:ascii="Times New Roman" w:hAnsi="Times New Roman"/>
          <w:color w:val="000000"/>
          <w:sz w:val="28"/>
          <w:szCs w:val="28"/>
        </w:rPr>
        <w:t>С.Ю. Манаков, В.М. Слатвінська; кафедра кібербезпеки НУ «Одеська юридична академія». - Одес</w:t>
      </w:r>
      <w:r>
        <w:rPr>
          <w:rFonts w:eastAsia="Times New Roman" w:cs="Times New Roman" w:ascii="Times New Roman" w:hAnsi="Times New Roman"/>
          <w:sz w:val="28"/>
          <w:szCs w:val="28"/>
        </w:rPr>
        <w:t>а</w:t>
      </w:r>
      <w:r>
        <w:rPr>
          <w:rFonts w:eastAsia="Times New Roman" w:cs="Times New Roman" w:ascii="Times New Roman" w:hAnsi="Times New Roman"/>
          <w:color w:val="000000"/>
          <w:sz w:val="28"/>
          <w:szCs w:val="28"/>
        </w:rPr>
        <w:t xml:space="preserve">, 2024. - 30 с. - Режим доступу: </w:t>
      </w:r>
      <w:r>
        <w:rPr>
          <w:rFonts w:eastAsia="Times New Roman" w:cs="Times New Roman" w:ascii="Times New Roman" w:hAnsi="Times New Roman"/>
          <w:color w:val="000000"/>
          <w:sz w:val="28"/>
          <w:szCs w:val="28"/>
        </w:rPr>
        <w:t xml:space="preserve">https://hdl.handle.net/11300/27679 </w:t>
      </w:r>
    </w:p>
    <w:p>
      <w:pPr>
        <w:pStyle w:val="Normal"/>
        <w:spacing w:lineRule="auto" w:line="240" w:before="0" w:after="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spacing w:lineRule="auto" w:line="240" w:before="0" w:after="0"/>
        <w:ind w:firstLine="720"/>
        <w:jc w:val="both"/>
        <w:rPr>
          <w:rFonts w:ascii="Times New Roman" w:hAnsi="Times New Roman" w:eastAsia="Times New Roman" w:cs="Times New Roman"/>
          <w:sz w:val="24"/>
          <w:szCs w:val="24"/>
        </w:rPr>
      </w:pPr>
      <w:bookmarkStart w:id="2" w:name="_heading=h.30j0zll"/>
      <w:bookmarkEnd w:id="2"/>
      <w:r>
        <w:rPr>
          <w:rFonts w:eastAsia="Times New Roman" w:cs="Times New Roman" w:ascii="Times New Roman" w:hAnsi="Times New Roman"/>
          <w:sz w:val="24"/>
          <w:szCs w:val="24"/>
        </w:rPr>
        <w:t>М</w:t>
      </w:r>
      <w:r>
        <w:rPr>
          <w:rFonts w:eastAsia="Times New Roman" w:cs="Times New Roman" w:ascii="Times New Roman" w:hAnsi="Times New Roman"/>
          <w:color w:val="000000"/>
          <w:sz w:val="24"/>
          <w:szCs w:val="24"/>
        </w:rPr>
        <w:t xml:space="preserve">етодичні вказівки з курсу «Адміністрування та захист баз та сховищ даних» розроблено відповідно до навчального плану, вони складаються з навчальної програми курсу, методичних рекомендацій із проведення практичних занять, питань для самоконтролю, завдань для самостійної роботи, </w:t>
      </w:r>
      <w:r>
        <w:rPr>
          <w:rFonts w:eastAsia="Times New Roman" w:cs="Times New Roman" w:ascii="Times New Roman" w:hAnsi="Times New Roman"/>
          <w:sz w:val="24"/>
          <w:szCs w:val="24"/>
        </w:rPr>
        <w:t>переліку рекомендованих джерел</w:t>
      </w:r>
      <w:r>
        <w:rPr>
          <w:rFonts w:eastAsia="Times New Roman" w:cs="Times New Roman" w:ascii="Times New Roman" w:hAnsi="Times New Roman"/>
          <w:color w:val="000000"/>
          <w:sz w:val="24"/>
          <w:szCs w:val="24"/>
        </w:rPr>
        <w:t xml:space="preserve">. Вивчення дисципліни «Адміністрування та захист баз та сховищ даних» надасть знання і навички </w:t>
      </w:r>
      <w:r>
        <w:rPr>
          <w:rFonts w:eastAsia="Times New Roman" w:cs="Times New Roman" w:ascii="Times New Roman" w:hAnsi="Times New Roman"/>
          <w:sz w:val="24"/>
          <w:szCs w:val="24"/>
        </w:rPr>
        <w:t xml:space="preserve">здобувачам </w:t>
      </w:r>
      <w:r>
        <w:rPr>
          <w:rFonts w:eastAsia="Times New Roman" w:cs="Times New Roman" w:ascii="Times New Roman" w:hAnsi="Times New Roman"/>
          <w:color w:val="000000"/>
          <w:sz w:val="24"/>
          <w:szCs w:val="24"/>
        </w:rPr>
        <w:t>щодо ефективного управління базами даних, забезпечення їх безпеки, вчасного резервного копіювання та відновлення даних.</w:t>
      </w:r>
    </w:p>
    <w:p>
      <w:pPr>
        <w:pStyle w:val="Normal"/>
        <w:spacing w:lineRule="auto" w:line="240" w:before="0" w:after="0"/>
        <w:ind w:firstLine="720"/>
        <w:jc w:val="both"/>
        <w:rPr>
          <w:rFonts w:ascii="Times New Roman" w:hAnsi="Times New Roman" w:eastAsia="Times New Roman" w:cs="Times New Roman"/>
          <w:sz w:val="24"/>
          <w:szCs w:val="24"/>
        </w:rPr>
      </w:pPr>
      <w:r>
        <w:rPr>
          <w:rFonts w:eastAsia="Times New Roman" w:cs="Times New Roman" w:ascii="Times New Roman" w:hAnsi="Times New Roman"/>
          <w:color w:val="000000"/>
          <w:sz w:val="24"/>
          <w:szCs w:val="24"/>
        </w:rPr>
        <w:t xml:space="preserve">Матеріали призначені для </w:t>
      </w:r>
      <w:r>
        <w:rPr>
          <w:rFonts w:eastAsia="Times New Roman" w:cs="Times New Roman" w:ascii="Times New Roman" w:hAnsi="Times New Roman"/>
          <w:sz w:val="24"/>
          <w:szCs w:val="24"/>
        </w:rPr>
        <w:t xml:space="preserve">здобувачів </w:t>
      </w:r>
      <w:r>
        <w:rPr>
          <w:rFonts w:eastAsia="Times New Roman" w:cs="Times New Roman" w:ascii="Times New Roman" w:hAnsi="Times New Roman"/>
          <w:color w:val="000000"/>
          <w:sz w:val="24"/>
          <w:szCs w:val="24"/>
        </w:rPr>
        <w:t>факультету кібербезпеки та інформаційних технологій Національного університету «Одеська юридична академія», які навчаються за спеціальністю 122 «Комп’ютерні науки».</w:t>
      </w:r>
      <w:bookmarkStart w:id="3" w:name="bookmark=id.1fob9te"/>
      <w:bookmarkEnd w:id="3"/>
    </w:p>
    <w:p>
      <w:pPr>
        <w:pStyle w:val="Normal"/>
        <w:spacing w:lineRule="auto" w:line="240" w:before="0" w:after="0"/>
        <w:jc w:val="right"/>
        <w:rPr>
          <w:rFonts w:ascii="Times New Roman" w:hAnsi="Times New Roman" w:eastAsia="Times New Roman" w:cs="Times New Roman"/>
          <w:b/>
          <w:b/>
          <w:sz w:val="28"/>
          <w:szCs w:val="28"/>
        </w:rPr>
      </w:pPr>
      <w:r>
        <w:rPr>
          <w:rFonts w:eastAsia="Times New Roman" w:cs="Times New Roman" w:ascii="Times New Roman" w:hAnsi="Times New Roman"/>
          <w:b/>
          <w:color w:val="000000"/>
          <w:sz w:val="28"/>
          <w:szCs w:val="28"/>
        </w:rPr>
        <w:t xml:space="preserve">УДК 004.056.5:004.056.56 </w:t>
      </w:r>
    </w:p>
    <w:p>
      <w:pPr>
        <w:pStyle w:val="Normal"/>
        <w:jc w:val="right"/>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t>© Василенко М. Д., Манаков С.Ю., Слатвінська В.М. 2024</w:t>
      </w:r>
    </w:p>
    <w:p>
      <w:pPr>
        <w:pStyle w:val="Normal"/>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ОПИС НАВЧАЛЬНОЇ ДИСЦИПЛІНИ</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Навчальна дисципліна «Адміністрування та захист баз та сховищ даних» призначена для здобувачів, що навчаються за освітньо-кваліфікаційним рівнем «бакалавр».</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Міждисциплінарні зв’язки. Методологічну основу дисципліни «Адміністрування та захист баз та сховищ даних» складають дисципліни «Алгоритми та структури даних», «Бази даних», «Технології захисту інформації», «Поглиблене вивчення БД», «Бази даних сімейства NoSQL», «3D моделювання», «Програмування баз даних», «Документо-орієнтовані бази даних» та інші. В числі інших ця дисципліна є підґрунтям для успішного виконання випускної кваліфікаційної роботи.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Вивчаються методи управління та захисту баз даних і сховищ інформації. Здобувачі ознайомлюються з основними принципами адміністрування баз даних, методами забезпечення їх безпеки, резервного копіювання та відновлення даних, а також засобами моніторингу та оптимізації роботи баз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Опанування дисципліни «Адміністрування та захист баз та сховищ даних» передбачає засвоювання матеріалу лекцій, проведення практичних занять, консультацій, самостійної роботи та заліку.</w:t>
      </w:r>
    </w:p>
    <w:p>
      <w:pPr>
        <w:pStyle w:val="Normal"/>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ЗАПЛАНОВАНІ РЕЗУЛЬТАТИ НАВЧАННЯ</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Мета</w:t>
      </w:r>
      <w:r>
        <w:rPr>
          <w:rFonts w:eastAsia="Times New Roman" w:cs="Times New Roman" w:ascii="Times New Roman" w:hAnsi="Times New Roman"/>
          <w:sz w:val="28"/>
          <w:szCs w:val="28"/>
        </w:rPr>
        <w:t xml:space="preserve"> навчальної дисципліни "Адміністрування та захист баз та сховищ даних" полягає в тому, щоб підготувати здобувачів до професійної діяльності в галузі управління та захисту баз даних. Завдання включають оволодіння здобувачами основними принципами адміністрування баз даних, навичками забезпечення їх безпеки, резервним копіюванням та відновленням даних, а також засобами моніторингу та оптимізації роботи баз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Завдання навчальної дисципліни "Адміністрування та захист баз та сховищ даних" полягає у набутті практичних навичок ефективного управління базами даних, забезпечення їх безпеки, вчасного резервного копіювання та відновлення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Згідно з вимогами освітньо-професійної програми здобувачі повинні:</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знати: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color w:val="000000"/>
          <w:sz w:val="28"/>
          <w:szCs w:val="28"/>
        </w:rPr>
        <w:t>- </w:t>
      </w:r>
      <w:r>
        <w:rPr>
          <w:rFonts w:eastAsia="Times New Roman" w:cs="Times New Roman" w:ascii="Times New Roman" w:hAnsi="Times New Roman"/>
          <w:sz w:val="28"/>
          <w:szCs w:val="28"/>
        </w:rPr>
        <w:t>концепцію інформаційної безпеки, принципи безпечного проектування програмного забезпечення, забезпечувати безпеку комп’ютерних мереж в умовах неповноти та невизначеності вихідних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мережні технології, архітектури комп’ютерних мереж;</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основні форми і закони абстрактно-логічного мислення;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r>
        <w:rPr>
          <w:rFonts w:eastAsia="Times New Roman" w:cs="Times New Roman" w:ascii="Times New Roman" w:hAnsi="Times New Roman"/>
          <w:sz w:val="28"/>
          <w:szCs w:val="28"/>
        </w:rPr>
        <w:t>- основи методології наукового пізнання, форм і методів вилучення, аналізу, обробки та синтезу інформації в предметній області комп'ютерних наук;</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мережні технології, архітектури комп’ютерних мереж;</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вміти: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використовувати інструментальні засоби розробки клієнт-серверних застосувань, проектувати концептуальні, логічні та фізичні моделі баз даних;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розробляти та оптимізувати запити до них;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створювати розподілені бази даних, сховища та вітрини даних, бази знань, у тому числі на хмарних сервісах, із застосуванням мов веб-програмування;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володіти мовами системного програмування та методами розробки програм, що взаємодіють з компонентами комп’ютерних систем;</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мати практичні навички технології адміністрування комп’ютерних мереж та їх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використовувати знання закономірностей випадкових явищ, їх властивостей та операцій над ними, моделей випадкових процесів та сучасних програмних середовищ для розв’язування задач статистичної обробки даних і побудови прогнозних моделей;</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реалізовувати багаторівневу обчислювальну модель на основі архітектури клієнт-сервер, включаючи бази даних, знань і сховища даних, виконувати розподілену обробку великих наборів даних на кластерах стандартних серверів для забезпечення обчислювальних потреб користувачів, у тому числі на хмарних сервісах;</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забезпечити організацію обчислювальних процесів в інформаційних системах різного призначення з урахуванням архітектури, конфігурування, показників результативності функціонування операційних систем і системного програмного забезпечення;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методи та засоби забезпечення інформаційної безпеки, розробляти й експлуатувати спеціальне програмне забезпечення захисту інформаційних ресурсів об’єктів критичної інформаційної інфраструктури;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застосовувати знання основних форм і законів абстрактно-логічного мислення, основ методології наукового пізнання, форм і методів вилучення, аналізу, обробки та синтезу інформації в предметній області комп'ютерних наук;</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здатність до аналізу та функціонального моделювання бізнес-процесів, побудови та практичного застосування функціональних моделей організаційно-економічних і виробничо-технічних систем, методів оцінювання ризиків їх проектування;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здатність до розробки мережевого програмного забезпечення, що функціонує на основі різних топологій структурованих кабельних систем, використовує комп’ютерні системи і мережі передачі даних та аналізує якість роботи комп’ютерних мереж.</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бути ознайомленими: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з мовами системного програмування та методами розробки програм, що взаємодіють з компонентами комп’ютерних систем.</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709"/>
        <w:jc w:val="center"/>
        <w:rPr>
          <w:rFonts w:ascii="Times New Roman" w:hAnsi="Times New Roman" w:eastAsia="Times New Roman" w:cs="Times New Roman"/>
          <w:sz w:val="28"/>
          <w:szCs w:val="28"/>
        </w:rPr>
      </w:pPr>
      <w:r>
        <w:br w:type="column"/>
      </w:r>
      <w:r>
        <w:rPr>
          <w:rFonts w:eastAsia="Times New Roman" w:cs="Times New Roman" w:ascii="Times New Roman" w:hAnsi="Times New Roman"/>
          <w:b/>
          <w:sz w:val="32"/>
          <w:szCs w:val="32"/>
        </w:rPr>
        <w:t>СТРУКТУРА НАВЧАЛЬНОЇ ДИСЦИПЛІНИ</w:t>
      </w:r>
    </w:p>
    <w:p>
      <w:pPr>
        <w:pStyle w:val="Normal"/>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bl>
      <w:tblPr>
        <w:tblStyle w:val="af0"/>
        <w:tblW w:w="9039" w:type="dxa"/>
        <w:jc w:val="left"/>
        <w:tblInd w:w="-108" w:type="dxa"/>
        <w:tblCellMar>
          <w:top w:w="0" w:type="dxa"/>
          <w:left w:w="108" w:type="dxa"/>
          <w:bottom w:w="0" w:type="dxa"/>
          <w:right w:w="108" w:type="dxa"/>
        </w:tblCellMar>
        <w:tblLook w:firstRow="0" w:noVBand="1" w:lastRow="0" w:firstColumn="0" w:lastColumn="0" w:noHBand="0" w:val="0400"/>
      </w:tblPr>
      <w:tblGrid>
        <w:gridCol w:w="534"/>
        <w:gridCol w:w="3969"/>
        <w:gridCol w:w="1416"/>
        <w:gridCol w:w="1559"/>
        <w:gridCol w:w="1561"/>
      </w:tblGrid>
      <w:tr>
        <w:trPr>
          <w:trHeight w:val="637" w:hRule="atLeast"/>
        </w:trPr>
        <w:tc>
          <w:tcPr>
            <w:tcW w:w="534"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теми</w:t>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Види занять</w:t>
            </w:r>
          </w:p>
        </w:tc>
        <w:tc>
          <w:tcPr>
            <w:tcW w:w="1416"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Лекційні</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заняття</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c>
          <w:tcPr>
            <w:tcW w:w="1559"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Лабораторні</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заняття</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c>
          <w:tcPr>
            <w:tcW w:w="1561" w:type="dxa"/>
            <w:tcBorders>
              <w:top w:val="single" w:sz="4" w:space="0" w:color="000000"/>
              <w:left w:val="single" w:sz="4" w:space="0" w:color="000000"/>
              <w:bottom w:val="single" w:sz="4" w:space="0" w:color="000000"/>
              <w:right w:val="single" w:sz="4" w:space="0" w:color="000000"/>
            </w:tcBorders>
          </w:tcPr>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Самостійна</w:t>
            </w:r>
          </w:p>
          <w:p>
            <w:pPr>
              <w:pStyle w:val="Normal"/>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робота</w:t>
            </w:r>
          </w:p>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(год.)</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Найменування теми</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c>
          <w:tcPr>
            <w:tcW w:w="155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c>
          <w:tcPr>
            <w:tcW w:w="1561"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очна</w:t>
            </w:r>
          </w:p>
        </w:tc>
      </w:tr>
      <w:tr>
        <w:trPr>
          <w:trHeight w:val="58" w:hRule="atLeast"/>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rPr>
                <w:rFonts w:ascii="Times New Roman" w:hAnsi="Times New Roman" w:eastAsia="Times New Roman" w:cs="Times New Roman"/>
                <w:sz w:val="24"/>
                <w:szCs w:val="24"/>
              </w:rPr>
            </w:pPr>
            <w:r>
              <w:rPr>
                <w:rFonts w:eastAsia="Times New Roman" w:cs="Times New Roman" w:ascii="Times New Roman" w:hAnsi="Times New Roman"/>
              </w:rPr>
              <w:t>Основні поняття захисту даних</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w:t>
            </w:r>
          </w:p>
        </w:tc>
        <w:tc>
          <w:tcPr>
            <w:tcW w:w="155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1"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2</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jc w:val="both"/>
              <w:rPr>
                <w:rFonts w:ascii="Times New Roman" w:hAnsi="Times New Roman" w:eastAsia="Times New Roman" w:cs="Times New Roman"/>
                <w:sz w:val="24"/>
                <w:szCs w:val="24"/>
              </w:rPr>
            </w:pPr>
            <w:r>
              <w:rPr>
                <w:rFonts w:eastAsia="Times New Roman" w:cs="Times New Roman" w:ascii="Times New Roman" w:hAnsi="Times New Roman"/>
              </w:rPr>
              <w:t>Цілісність даних. Дампи. Бекапи. Архіви</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155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1"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3</w:t>
            </w:r>
          </w:p>
        </w:tc>
        <w:tc>
          <w:tcPr>
            <w:tcW w:w="3969" w:type="dxa"/>
            <w:tcBorders>
              <w:top w:val="single" w:sz="4" w:space="0" w:color="000000"/>
              <w:bottom w:val="single" w:sz="4" w:space="0" w:color="000000"/>
              <w:right w:val="single" w:sz="4" w:space="0" w:color="000000"/>
            </w:tcBorders>
            <w:shd w:color="auto" w:fill="auto" w:val="clear"/>
            <w:vAlign w:val="center"/>
          </w:tcPr>
          <w:p>
            <w:pPr>
              <w:pStyle w:val="Normal"/>
              <w:spacing w:before="0" w:after="160"/>
              <w:jc w:val="both"/>
              <w:rPr>
                <w:rFonts w:ascii="Times New Roman" w:hAnsi="Times New Roman" w:eastAsia="Times New Roman" w:cs="Times New Roman"/>
                <w:sz w:val="24"/>
                <w:szCs w:val="24"/>
              </w:rPr>
            </w:pPr>
            <w:r>
              <w:rPr>
                <w:rFonts w:eastAsia="Times New Roman" w:cs="Times New Roman" w:ascii="Times New Roman" w:hAnsi="Times New Roman"/>
              </w:rPr>
              <w:t>Реалізація захисту даних у MySQL</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155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61"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r>
      <w:tr>
        <w:trPr/>
        <w:tc>
          <w:tcPr>
            <w:tcW w:w="534"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4</w:t>
            </w:r>
          </w:p>
        </w:tc>
        <w:tc>
          <w:tcPr>
            <w:tcW w:w="396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b/>
                <w:b/>
                <w:sz w:val="24"/>
                <w:szCs w:val="24"/>
              </w:rPr>
            </w:pPr>
            <w:r>
              <w:rPr>
                <w:rFonts w:eastAsia="Times New Roman" w:cs="Times New Roman" w:ascii="Times New Roman" w:hAnsi="Times New Roman"/>
                <w:b/>
                <w:sz w:val="24"/>
                <w:szCs w:val="24"/>
              </w:rPr>
              <w:t>Всього:</w:t>
            </w:r>
          </w:p>
        </w:tc>
        <w:tc>
          <w:tcPr>
            <w:tcW w:w="1416"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10</w:t>
            </w:r>
          </w:p>
        </w:tc>
        <w:tc>
          <w:tcPr>
            <w:tcW w:w="1559"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30</w:t>
            </w:r>
          </w:p>
        </w:tc>
        <w:tc>
          <w:tcPr>
            <w:tcW w:w="1561" w:type="dxa"/>
            <w:tcBorders>
              <w:top w:val="single" w:sz="4" w:space="0" w:color="000000"/>
              <w:left w:val="single" w:sz="4" w:space="0" w:color="000000"/>
              <w:bottom w:val="single" w:sz="4" w:space="0" w:color="000000"/>
              <w:right w:val="single" w:sz="4" w:space="0" w:color="000000"/>
            </w:tcBorders>
          </w:tcPr>
          <w:p>
            <w:pPr>
              <w:pStyle w:val="Normal"/>
              <w:spacing w:before="0" w:after="160"/>
              <w:jc w:val="center"/>
              <w:rPr>
                <w:rFonts w:ascii="Times New Roman" w:hAnsi="Times New Roman" w:eastAsia="Times New Roman" w:cs="Times New Roman"/>
                <w:sz w:val="24"/>
                <w:szCs w:val="24"/>
              </w:rPr>
            </w:pPr>
            <w:r>
              <w:rPr>
                <w:rFonts w:eastAsia="Times New Roman" w:cs="Times New Roman" w:ascii="Times New Roman" w:hAnsi="Times New Roman"/>
                <w:sz w:val="24"/>
                <w:szCs w:val="24"/>
              </w:rPr>
              <w:t>80</w:t>
            </w:r>
          </w:p>
        </w:tc>
      </w:tr>
    </w:tbl>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ПРОГРАМА НАВЧАЛЬНОЇ ДИСЦИПЛІНИ</w:t>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1. Основні поняття захисту даних</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Основні концепції та методи захисту даних: поняття конфіденційності, цілісності та доступності даних. Актуальність захисту даних. Законодавство про захист даних. Поняття даних: персональні дані, конфіденційні дані, інші типи даних. </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Принципи захисту даних. Технічні та організаційні заходи захисту даних. Основні загрози безпеці даних: кібератаки, витік інформації, віруси тощо та стратегії їх запобігання. Розгляд основних загроз безпеці даних. </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Наслідки в разі вразливості даних. Стратегії захисту даних: шифрування, аутентифікація, авторизація, моніторинг тощо. </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Відповідальність за порушення законодавства про захист даних: адміністративна відповідальність, цивільно-правова відповідальність, кримінальна відповідальність.</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2. Цілісність даних. Дампи. Бекапи. Архіви</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Встановлення зв'язку між цілісністю даних, дампами, бекапами та архівами. Визначення поняття цілісності даних. Пояснення важливості забезпечення цілісності даних у сучасних інформаційних системах.</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Обговорення поняття дампів даних. Розгляд методів створення дампів та їхнього використання для збереження даних у випадку аварій. Пояснення значення бекапів даних. Розгляд типів бекапів та стратегій їх реалізації для забезпечення надійності та відновлення даних. </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Представлення поняття архівів даних. Обговорення методів створення архівів та їхнього використання для збереження старих або малопотрібних даних. Подання прикладів реалізації бекапів та архівів даних у різних сценаріях. Обговорення найкращих практик та стратегій використання бекапів та архівів.</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3.</w:t>
      </w:r>
      <w:r>
        <w:rPr/>
        <w:t xml:space="preserve"> </w:t>
      </w:r>
      <w:r>
        <w:rPr>
          <w:rFonts w:eastAsia="Times New Roman" w:cs="Times New Roman" w:ascii="Times New Roman" w:hAnsi="Times New Roman"/>
          <w:b/>
          <w:sz w:val="28"/>
          <w:szCs w:val="28"/>
        </w:rPr>
        <w:t>Реалізація захисту даних у MySQL</w:t>
      </w:r>
    </w:p>
    <w:p>
      <w:pPr>
        <w:pStyle w:val="Normal"/>
        <w:spacing w:lineRule="auto" w:line="36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Обговорення важливості захисту даних у системах баз даних. Огляд принципів захисту даних у MySQL. Поняття автентифікації та авторизації користувачів. Застосування ролей користувачів для обмеження доступу.</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Шифрування даних у MySQL. Використання Transparent Data Encryption (TDE). Рівневе шифрування та його використання для захисту конфіденційності даних. </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Захист від SQL-ін'єкцій та інших атак. Огляд основних загроз безпеці даних у MySQL. Використання параметризованих запитів та інших методів для захисту від SQL-ін'єкцій. Аудит та відстеження доступу. Перегляд можливостей аудиту та логування подій у MySQL. Використання аудиту для виявлення та аналізу потенційних загроз безпеки. Резервне копіювання та відновлення даних. Пояснення важливості резервного копіювання для забезпечення доступності та цілісності даних. Процедури відновлення даних з резервних копій.</w:t>
      </w:r>
    </w:p>
    <w:p>
      <w:pPr>
        <w:pStyle w:val="Normal"/>
        <w:spacing w:lineRule="auto" w:line="360" w:before="0" w:after="0"/>
        <w:ind w:firstLine="567"/>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ТЕМИ ПРАКТИЧНИХ ЗАНЯТЬ</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1. Основні поняття захисту даних</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lineRule="auto" w:line="240"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Питання до підготовки:</w:t>
      </w:r>
    </w:p>
    <w:p>
      <w:pPr>
        <w:pStyle w:val="Normal"/>
        <w:widowControl w:val="false"/>
        <w:spacing w:lineRule="auto" w:line="240" w:before="0" w:after="0"/>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пароль для захисту доступу до комп'ютера чи облікового запису?</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створити та застосувати сильний пароль для захисту від несанкціонованого доступу?</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відфільтрувати небажаний трафік за допомогою файерволу для захисту мережі?</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регулярне резервне копіювання даних для захисту від втрати інформації?</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відстежувати та аналізувати логи подій для виявлення потенційних загроз безпеці?</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застосовувати шифрування даних для забезпечення конфіденційності інформації?</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перевірити програмне забезпечення на наявність оновлень для запобігання використанню вразливостей?</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та налаштувати антивірусне програмне забезпечення для захисту від шкідливих програм?</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технології аутентифікації двофакторного або багатофакторного факторів для підвищення безпеки доступу?</w:t>
      </w:r>
    </w:p>
    <w:p>
      <w:pPr>
        <w:pStyle w:val="Normal"/>
        <w:widowControl w:val="false"/>
        <w:numPr>
          <w:ilvl w:val="0"/>
          <w:numId w:val="5"/>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заходи безпеки варто вжити при роботі з електронною поштою та веб-переглядачами?</w:t>
      </w:r>
    </w:p>
    <w:p>
      <w:pPr>
        <w:pStyle w:val="Normal"/>
        <w:widowControl w:val="false"/>
        <w:pBdr/>
        <w:spacing w:before="0" w:after="0"/>
        <w:ind w:left="720" w:hanging="0"/>
        <w:rPr>
          <w:rFonts w:ascii="Times New Roman" w:hAnsi="Times New Roman" w:eastAsia="Times New Roman" w:cs="Times New Roman"/>
          <w:i/>
          <w:i/>
          <w:color w:val="000000"/>
          <w:sz w:val="28"/>
          <w:szCs w:val="28"/>
        </w:rPr>
      </w:pPr>
      <w:r>
        <w:rPr>
          <w:rFonts w:eastAsia="Times New Roman" w:cs="Times New Roman" w:ascii="Times New Roman" w:hAnsi="Times New Roman"/>
          <w:i/>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2. Цілісність даних. Дампи. Бекапи. Архіви</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Питання до підготовки:</w:t>
      </w:r>
    </w:p>
    <w:p>
      <w:pPr>
        <w:pStyle w:val="Normal"/>
        <w:widowControl w:val="false"/>
        <w:spacing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перевірити цілісність даних за допомогою контрольної суми або хеш-функції?</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створити та відновити резервну копію даних з використанням програмного забезпечення для резервного копіювання?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запланувати та виконати інкрементальне резервне копіювання для економії часу та ресурсів?</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перевірити цілісність та відновити дані з резервної копії після її створення?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зберігання резервних копій можна застосовувати для забезпечення доступності даних у випадку аварій?</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створити архівну копію даних та зберегти її відповідно до вимог зберігання?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архівування для зменшення розміру файлів та збереження ресурсів зберігання?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забезпечити безпеку та конфіденційність архівованих даних за допомогою шифрування?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архіви для довготривалого зберігання даних та їхнього архівування?</w:t>
      </w:r>
    </w:p>
    <w:p>
      <w:pPr>
        <w:pStyle w:val="Normal"/>
        <w:widowControl w:val="false"/>
        <w:numPr>
          <w:ilvl w:val="0"/>
          <w:numId w:val="6"/>
        </w:numPr>
        <w:pBdr/>
        <w:spacing w:before="0" w:after="0"/>
        <w:ind w:left="709" w:hanging="36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кращі практики щодо управління резервними копіями та архівами для забезпечення безпеки та доступності даних?</w:t>
      </w:r>
    </w:p>
    <w:p>
      <w:pPr>
        <w:pStyle w:val="Normal"/>
        <w:widowControl w:val="false"/>
        <w:pBdr/>
        <w:spacing w:before="0" w:after="0"/>
        <w:ind w:left="1069" w:hanging="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3. Реалізація захисту даних у MySQL</w:t>
      </w:r>
    </w:p>
    <w:p>
      <w:pPr>
        <w:pStyle w:val="Normal"/>
        <w:spacing w:lineRule="auto" w:line="240" w:before="0" w:after="0"/>
        <w:ind w:firstLine="567"/>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Питання до підготовки:</w:t>
      </w:r>
    </w:p>
    <w:p>
      <w:pPr>
        <w:pStyle w:val="Normal"/>
        <w:widowControl w:val="false"/>
        <w:spacing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створити та керувати користувачами та їх правами доступу в MySQL?</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застосувати ролі користувачів для обмеження доступу до конкретних об'єктів бази даних?</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створити та використовувати SSL-з'єднання для захисту даних під час передачі між клієнтом і сервером MySQL?</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виконати шифрування конфіденційних даних в MySQL за допомогою вбудованих функцій?</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аудит доступу до бази даних для відстеження та аналізу подій?</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виконати параметризовані запити для запобігання SQL-ін'єкціям?</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та використовувати регулярні резервні копії для захисту даних від втрати?</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відновити дані з резервної копії після втрати чи пошкодження?</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виконати антивірусне сканування бази даних MySQL для виявлення шкідливих програм?</w:t>
      </w:r>
    </w:p>
    <w:p>
      <w:pPr>
        <w:pStyle w:val="Normal"/>
        <w:widowControl w:val="false"/>
        <w:numPr>
          <w:ilvl w:val="0"/>
          <w:numId w:val="7"/>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та використовувати аудиторські журнали для відстеження змін у базі даних та виявлення порушень безпеки?</w:t>
      </w:r>
    </w:p>
    <w:p>
      <w:pPr>
        <w:pStyle w:val="Normal"/>
        <w:widowControl w:val="false"/>
        <w:pBdr/>
        <w:spacing w:lineRule="auto" w:line="276" w:before="0" w:after="0"/>
        <w:ind w:left="720" w:hanging="0"/>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Література:</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Основна:</w:t>
      </w:r>
      <w:r>
        <w:rPr>
          <w:rFonts w:eastAsia="Times New Roman" w:cs="Times New Roman" w:ascii="Times New Roman" w:hAnsi="Times New Roman"/>
          <w:sz w:val="28"/>
          <w:szCs w:val="28"/>
        </w:rPr>
        <w:t>1-18</w:t>
      </w:r>
    </w:p>
    <w:p>
      <w:pPr>
        <w:pStyle w:val="Normal"/>
        <w:widowControl w:val="false"/>
        <w:spacing w:lineRule="auto" w:line="276" w:before="0" w:after="0"/>
        <w:rPr>
          <w:rFonts w:ascii="Times New Roman" w:hAnsi="Times New Roman" w:eastAsia="Times New Roman" w:cs="Times New Roman"/>
          <w:i/>
          <w:i/>
          <w:sz w:val="28"/>
          <w:szCs w:val="28"/>
        </w:rPr>
      </w:pPr>
      <w:r>
        <w:rPr>
          <w:rFonts w:eastAsia="Times New Roman" w:cs="Times New Roman" w:ascii="Times New Roman" w:hAnsi="Times New Roman"/>
          <w:i/>
          <w:sz w:val="28"/>
          <w:szCs w:val="28"/>
        </w:rPr>
        <w:t>Допоміжна:</w:t>
      </w:r>
      <w:r>
        <w:rPr>
          <w:rFonts w:eastAsia="Times New Roman" w:cs="Times New Roman" w:ascii="Times New Roman" w:hAnsi="Times New Roman"/>
          <w:sz w:val="28"/>
          <w:szCs w:val="28"/>
        </w:rPr>
        <w:t>1-15</w:t>
      </w:r>
    </w:p>
    <w:p>
      <w:pPr>
        <w:pStyle w:val="Normal"/>
        <w:widowControl w:val="false"/>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ЗАВДАННЯ ДЛЯ САМОСТІЙНОЇ РОБОТИ</w:t>
      </w:r>
    </w:p>
    <w:p>
      <w:pPr>
        <w:pStyle w:val="Normal"/>
        <w:pBdr/>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pBdr/>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Тема 1. Основні поняття захисту даних</w:t>
      </w:r>
    </w:p>
    <w:p>
      <w:pPr>
        <w:pStyle w:val="Normal"/>
        <w:pBdr/>
        <w:spacing w:before="0" w:after="0"/>
        <w:ind w:left="720" w:hanging="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widowControl w:val="false"/>
        <w:numPr>
          <w:ilvl w:val="0"/>
          <w:numId w:val="8"/>
        </w:numPr>
        <w:pBdr/>
        <w:spacing w:before="0" w:after="0"/>
        <w:ind w:left="426"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Підготувати доповіді на теми:</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Визначення основних понять у сфері кібербезпеки: конфіденційність, цілісність, доступність.</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основних загроз безпеці даних: витік інформації, кібератаки, віруси, соціальний інженерінг.</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Пояснення методів шифрування та його ролі у захисті конфіденційної інформації.</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Важливість аутентифікації та авторизації для контролю доступу до даних.</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Представлення основних стратегій захисту даних: мережева безпека, захист від втрати даних, захист від змін.</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Пояснення ролі аудиту даних у виявленні порушень безпеки та їхнього усунення.</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Розгляд сучасних тенденцій у захисті даних: застосування штучного інтелекту, блокчейн технології тощо.</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Перегляд кращих практик та стандартів у сфері захисту даних: ISO/IEC 27001, GDPR, HIPAA.</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підходів до захисту даних у різних сферах діяльності: фінанси, медицина, виробництво, освіта тощо.</w:t>
      </w:r>
    </w:p>
    <w:p>
      <w:pPr>
        <w:pStyle w:val="Normal"/>
        <w:widowControl w:val="false"/>
        <w:numPr>
          <w:ilvl w:val="0"/>
          <w:numId w:val="9"/>
        </w:numPr>
        <w:pBdr/>
        <w:spacing w:before="0" w:after="0"/>
        <w:ind w:left="0" w:firstLine="426"/>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Обговорення етичних питань у сфері захисту даних: конфіденційність та приватність користувачів, етичне використання даних.</w:t>
      </w:r>
    </w:p>
    <w:p>
      <w:pPr>
        <w:pStyle w:val="Normal"/>
        <w:widowControl w:val="false"/>
        <w:numPr>
          <w:ilvl w:val="0"/>
          <w:numId w:val="8"/>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Ознайомитися з чинним законодавством про захист даних.</w:t>
      </w:r>
    </w:p>
    <w:p>
      <w:pPr>
        <w:pStyle w:val="Normal"/>
        <w:widowControl w:val="false"/>
        <w:numPr>
          <w:ilvl w:val="0"/>
          <w:numId w:val="8"/>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Вивчити принципи захисту даних.</w:t>
      </w:r>
    </w:p>
    <w:p>
      <w:pPr>
        <w:pStyle w:val="Normal"/>
        <w:widowControl w:val="false"/>
        <w:numPr>
          <w:ilvl w:val="0"/>
          <w:numId w:val="8"/>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Ознайомитися з заходами захисту даних.</w:t>
      </w:r>
    </w:p>
    <w:p>
      <w:pPr>
        <w:pStyle w:val="Normal"/>
        <w:widowControl w:val="false"/>
        <w:numPr>
          <w:ilvl w:val="0"/>
          <w:numId w:val="8"/>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Вивчити види відповідальності за порушення законодавства про захист даних.</w:t>
      </w:r>
    </w:p>
    <w:p>
      <w:pPr>
        <w:pStyle w:val="Normal"/>
        <w:widowControl w:val="false"/>
        <w:numPr>
          <w:ilvl w:val="0"/>
          <w:numId w:val="8"/>
        </w:numPr>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Дати відповіді на запитання:</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кібербезпека і чому вона важлива для сучасного суспільства?</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загрози для безпеки даних інтернету?</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конфіденційність, цілісність та доступність даних, і як ці поняття відносяться до захисту інформації?</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шифрування використовуються для захисту даних у споживчих та корпоративних середовищах?</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можна використовувати для запобігання несанкціонованому доступу до даних?</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визначити та оцінити ризики безпеки даних у певній організації чи системі?</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аутентифікацію та авторизацію для контролю доступу до даних?</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інструменти і технології можна використовувати для виявлення та відповіді на кібератаки?</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стратегії захисту даних у хмарних сервісах?</w:t>
      </w:r>
    </w:p>
    <w:p>
      <w:pPr>
        <w:pStyle w:val="Normal"/>
        <w:widowControl w:val="false"/>
        <w:pBdr/>
        <w:spacing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забезпечити безпеку мобільних даних у корпоративному середовищі?</w:t>
      </w:r>
    </w:p>
    <w:p>
      <w:pPr>
        <w:pStyle w:val="Normal"/>
        <w:widowControl w:val="false"/>
        <w:pBdr/>
        <w:spacing w:before="0" w:after="0"/>
        <w:ind w:left="720" w:hanging="0"/>
        <w:jc w:val="both"/>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pBdr/>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Тема 2. Цілісність даних. Дампи. Бекапи. Архіви</w:t>
      </w:r>
    </w:p>
    <w:p>
      <w:pPr>
        <w:pStyle w:val="Normal"/>
        <w:spacing w:before="0" w:after="0"/>
        <w:ind w:firstLine="709"/>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 Підготувати доповіді на теми: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Поняття цілісності даних та її значення в інформаційних системах.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Методи перевірки цілісності даних: контрольні суми, хеш-функції.</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Вплив порушень цілісності даних на роботу систем та організацій.</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Технічні та організаційні засоби захисту цілісності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Огляд поняття "дампи" даних і їхнє використання для резервного копіювання.</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Різниця між повними та інкрементальними дампами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Призначення та процедури виконання резервного копіювання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Стратегії зберігання резервних копій: локальне зберігання, хмарні сервіси, віддалені сервери.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Архівація даних як метод зберігання старої, але важливої інформації.</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Принципи та методи реалізації архівування даних: стиснення, індексація, шифрування.</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 Дати відповіді на запитання:</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Основні принципи та поняття цілісності даних: що це таке і чому це важливо?</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Технічні засоби перевірки цілісності даних: контрольні суми, хеш-функції.</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Різниця між резервними копіями (бекапами) та архівами даних.</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Принципи створення резервних копій даних: що потрібно резервувати та як часто?</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Різновиди резервних копій: повні, інкрементальні, диференційні.</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Процедури відновлення даних з резервних копій: ключові етапи та кращі практики.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Зберігання резервних копій: локальні, хмарні, віддалені сервери.</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Принципи архівації даних: мета, процес та методи збереження.</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Технології захисту резервних копій та архівів: шифрування, захист від несанкціонованого доступу.</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Кращі практики управління резервними копіями та архівами для забезпечення безпеки та доступності даних.</w:t>
      </w:r>
    </w:p>
    <w:p>
      <w:pPr>
        <w:pStyle w:val="Normal"/>
        <w:spacing w:before="0" w:after="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r>
    </w:p>
    <w:p>
      <w:pPr>
        <w:pStyle w:val="Normal"/>
        <w:spacing w:before="0" w:after="0"/>
        <w:jc w:val="center"/>
        <w:rPr>
          <w:rFonts w:ascii="Times New Roman" w:hAnsi="Times New Roman" w:eastAsia="Times New Roman" w:cs="Times New Roman"/>
          <w:b/>
          <w:b/>
          <w:color w:val="000000"/>
          <w:sz w:val="28"/>
          <w:szCs w:val="28"/>
        </w:rPr>
      </w:pPr>
      <w:r>
        <w:rPr>
          <w:rFonts w:eastAsia="Times New Roman" w:cs="Times New Roman" w:ascii="Times New Roman" w:hAnsi="Times New Roman"/>
          <w:b/>
          <w:color w:val="000000"/>
          <w:sz w:val="28"/>
          <w:szCs w:val="28"/>
        </w:rPr>
        <w:t>Тема 3. Реалізація захисту даних у MySQL</w:t>
      </w:r>
    </w:p>
    <w:p>
      <w:pPr>
        <w:pStyle w:val="Normal"/>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numPr>
          <w:ilvl w:val="0"/>
          <w:numId w:val="3"/>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Підготувати доповіді на теми:</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автентифікації та авторизації в забезпеченні безпеки даних у MySQL.</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ролей користувачів для обмеження доступу до баз даних та їхніх об'єктів у MySQL.</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Методи шифрування даних та їх впровадження у MySQL для захисту конфіденційності інформації.</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параметризованих запитів для захисту від SQL-ін'єкцій у MySQL.</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Transparent Data Encryption (TDE) у MySQL для шифрування даних в різних рівнях.</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аудиту та логування подій у MySQL для відстеження доступу та виявлення порушень безпеки.</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Організація резервного копіювання та відновлення даних у MySQL для забезпечення доступності та інтегрітету даних.</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Розгляд заходів безпеки на рівні різних компонентів MySQL: сервер, база даних, з'єднання тощо.</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ролей користувачів та політик паролів для забезпечення адекватного контролю доступу у MySQL.</w:t>
      </w:r>
    </w:p>
    <w:p>
      <w:pPr>
        <w:pStyle w:val="Normal"/>
        <w:widowControl w:val="false"/>
        <w:numPr>
          <w:ilvl w:val="0"/>
          <w:numId w:val="9"/>
        </w:numPr>
        <w:pBdr/>
        <w:tabs>
          <w:tab w:val="clear" w:pos="720"/>
          <w:tab w:val="left" w:pos="284" w:leader="none"/>
        </w:tabs>
        <w:spacing w:lineRule="auto" w:line="276" w:before="0" w:after="0"/>
        <w:ind w:left="0" w:hanging="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Впровадження антивірусного та антишпигунського програмного забезпечення для захисту даних у MySQL.</w:t>
      </w:r>
    </w:p>
    <w:p>
      <w:pPr>
        <w:pStyle w:val="Normal"/>
        <w:widowControl w:val="false"/>
        <w:numPr>
          <w:ilvl w:val="0"/>
          <w:numId w:val="3"/>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Дати відповіді на запитання:</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Огляд базових понять щодо безпеки даних у системі управління базами даних (СУБД) MySQL.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Механізми автентифікації та авторизації користувачів у MySQL.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Використання ролей користувачів для обмеження доступу до баз даних та їхніх об'єктів.</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Налаштування доступу до бази даних через мережу: встановлення правил файрволу, SSL-шифрування.</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Використання різних методів шифрування для захисту даних в MySQL: Transparent Data Encryption (TDE), рівневе шифрування тощо.</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Практичне використання політик паролів для забезпечення безпеки аутентифікації користувачів.</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Використання аудиту для відстеження та аналізу доступу до даних у MySQL.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Захист від SQL-ін'єкцій та інших відомих атак на безпеку даних у MySQL.</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Використання резервного копіювання та відновлення даних для забезпечення доступності та інтегрітету даних.</w:t>
      </w:r>
    </w:p>
    <w:p>
      <w:pPr>
        <w:pStyle w:val="Normal"/>
        <w:widowControl w:val="false"/>
        <w:spacing w:lineRule="auto" w:line="276"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Кращі практики управління безпекою даних у MySQL та їхнє впровадження.</w:t>
      </w:r>
    </w:p>
    <w:p>
      <w:pPr>
        <w:pStyle w:val="Normal"/>
        <w:widowControl w:val="false"/>
        <w:spacing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 </w:t>
      </w:r>
    </w:p>
    <w:p>
      <w:pPr>
        <w:pStyle w:val="Normal"/>
        <w:spacing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ТЕМИ РЕФЕРАТІВ</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Огляд методів резервного копіювання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реляційних та нереляційних баз даних у великих об'ємах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технології "Cloud Computing" у сфері адміністрування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NoSQL баз даних у веб-розробці та аналізі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Автоматизація процесів адміністрування баз даних за допомогою інструментів DevOps.</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Огляд методів захисту баз даних від кібератак.</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аудиту баз даних у забезпеченні безпеки інформації.</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Blockchain у зберіганні та захисті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Розробка стратегії бекапів для великих підприємств: кращі практики.</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ефективності методів аутентифікації користувачів у системах керування базами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реплікації баз даних у забезпеченні високої доступності та стійкості до відмов.</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та недоліки використання віртуальних баз даних у сучасних інформаційних системах.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Техніки шифрування даних у базах даних: порівняння та вибір оптимального підходу.</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масштабованих баз даних для аналізу Big Data.</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Системи керування базами даних в медичних інформаційних системах: особливості та вимоги до безпеки.</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Автоматизовані системи моніторингу та управління базами даних: переваги та недоліки.</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Захист конфіденційної інформації в базах даних з використанням методів обфускації та маскування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Data Warehousing для зберігання та аналізу даних у великих корпораціях.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Розробка та реалізація стратегій резервного копіювання для баз даних з великим обсягом транзакцій.</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методів забезпечення конфіденційності, цілісності та доступності даних у децентралізованих базах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використання кластеризації баз даних для підвищення їхньої швидкодії та надійності.</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методів реалізації розподілених баз даних та їхній вплив на ефективність роботи інформаційних систем.</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технології резервного копіювання віртуальних баз даних у бізнес-процесах.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Вплив великих обсягів даних на архітектуру та адміністрування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баз даних у фінансових установах: вимоги до безпеки та швидкодії.</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Сучасні підходи до реалізації архітектур мікросервісів у системах керування базами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аналітичних баз даних для прогнозування та прийняття стратегічних рішень у бізнесі.</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Перспективи розвитку та використання графових баз даних у сучасних інформаційних системах.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інструментів моніторингу та аналізу продуктивності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Спільнота відкритих даних та її вплив на розвиток баз даних та адміністрування.</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технології контейнеризації для розгортання та управління базами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методів аналізу та управління ризиками в адмініструванні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баз даних у галузі освіти: автоматизація та оптимізація процесів навчання та адміністрування.</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Переваги використання баз даних у галузі телекомунікацій для зберігання та аналізу даних про абонентів.</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Застосування баз даних у системах управління виробництвом: автоматизація процесів та оптимізація ресурсів.</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"In-Memory Computing" для підвищення продуктивності та швидкодії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Сучасні тенденції у розробці та впровадженні гібридних баз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Забезпечення конфіденційності даних в базах даних з використанням методів шифрування та маскування.</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технологій "Machine Learning" та "Data Mining" для аналізу та прогнозування даних у базах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баз даних у впровадженні та розвитку "інтернету речей" (Internet of Things) у різних сферах життя.</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та порівняльна оцінка методів шифрування даних в сучасних базах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технологій обробки та збереження даних в забезпеченні відповідності нормативно-правовим вимогам щодо захисту персональної інформації.</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технології блокчейн для забезпечення безпеки та цілісності даних у розподілених системах.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Аналіз методів резервного копіювання та відновлення даних у великих корпоративних середовищах.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Вплив штучного інтелекту на методи захисту даних та кібербезпеку в індустріальних та комерційних системах.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Стратегії захисту даних у хмарних сервісах: переваги, виклики та можливі ризики.</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регулятивних організацій у формуванні політики захисту даних та протидії кіберзагрозам.</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Оцінка методів аутентифікації та авторизації користувачів для забезпечення безпеки даних в інформаційних системах.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Використання аналітики даних для виявлення та запобігання кібератак на бази даних.</w:t>
      </w:r>
    </w:p>
    <w:p>
      <w:pPr>
        <w:pStyle w:val="Normal"/>
        <w:widowControl w:val="false"/>
        <w:numPr>
          <w:ilvl w:val="0"/>
          <w:numId w:val="4"/>
        </w:numPr>
        <w:pBdr/>
        <w:spacing w:lineRule="auto" w:line="276" w:before="0" w:after="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Роль етичних аспектів у захисті даних: відповідальне використання та збереження інформації в цифровому віці.</w:t>
      </w:r>
    </w:p>
    <w:p>
      <w:pPr>
        <w:pStyle w:val="Normal"/>
        <w:widowControl w:val="false"/>
        <w:pBdr/>
        <w:spacing w:lineRule="auto" w:line="276" w:before="0" w:after="0"/>
        <w:ind w:left="720" w:hanging="0"/>
        <w:jc w:val="center"/>
        <w:rPr>
          <w:rFonts w:ascii="Times New Roman" w:hAnsi="Times New Roman" w:eastAsia="Times New Roman" w:cs="Times New Roman"/>
          <w:b/>
          <w:b/>
          <w:color w:val="000000"/>
          <w:sz w:val="32"/>
          <w:szCs w:val="32"/>
        </w:rPr>
      </w:pPr>
      <w:r>
        <w:br w:type="column"/>
      </w:r>
      <w:r>
        <w:rPr>
          <w:rFonts w:eastAsia="Times New Roman" w:cs="Times New Roman" w:ascii="Times New Roman" w:hAnsi="Times New Roman"/>
          <w:b/>
          <w:color w:val="000000"/>
          <w:sz w:val="32"/>
          <w:szCs w:val="32"/>
        </w:rPr>
        <w:t>ПИТАННЯ ДО ЗАЛІКУ</w:t>
      </w:r>
    </w:p>
    <w:p>
      <w:pPr>
        <w:pStyle w:val="Normal"/>
        <w:widowControl w:val="false"/>
        <w:pBdr/>
        <w:spacing w:lineRule="auto" w:line="276" w:before="0" w:after="0"/>
        <w:ind w:left="720" w:hanging="0"/>
        <w:jc w:val="center"/>
        <w:rPr>
          <w:rFonts w:ascii="Times New Roman" w:hAnsi="Times New Roman" w:eastAsia="Times New Roman" w:cs="Times New Roman"/>
          <w:b/>
          <w:b/>
          <w:color w:val="000000"/>
          <w:sz w:val="32"/>
          <w:szCs w:val="32"/>
        </w:rPr>
      </w:pPr>
      <w:r>
        <w:rPr>
          <w:rFonts w:eastAsia="Times New Roman" w:cs="Times New Roman" w:ascii="Times New Roman" w:hAnsi="Times New Roman"/>
          <w:b/>
          <w:color w:val="000000"/>
          <w:sz w:val="32"/>
          <w:szCs w:val="32"/>
        </w:rPr>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конфіденційність даних і чому вона важлива для захисту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аспекти доступності даних потрібно враховувати при їх адмініструванні та захисті?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інтеграції захисту даних допомагають забезпечити конфіденційність, цілісність та доступність?</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цілістність даних і які методи захисту використовуються для забезпечення цілісності?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вимоги повинні бути враховані при створенні резервних копій (дампів), щоб забезпечити їх цілісність?</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В чому полягає важливість архівації даних та які стратегії архівування можна використовувати для збереження інформації на довгостроковий період?</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функції захисту даних доступні у системі управління базами даних MySQL?</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і налаштувати рівні доступу користувачів в MySQL для забезпечення безпеки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шифрування для захисту даних в MySQL і які методи шифрування можуть бути застосовані?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аутентифікація і авторизація і як вони відрізняються від ідентифікації в контексті захисту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шифрування даних сприяє забезпеченню конфіденційності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вимоги до процесу створення і збереження резервних копій даних для забезпечення їхньої цілісності?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захисту даних можна застосувати при здійсненні архівування інформації для забезпечення безпеки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автентифікації користувачів у MySQL і як вони допомагають захистити базу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налаштувати рівні доступу до таблиць та даних у MySQL для різних користувачів?</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можна забезпечити захист паролів користувачів та інших конфіденційних даних у MySQL?</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мультифакторна аутентифікація і як вона забезпечує додатковий рівень безпеки?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різниці між дампами, бекапами та архівами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регулярного створення та збереження резервних копій даних рекомендується використовувати?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SSL-шифрування для забезпечення безпеки з'єднання з базою даних MySQL?</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моніторингу та аудиту безпеки баз даних у MySQL?</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ролі користувачів у MySQL для обмеження доступу до певних функцій та ресурсів бази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атака типу "SQL Injection" і які заходи можна прийняти для захисту баз даних від цієї загрози?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аудиту можуть бути використані для моніторингу доступу до даних і виявлення потенційних загроз безпеці?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принципи дампів даних, і як вони використовуються для резервного копіювання баз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процеси відновлення даних відбуваються під час відновлення з резервних копій, і як це впливає на цілісність і доступність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шифрування даних в MySQL і як вони застосовуються для захисту конфіденційної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"ролі користувачів" в MySQL і як вони допомагають управляти доступом до бази даних і таблиць?</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використовувати "запобіжні заходи" і "протипожежні правила" в MySQL для блокування небажаних спроб доступу до бази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механізми авторизації у базі даних для контролю доступу до різних рівнів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"точка відновлення" (recovery point) в контексті створення резервних копій даних і чому вона важлива?</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відбувається процес відновлення даних з резервних копій у випадку втрати інформації або виникнення помилок?</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основні інструменти захисту даних у MySQL, і як вони використовуються для забезпечення безпеки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налаштувати журналювання операцій (transaction logging) у MySQL для відстеження змін у базі даних та відновлення даних в разі потреби?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загрози безпеці даних виникають під час транспортування інформації між додатками та базою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 розумієте термін "права доступу" і як він використовується для забезпечення безпеки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основні стратегії резервного копіювання даних можуть бути застосовані для забезпечення безпеки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методи відновлення даних можуть бути використані після виникнення непередбачуваних ситуацій, таких як видалення або пошкодження файлів бази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обмеження доступу до даних на рівні MySQL-запитів і як вони використовуються для захисту інформації?</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є основні інструменти MySQL для відслідковування і аналізу безпекових подій і активностей у базі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можуть бути використані для захисту даних від внутрішніх загроз, таких як несанкціонований доступ співробітників?</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використовується шифрування для захисту даних в перехідних процесах, таких як передача інформації через мережу?</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можливі наслідки можуть виникнути в результаті втрати цілісності даних і як цього уникнути?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Яким чином можна відновити базу даних з резервної копії в разі непередбачених ситуацій, таких як системний збій або катастрофа?</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встановити і налаштувати SSL-з'єднання для забезпечення безпеки передачі даних між клієнтом і сервером MySQL?</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різні методи аудиту MySQL для відслідковування дій користувачів та виявлення потенційних порушень безпеки?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Що таке методологія "принципу найменшого привілею" (Least Privilege) і як вона використовується для забезпечення безпеки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механізми моніторингу журналів подій для виявлення аномальної активності та потенційних загроз безпеці?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існують методи забезпечення цілісності даних під час їх транспортування між різними системами?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механізми контролю версій для збереження та відстеження змін в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можливості надає MySQL для реалізації механізмів аудиту доступу до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використовувати різні методи шифрування в MySQL для захисту конфіденційної інформації на різних рівнях?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стратегії можуть бути використані для захисту даних під час їх зберігання на сервері?</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визначити вразливості в системі баз даних і які кроки можна зробити для їх виправлення та запобігання?</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автоматизувати процес створення резервних копій баз даних і як часто це повинно робитися?</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архівації можна використовувати для зберігання даних на довгостроковий період?</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застосувати різні методи автентифікації користувачів в MySQL для забезпечення безпеки доступу до бази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використовувати ролі користувачів в MySQL для управління правами доступу та обмеження функціональності для різних груп користувачів?</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Які методи можна використовувати для виявлення і усунення можливих слабкостей безпеки в базі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використовувати принципи "безпеки в глибину" для захисту даних у випадку втрати доступу до одного з захисних шарів?</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забезпечити безпеку резервних копій даних від несанкціонованого доступу та зміни?</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перевіряти ефективність процесів резервного копіювання та відновлення даних?</w:t>
      </w:r>
    </w:p>
    <w:p>
      <w:pPr>
        <w:pStyle w:val="Normal"/>
        <w:widowControl w:val="false"/>
        <w:numPr>
          <w:ilvl w:val="0"/>
          <w:numId w:val="1"/>
        </w:numPr>
        <w:pBdr/>
        <w:spacing w:lineRule="auto" w:line="276" w:before="0" w:after="0"/>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можна налаштувати файрвол для заборони зовнішнього доступу до сервера MySQL і зменшення ризику атак ззовні?</w:t>
      </w:r>
    </w:p>
    <w:p>
      <w:pPr>
        <w:pStyle w:val="Normal"/>
        <w:widowControl w:val="false"/>
        <w:numPr>
          <w:ilvl w:val="0"/>
          <w:numId w:val="1"/>
        </w:numPr>
        <w:pBdr/>
        <w:spacing w:lineRule="auto" w:line="276"/>
        <w:ind w:left="709" w:hanging="360"/>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Як важливо оновлювати системне програмне забезпечення та застосунки MySQL для усунення відомих вразливостей і забезпечення безпеки даних?</w:t>
      </w:r>
    </w:p>
    <w:p>
      <w:pPr>
        <w:pStyle w:val="Normal"/>
        <w:spacing w:lineRule="auto" w:line="360" w:before="0" w:after="0"/>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ФОРМИ ПІДСУМКОВОГО КОНТРОЛЮ УСПІШНОСТІ</w:t>
      </w:r>
    </w:p>
    <w:p>
      <w:pPr>
        <w:pStyle w:val="Normal"/>
        <w:spacing w:lineRule="auto" w:line="360" w:before="0" w:after="0"/>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32"/>
          <w:szCs w:val="32"/>
        </w:rPr>
        <w:t>ЗДОБУВАЧІВ</w:t>
      </w:r>
    </w:p>
    <w:p>
      <w:pPr>
        <w:pStyle w:val="Normal"/>
        <w:spacing w:lineRule="auto" w:line="240" w:before="0" w:after="0"/>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Поточний контроль</w:t>
      </w:r>
      <w:r>
        <w:rPr>
          <w:rFonts w:eastAsia="Times New Roman" w:cs="Times New Roman" w:ascii="Times New Roman" w:hAnsi="Times New Roman"/>
          <w:sz w:val="28"/>
          <w:szCs w:val="28"/>
        </w:rPr>
        <w:t xml:space="preserve"> здійснюється під час проведення практичних занять і має на меті перевірку рівня засвоєння здобувачем вивченої теми.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При поточному контролі оцінці підлягають: рівень теоретичних знань та вміння працювати з науковою літературою, знання матеріалу, продемонстрованого у виконаних завданнях самостійної роботи; активність та систематичність роботи на заняттях; результати виконання домашніх завдань, тестів, експрес-опитувань, доповідей, рефератів тощо.</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Форми проведення поточного контролю: усне опитування здобувачів, розв’язування практичних завдань, тестові завдання, доповіді, реферати.</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Проміжний контроль</w:t>
      </w:r>
      <w:r>
        <w:rPr>
          <w:rFonts w:eastAsia="Times New Roman" w:cs="Times New Roman" w:ascii="Times New Roman" w:hAnsi="Times New Roman"/>
          <w:sz w:val="28"/>
          <w:szCs w:val="28"/>
        </w:rPr>
        <w:t xml:space="preserve"> проводиться після вивчення відповідних тем або блоку тем з метою з`ясування ступеню засвоюваності здобувачами відповідного об’єму опрацьованого та вивченого матеріалу та подальшої оцінки рівня отриманих знань. Форми проведення проміжного контролю: контрольна робота, тестове опитування, співбесіда (усне спілкування).</w:t>
      </w:r>
    </w:p>
    <w:p>
      <w:pPr>
        <w:pStyle w:val="Normal"/>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b/>
          <w:sz w:val="28"/>
          <w:szCs w:val="28"/>
        </w:rPr>
        <w:t>Підсумковий контроль</w:t>
      </w:r>
      <w:r>
        <w:rPr>
          <w:rFonts w:eastAsia="Times New Roman" w:cs="Times New Roman" w:ascii="Times New Roman" w:hAnsi="Times New Roman"/>
          <w:sz w:val="28"/>
          <w:szCs w:val="28"/>
        </w:rPr>
        <w:t xml:space="preserve"> здійснюється у формі заліку.</w:t>
      </w:r>
    </w:p>
    <w:p>
      <w:pPr>
        <w:pStyle w:val="Normal"/>
        <w:widowControl w:val="false"/>
        <w:jc w:val="both"/>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КРИТЕРІЇ ОЦІНЮВАННЯ</w:t>
      </w:r>
    </w:p>
    <w:p>
      <w:pPr>
        <w:pStyle w:val="Normal"/>
        <w:widowControl w:val="false"/>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При використанні форми контролю у вигляді заліку враховується поточна, зокрема самостійна робота, наукова діяльність здобувача. Крім того, здобувач має надати відповідь на залікове запитання. Оцінка рівня знань виконується за принципом "відповідь вірна" або "відповідь невірна". При вірній відповіді виставляється оцінка "зараховано", при невірній, неповній відповіді виставляється оцінка "не зараховано". </w:t>
      </w:r>
    </w:p>
    <w:p>
      <w:pPr>
        <w:pStyle w:val="Normal"/>
        <w:widowControl w:val="false"/>
        <w:spacing w:lineRule="auto" w:line="360" w:before="0" w:after="0"/>
        <w:ind w:firstLine="709"/>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Оцінка з національної шкали переводиться у 100-бальну та шкалу ECTS у відповідності до результатів навчальної успішності здобувача протягом семестру.</w:t>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СХЕМА НАРАХУВАННЯ БАЛІВ (СКЛАДОВІ ОЦІНЮВАННЯ</w:t>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РЕЗУЛЬТАТІВ НАВЧАННЯ)</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tbl>
      <w:tblPr>
        <w:tblStyle w:val="af1"/>
        <w:tblW w:w="8810" w:type="dxa"/>
        <w:jc w:val="left"/>
        <w:tblInd w:w="-108" w:type="dxa"/>
        <w:tblCellMar>
          <w:top w:w="0" w:type="dxa"/>
          <w:left w:w="108" w:type="dxa"/>
          <w:bottom w:w="0" w:type="dxa"/>
          <w:right w:w="108" w:type="dxa"/>
        </w:tblCellMar>
        <w:tblLook w:firstRow="0" w:noVBand="1" w:lastRow="0" w:firstColumn="0" w:lastColumn="0" w:noHBand="0" w:val="0400"/>
      </w:tblPr>
      <w:tblGrid>
        <w:gridCol w:w="4390"/>
        <w:gridCol w:w="2267"/>
        <w:gridCol w:w="2153"/>
      </w:tblGrid>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Пункт оцінки</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 підсумкової</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оцінки або</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максимальна</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sz w:val="32"/>
                <w:szCs w:val="32"/>
              </w:rPr>
              <w:t>оцінка в балах</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чи</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оцінювання</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Поточний контроль, разом, у т.ч.:</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50</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доповіді та повідомлення на</w:t>
            </w:r>
          </w:p>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семінарах</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та</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виконання письмових</w:t>
            </w:r>
          </w:p>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індивідуальних завдань,</w:t>
            </w:r>
          </w:p>
          <w:p>
            <w:pPr>
              <w:pStyle w:val="Normal"/>
              <w:widowControl w:val="false"/>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sz w:val="32"/>
                <w:szCs w:val="32"/>
              </w:rPr>
              <w:t>рефератів, контрольних робіт</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15</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rPr>
                <w:rFonts w:ascii="Times New Roman" w:hAnsi="Times New Roman" w:eastAsia="Times New Roman" w:cs="Times New Roman"/>
                <w:sz w:val="32"/>
                <w:szCs w:val="32"/>
              </w:rPr>
            </w:pPr>
            <w:r>
              <w:rPr>
                <w:rFonts w:eastAsia="Times New Roman" w:cs="Times New Roman" w:ascii="Times New Roman" w:hAnsi="Times New Roman"/>
                <w:sz w:val="32"/>
                <w:szCs w:val="32"/>
              </w:rPr>
              <w:t>опитування на семінарських</w:t>
            </w:r>
          </w:p>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заняттях</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10</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Групове та</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Підсумковий контроль, разом, у т.ч.:</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50</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письмова компонента</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r>
        <w:trPr/>
        <w:tc>
          <w:tcPr>
            <w:tcW w:w="4390"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t>усна компонента</w:t>
            </w:r>
          </w:p>
        </w:tc>
        <w:tc>
          <w:tcPr>
            <w:tcW w:w="2267"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25</w:t>
            </w:r>
          </w:p>
        </w:tc>
        <w:tc>
          <w:tcPr>
            <w:tcW w:w="215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Індивідуальне</w:t>
            </w:r>
          </w:p>
        </w:tc>
      </w:tr>
    </w:tbl>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jc w:val="center"/>
        <w:rPr>
          <w:rFonts w:ascii="Times New Roman" w:hAnsi="Times New Roman" w:eastAsia="Times New Roman" w:cs="Times New Roman"/>
          <w:b/>
          <w:b/>
          <w:sz w:val="32"/>
          <w:szCs w:val="32"/>
        </w:rPr>
      </w:pPr>
      <w:r>
        <w:br w:type="column"/>
      </w:r>
      <w:r>
        <w:rPr>
          <w:rFonts w:eastAsia="Times New Roman" w:cs="Times New Roman" w:ascii="Times New Roman" w:hAnsi="Times New Roman"/>
          <w:b/>
          <w:sz w:val="32"/>
          <w:szCs w:val="32"/>
        </w:rPr>
        <w:t>ШКАЛА ЗА ECTS</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tbl>
      <w:tblPr>
        <w:tblStyle w:val="af2"/>
        <w:tblW w:w="8075" w:type="dxa"/>
        <w:jc w:val="left"/>
        <w:tblInd w:w="-108" w:type="dxa"/>
        <w:tblCellMar>
          <w:top w:w="0" w:type="dxa"/>
          <w:left w:w="108" w:type="dxa"/>
          <w:bottom w:w="0" w:type="dxa"/>
          <w:right w:w="108" w:type="dxa"/>
        </w:tblCellMar>
        <w:tblLook w:firstRow="0" w:noVBand="1" w:lastRow="0" w:firstColumn="0" w:lastColumn="0" w:noHBand="0" w:val="0400"/>
      </w:tblPr>
      <w:tblGrid>
        <w:gridCol w:w="1271"/>
        <w:gridCol w:w="1984"/>
        <w:gridCol w:w="2693"/>
        <w:gridCol w:w="2126"/>
      </w:tblGrid>
      <w:tr>
        <w:trPr>
          <w:trHeight w:val="642" w:hRule="atLeast"/>
        </w:trPr>
        <w:tc>
          <w:tcPr>
            <w:tcW w:w="1271"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Сума</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балів</w:t>
            </w:r>
          </w:p>
        </w:tc>
        <w:tc>
          <w:tcPr>
            <w:tcW w:w="1984"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Оцінка</w:t>
            </w:r>
          </w:p>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за 7-</w:t>
            </w:r>
          </w:p>
          <w:p>
            <w:pPr>
              <w:pStyle w:val="Normal"/>
              <w:widowControl w:val="false"/>
              <w:spacing w:lineRule="auto" w:line="276"/>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бальною</w:t>
            </w:r>
          </w:p>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шкалою</w:t>
            </w:r>
          </w:p>
        </w:tc>
        <w:tc>
          <w:tcPr>
            <w:tcW w:w="4819" w:type="dxa"/>
            <w:gridSpan w:val="2"/>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Оцінка за 4-бальною шкалою</w:t>
            </w:r>
          </w:p>
        </w:tc>
      </w:tr>
      <w:tr>
        <w:trPr>
          <w:trHeight w:val="642" w:hRule="atLeast"/>
        </w:trPr>
        <w:tc>
          <w:tcPr>
            <w:tcW w:w="1271"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1984"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b/>
                <w:b/>
                <w:sz w:val="32"/>
                <w:szCs w:val="32"/>
              </w:rPr>
            </w:pPr>
            <w:r>
              <w:rPr>
                <w:rFonts w:eastAsia="Times New Roman" w:cs="Times New Roman" w:ascii="Times New Roman" w:hAnsi="Times New Roman"/>
                <w:b/>
                <w:sz w:val="32"/>
                <w:szCs w:val="32"/>
              </w:rPr>
            </w:r>
          </w:p>
        </w:tc>
        <w:tc>
          <w:tcPr>
            <w:tcW w:w="269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екзамен</w:t>
            </w:r>
          </w:p>
        </w:tc>
        <w:tc>
          <w:tcPr>
            <w:tcW w:w="2126"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b/>
                <w:b/>
                <w:sz w:val="32"/>
                <w:szCs w:val="32"/>
              </w:rPr>
            </w:pPr>
            <w:r>
              <w:rPr>
                <w:rFonts w:eastAsia="Times New Roman" w:cs="Times New Roman" w:ascii="Times New Roman" w:hAnsi="Times New Roman"/>
                <w:b/>
                <w:sz w:val="32"/>
                <w:szCs w:val="32"/>
              </w:rPr>
              <w:t>залік</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A</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90-100</w:t>
            </w:r>
          </w:p>
        </w:tc>
        <w:tc>
          <w:tcPr>
            <w:tcW w:w="2693"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Відмінно</w:t>
            </w:r>
          </w:p>
        </w:tc>
        <w:tc>
          <w:tcPr>
            <w:tcW w:w="2126"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зараховано</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B</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82-89</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Добре</w:t>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C</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75-81</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D</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67-74</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Задовільно</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(достатньо)</w:t>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E</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60-66</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32"/>
                <w:szCs w:val="32"/>
              </w:rPr>
            </w:pPr>
            <w:r>
              <w:rPr>
                <w:rFonts w:eastAsia="Times New Roman" w:cs="Times New Roman" w:ascii="Times New Roman" w:hAnsi="Times New Roman"/>
                <w:sz w:val="32"/>
                <w:szCs w:val="32"/>
              </w:rPr>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Fx</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35-59</w:t>
            </w:r>
          </w:p>
        </w:tc>
        <w:tc>
          <w:tcPr>
            <w:tcW w:w="2693"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Незадовільно з</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можливістю</w:t>
            </w:r>
          </w:p>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повторного</w:t>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складання</w:t>
            </w:r>
          </w:p>
        </w:tc>
        <w:tc>
          <w:tcPr>
            <w:tcW w:w="2126" w:type="dxa"/>
            <w:vMerge w:val="restart"/>
            <w:tcBorders>
              <w:top w:val="single" w:sz="4" w:space="0" w:color="000000"/>
              <w:left w:val="single" w:sz="4" w:space="0" w:color="000000"/>
              <w:bottom w:val="single" w:sz="4" w:space="0" w:color="000000"/>
              <w:right w:val="single" w:sz="4" w:space="0" w:color="000000"/>
            </w:tcBorders>
          </w:tcPr>
          <w:p>
            <w:pPr>
              <w:pStyle w:val="Normal"/>
              <w:widowControl w:val="false"/>
              <w:spacing w:lineRule="auto" w:line="276"/>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r>
          </w:p>
          <w:p>
            <w:pPr>
              <w:pStyle w:val="Normal"/>
              <w:widowControl w:val="false"/>
              <w:spacing w:lineRule="auto" w:line="276" w:before="0" w:after="160"/>
              <w:jc w:val="center"/>
              <w:rPr>
                <w:rFonts w:ascii="Times New Roman" w:hAnsi="Times New Roman" w:eastAsia="Times New Roman" w:cs="Times New Roman"/>
                <w:sz w:val="32"/>
                <w:szCs w:val="32"/>
              </w:rPr>
            </w:pPr>
            <w:r>
              <w:rPr>
                <w:rFonts w:eastAsia="Times New Roman" w:cs="Times New Roman" w:ascii="Times New Roman" w:hAnsi="Times New Roman"/>
                <w:sz w:val="32"/>
                <w:szCs w:val="32"/>
              </w:rPr>
              <w:t>не зараховано</w:t>
            </w:r>
          </w:p>
        </w:tc>
      </w:tr>
      <w:tr>
        <w:trPr/>
        <w:tc>
          <w:tcPr>
            <w:tcW w:w="1271"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F</w:t>
            </w:r>
          </w:p>
        </w:tc>
        <w:tc>
          <w:tcPr>
            <w:tcW w:w="1984" w:type="dxa"/>
            <w:tcBorders>
              <w:top w:val="single" w:sz="4" w:space="0" w:color="000000"/>
              <w:left w:val="single" w:sz="4" w:space="0" w:color="000000"/>
              <w:bottom w:val="single" w:sz="4" w:space="0" w:color="000000"/>
              <w:right w:val="single" w:sz="4" w:space="0" w:color="000000"/>
            </w:tcBorders>
          </w:tcPr>
          <w:p>
            <w:pPr>
              <w:pStyle w:val="Normal"/>
              <w:widowControl w:val="false"/>
              <w:spacing w:before="0" w:after="16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1-34</w:t>
            </w:r>
          </w:p>
        </w:tc>
        <w:tc>
          <w:tcPr>
            <w:tcW w:w="2693"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c>
          <w:tcPr>
            <w:tcW w:w="2126" w:type="dxa"/>
            <w:vMerge w:val="continue"/>
            <w:tcBorders>
              <w:top w:val="single" w:sz="4" w:space="0" w:color="000000"/>
              <w:left w:val="single" w:sz="4" w:space="0" w:color="000000"/>
              <w:bottom w:val="single" w:sz="4" w:space="0" w:color="000000"/>
              <w:right w:val="single" w:sz="4" w:space="0" w:color="000000"/>
            </w:tcBorders>
          </w:tcPr>
          <w:p>
            <w:pPr>
              <w:pStyle w:val="Normal"/>
              <w:widowControl w:val="false"/>
              <w:pBdr/>
              <w:spacing w:lineRule="auto" w:line="276" w:before="0" w:after="160"/>
              <w:rPr>
                <w:rFonts w:ascii="Times New Roman" w:hAnsi="Times New Roman" w:eastAsia="Times New Roman" w:cs="Times New Roman"/>
                <w:sz w:val="28"/>
                <w:szCs w:val="28"/>
              </w:rPr>
            </w:pPr>
            <w:r>
              <w:rPr>
                <w:rFonts w:eastAsia="Times New Roman" w:cs="Times New Roman" w:ascii="Times New Roman" w:hAnsi="Times New Roman"/>
                <w:sz w:val="28"/>
                <w:szCs w:val="28"/>
              </w:rPr>
            </w:r>
          </w:p>
        </w:tc>
      </w:tr>
    </w:tbl>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highlight w:val="yellow"/>
        </w:rPr>
      </w:pPr>
      <w:r>
        <w:br w:type="column"/>
      </w:r>
      <w:r>
        <w:rPr>
          <w:rFonts w:eastAsia="Times New Roman" w:cs="Times New Roman" w:ascii="Times New Roman" w:hAnsi="Times New Roman"/>
          <w:b/>
          <w:sz w:val="32"/>
          <w:szCs w:val="32"/>
        </w:rPr>
        <w:t>ПЕРЕЛІК РЕКОМЕНДОВАНИХ ДЖЕРЕЛ</w:t>
      </w:r>
    </w:p>
    <w:p>
      <w:pPr>
        <w:pStyle w:val="Normal"/>
        <w:widowControl w:val="false"/>
        <w:spacing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ОСНОВНІ ДЖЕРЕЛА</w:t>
      </w:r>
    </w:p>
    <w:p>
      <w:pPr>
        <w:pStyle w:val="Normal"/>
        <w:widowControl w:val="false"/>
        <w:spacing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numPr>
          <w:ilvl w:val="0"/>
          <w:numId w:val="2"/>
        </w:numPr>
        <w:pBd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Advanced MySQL 8 / Eric Vanier, Birju Shah, Tejaswi Malepati. Packt Publishing, 2019. 280 p.</w:t>
      </w:r>
    </w:p>
    <w:p>
      <w:pPr>
        <w:pStyle w:val="Normal"/>
        <w:widowControl w:val="false"/>
        <w:numPr>
          <w:ilvl w:val="0"/>
          <w:numId w:val="2"/>
        </w:numPr>
        <w:pBd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Walter Shields SQL QuickStart Guide: The Simplified Beginner’s Guide to Managing, Analyzing, and Manipulating Data With SQL. – ClydeBank Media LLC; Illustrated edition (November 18, 2019), 251 p.</w:t>
      </w:r>
    </w:p>
    <w:p>
      <w:pPr>
        <w:pStyle w:val="Normal"/>
        <w:widowControl w:val="false"/>
        <w:numPr>
          <w:ilvl w:val="0"/>
          <w:numId w:val="2"/>
        </w:numPr>
        <w:pBd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Vaswani V. - MySQL Database Usage &amp; Administration. – McGraw-Hill, ISBN: 0071605495, 2019. – 368 p.</w:t>
      </w:r>
    </w:p>
    <w:p>
      <w:pPr>
        <w:pStyle w:val="Normal"/>
        <w:widowControl w:val="false"/>
        <w:numPr>
          <w:ilvl w:val="0"/>
          <w:numId w:val="2"/>
        </w:numPr>
        <w:pBd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Eric Vanier, Birju Shah, Tejaswi Malepati. Advanced MySQL 8: Discover the full potential of MySQL and ensure high performance of your database. – Packt Publishing, 2019. – 289 p. ISBN: 978-1788834445.</w:t>
      </w:r>
    </w:p>
    <w:p>
      <w:pPr>
        <w:pStyle w:val="Normal"/>
        <w:widowControl w:val="false"/>
        <w:numPr>
          <w:ilvl w:val="0"/>
          <w:numId w:val="2"/>
        </w:numPr>
        <w:pBdr/>
        <w:spacing w:lineRule="auto" w:line="360" w:before="0" w:after="0"/>
        <w:ind w:left="0" w:firstLine="284"/>
        <w:jc w:val="both"/>
        <w:rPr>
          <w:rFonts w:ascii="Times New Roman" w:hAnsi="Times New Roman" w:eastAsia="Times New Roman" w:cs="Times New Roman"/>
          <w:color w:val="000000"/>
          <w:sz w:val="28"/>
          <w:szCs w:val="28"/>
        </w:rPr>
      </w:pPr>
      <w:r>
        <w:rPr>
          <w:rFonts w:eastAsia="Times New Roman" w:cs="Times New Roman" w:ascii="Times New Roman" w:hAnsi="Times New Roman"/>
          <w:color w:val="000000"/>
          <w:sz w:val="28"/>
          <w:szCs w:val="28"/>
        </w:rPr>
        <w:t>Організація баз даних : навч. посібник / О. Г. Трофименко, Ю. В. Прокоп, Н. І. Логінова, І. М. Копитчук. 2-ге вид. виправ. і доповн. Одеса : Фенікс, 2019. - 246 с.</w:t>
      </w:r>
    </w:p>
    <w:p>
      <w:pPr>
        <w:pStyle w:val="Normal"/>
        <w:widowControl w:val="false"/>
        <w:spacing w:lineRule="auto" w:line="360"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ДОПОМІЖНІ ДЖЕРЕЛА</w:t>
      </w:r>
    </w:p>
    <w:p>
      <w:pPr>
        <w:pStyle w:val="Normal"/>
        <w:widowControl w:val="false"/>
        <w:spacing w:lineRule="auto" w:line="36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Craig S. Mullins. Database Administration: The Complete Guide to DBA Practices and Procedures. 2nd Edition / Addison-Wesley Professional, 2012. 736 p. ISBN: 978-0321822949.</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Carlos Coronel, Steven Morris Database Systems: Design, Implementation, &amp; Management. – Cengage Learning; 13 edition, 2018, ‎ 816 p.</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Paul DuBois. MySQL Cookbook: Solutions for Database Developers and Administrators. O'Reilly Media Inc, USA. 2014. 866 р.</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w:t>
        <w:tab/>
        <w:t>Thomas. Eeden Pettit (Daniel Van.). The MySQL Workshop: A practical guide to working with data and managing databases with MySQL. 2022. 726 р.</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Логінова Н. І. Аналіз вразливостей систем керування базами даних / Н. І. Логінова, А. І. Дика, О. Г. Янковський //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Міжнар.наук.-практ. конф. (м. Одеса, 17 червня 2022 р.) / за загальною редакцією С. В. Ківалова. Одеса : Видавничий дім «Гельветика», 2022. Т. 1. С. 682-685</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Логінова Н.І. Безпека баз даних. Кібербезпека в сучасному світі: матеріали ІІІ Всеукр. наук.-практич. конф. (м. Одеса, 19 листоп., 2021 р.) / за ред. О.В. Дикого; уклад.: С. А. Горбаченко, Н. І. Логінова. Одеса : Видавничий дім «Гельветика», 2021. С. 12–15. DOI 10.32837/11300.15973</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7.</w:t>
        <w:tab/>
        <w:t>Берко А.Ю. Системи баз даних та знань. Книга 2. Системи управління базами даних та знань: підручник. / А.Ю. Берко, О.М. Верес, В.В. Пасічник. – Вид-во: «Магнолія-2006», 2013. – 680 с.</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8.</w:t>
        <w:tab/>
        <w:t xml:space="preserve">Державний стандарт України. Системи оброблення інформації. Бази даних. Терміни і визначення. ДСТУ 2874-94.- Київ.: Держстандарт України, 1994.- 31с. </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9. Василенко М.Д., Слатвінська В.М. Кібернетичний захист операційних систем (аналітичне міжгалузеве дослідження). Інформаційні технології та суспільство. 2022. Вип. 3(5). С. 6-13. DOI: https://doi.org/10.32689/maup.it.2022.3.1 URL: http://journals.maup.com.ua/index.php/it/article/view/2282</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10. Бойко В.Д., Василенко М.Д., Слатвінська В.М. Проблеми та практичні аспекти організації користувацького процесу до інформаційно-комунікаційних мереж у контексті систем загального доступу. Інформаційні технології та суспільство. 2022. Вип. 4(6). С. 6-13. DOI: https://doi.org/10.32689/maup.it.2022.4.1 URL: http://journals.maup.com.ua/index.php/it/article/view/2428/2899</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 xml:space="preserve">11. Василенко М., Слатвінська В., Сисоєнко С. Особливості створення сценарію для оболонки bash при створенні резервних копій. Інформаційні технології та суспільство. 2023. Вип. 3 (9). С. 15–22. DOI: https://doi.org/10.32689/maup.it.2023.3.2 URL: http://journals.maup.com.ua/index.php/it/article/view/2790/3249 </w:t>
      </w:r>
    </w:p>
    <w:p>
      <w:pPr>
        <w:pStyle w:val="Normal"/>
        <w:widowControl w:val="false"/>
        <w:spacing w:lineRule="auto" w:line="360" w:before="0" w:after="0"/>
        <w:jc w:val="both"/>
        <w:rPr/>
      </w:pPr>
      <w:r>
        <w:rPr/>
      </w:r>
    </w:p>
    <w:p>
      <w:pPr>
        <w:pStyle w:val="Normal"/>
        <w:widowControl w:val="false"/>
        <w:spacing w:lineRule="auto" w:line="360" w:before="0" w:after="0"/>
        <w:jc w:val="center"/>
        <w:rPr>
          <w:rFonts w:ascii="Times New Roman" w:hAnsi="Times New Roman" w:eastAsia="Times New Roman" w:cs="Times New Roman"/>
          <w:sz w:val="28"/>
          <w:szCs w:val="28"/>
          <w:highlight w:val="yellow"/>
        </w:rPr>
      </w:pPr>
      <w:r>
        <w:rPr>
          <w:rFonts w:eastAsia="Times New Roman" w:cs="Times New Roman" w:ascii="Times New Roman" w:hAnsi="Times New Roman"/>
          <w:sz w:val="28"/>
          <w:szCs w:val="28"/>
        </w:rPr>
        <w:t>РЕСУРСИ ВІДКРИТОГО ДОСТУПУ</w:t>
      </w:r>
    </w:p>
    <w:p>
      <w:pPr>
        <w:pStyle w:val="Normal"/>
        <w:widowControl w:val="false"/>
        <w:spacing w:lineRule="auto" w:line="360" w:before="0" w:after="0"/>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1)</w:t>
        <w:tab/>
        <w:t>http://www.it.inf.od.ua – сайт кафедри інформаційних технологій, на якому розміщено робочі матеріали з курсу</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2)</w:t>
        <w:tab/>
        <w:t>http://dspace.onua.edu.ua – eNUOLAIR – депозитарій (архів) НУ ОЮА</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3)</w:t>
        <w:tab/>
        <w:t>http://cyber.onua.edu.ua/ – робочі матеріали з курсу</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4)      http://www.znannya.org/labs/?view=mysqli-intro – СКБД MySQL і доступ до БД в PHP</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5)</w:t>
        <w:tab/>
        <w:t>https://www.phpmyadmin.net/ – веб-додаток з відкритим кодом, написаний мовою PHP із графічним веб-інтерфейсом для адміністрування бази даних MySQL або MariaDB.</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6)</w:t>
        <w:tab/>
        <w:t>https://www.coursera.org/learn/relational-database-administration – Адміністрування реляційних баз даних (DBA). Курс від Coursera.</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7)</w:t>
        <w:tab/>
        <w:t>https://www.udemy.com/course/mysql-dba-for-beginners/ – MySQL Database Administration: Beginner SQL Database Design. Udemy course.</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8)</w:t>
        <w:tab/>
        <w:t>https://www.udemy.com/course/complete-mysql-training-for-data-analysis-on-linux/ – Complete MySQL Database Administration Course. Udemy course.</w:t>
      </w:r>
    </w:p>
    <w:p>
      <w:pPr>
        <w:pStyle w:val="Normal"/>
        <w:widowControl w:val="false"/>
        <w:spacing w:lineRule="auto" w:line="36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9)       https://zakon.rada.gov.ua/laws/show/2297-17 - Закон України "Про захист персональних даних"</w:t>
      </w:r>
    </w:p>
    <w:p>
      <w:pPr>
        <w:pStyle w:val="Normal"/>
        <w:widowControl w:val="false"/>
        <w:spacing w:lineRule="auto" w:line="240" w:before="0" w:after="0"/>
        <w:jc w:val="both"/>
        <w:rPr/>
      </w:pPr>
      <w:r>
        <w:rPr/>
      </w:r>
    </w:p>
    <w:p>
      <w:pPr>
        <w:pStyle w:val="Normal"/>
        <w:widowControl w:val="false"/>
        <w:spacing w:lineRule="auto" w:line="240" w:before="0" w:after="0"/>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32"/>
          <w:szCs w:val="32"/>
        </w:rPr>
      </w:pPr>
      <w:r>
        <w:rPr>
          <w:rFonts w:eastAsia="Times New Roman" w:cs="Times New Roman" w:ascii="Times New Roman" w:hAnsi="Times New Roman"/>
          <w:b/>
          <w:sz w:val="28"/>
          <w:szCs w:val="28"/>
        </w:rPr>
        <w:t xml:space="preserve"> </w:t>
      </w:r>
    </w:p>
    <w:p>
      <w:pPr>
        <w:pStyle w:val="Normal"/>
        <w:rPr/>
      </w:pPr>
      <w:r>
        <w:br w:type="column"/>
      </w:r>
      <w:r>
        <w:rPr>
          <w:rFonts w:eastAsia="Times New Roman" w:cs="Times New Roman" w:ascii="Times New Roman" w:hAnsi="Times New Roman"/>
          <w:b/>
          <w:sz w:val="32"/>
          <w:szCs w:val="32"/>
        </w:rPr>
        <w:t>ЗМIСТ</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Опис навчальної дисципліни</w:t>
        <w:tab/>
        <w:t xml:space="preserve"> 3</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Заплановані результати навчання</w:t>
        <w:tab/>
        <w:t xml:space="preserve"> 4</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Структура навчальної дисципліни</w:t>
        <w:tab/>
        <w:t xml:space="preserve"> 7</w:t>
      </w:r>
    </w:p>
    <w:p>
      <w:pPr>
        <w:pStyle w:val="Normal"/>
        <w:widowControl w:val="false"/>
        <w:tabs>
          <w:tab w:val="clear" w:pos="720"/>
          <w:tab w:val="left" w:pos="8789"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Програма навчальної дисципліни</w:t>
        <w:tab/>
        <w:t xml:space="preserve"> 8</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Теми практичних занять</w:t>
        <w:tab/>
        <w:t xml:space="preserve"> 10</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Завдання для самостійної роботи</w:t>
        <w:tab/>
        <w:t xml:space="preserve"> 13</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Теми рефератів</w:t>
        <w:tab/>
        <w:t xml:space="preserve"> 16</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Питання до заліку</w:t>
        <w:tab/>
        <w:t xml:space="preserve"> 19</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Форми підсумкового контролю успішності здобувачів</w:t>
        <w:tab/>
        <w:t xml:space="preserve"> 23</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Критерії оцінювання</w:t>
        <w:tab/>
        <w:t xml:space="preserve"> 23</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Схема нарахування балів (складові оцінювання результатів навчання)</w:t>
        <w:tab/>
        <w:t xml:space="preserve"> 24</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Шкала за ECTS</w:t>
        <w:tab/>
        <w:t xml:space="preserve"> 25</w:t>
      </w:r>
    </w:p>
    <w:p>
      <w:pPr>
        <w:pStyle w:val="Normal"/>
        <w:widowControl w:val="false"/>
        <w:tabs>
          <w:tab w:val="clear" w:pos="720"/>
          <w:tab w:val="left" w:pos="8647" w:leader="none"/>
        </w:tabs>
        <w:jc w:val="both"/>
        <w:rPr>
          <w:rFonts w:ascii="Times New Roman" w:hAnsi="Times New Roman" w:eastAsia="Times New Roman" w:cs="Times New Roman"/>
          <w:sz w:val="28"/>
          <w:szCs w:val="28"/>
        </w:rPr>
      </w:pPr>
      <w:r>
        <w:rPr>
          <w:rFonts w:eastAsia="Times New Roman" w:cs="Times New Roman" w:ascii="Times New Roman" w:hAnsi="Times New Roman"/>
          <w:sz w:val="28"/>
          <w:szCs w:val="28"/>
        </w:rPr>
        <w:t>Перелік рекомендованих джерел</w:t>
        <w:tab/>
        <w:t xml:space="preserve"> 26</w:t>
      </w:r>
    </w:p>
    <w:p>
      <w:pPr>
        <w:pStyle w:val="Normal"/>
        <w:widowControl w:val="false"/>
        <w:jc w:val="center"/>
        <w:rPr>
          <w:rFonts w:ascii="Times New Roman" w:hAnsi="Times New Roman" w:eastAsia="Times New Roman" w:cs="Times New Roman"/>
          <w:sz w:val="28"/>
          <w:szCs w:val="28"/>
        </w:rPr>
      </w:pPr>
      <w:r>
        <w:br w:type="column"/>
      </w:r>
      <w:r>
        <w:rPr>
          <w:rFonts w:eastAsia="Times New Roman" w:cs="Times New Roman" w:ascii="Times New Roman" w:hAnsi="Times New Roman"/>
          <w:sz w:val="28"/>
          <w:szCs w:val="28"/>
        </w:rPr>
        <w:t>Навчальне видання</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 xml:space="preserve">Василенко Микола Дмитрович </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Манаков Сергій Юрійович</w:t>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Слатвінська Валерія Миколаївна</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b/>
          <w:b/>
          <w:sz w:val="28"/>
          <w:szCs w:val="28"/>
        </w:rPr>
      </w:pPr>
      <w:r>
        <w:rPr>
          <w:rFonts w:eastAsia="Times New Roman" w:cs="Times New Roman" w:ascii="Times New Roman" w:hAnsi="Times New Roman"/>
          <w:b/>
          <w:sz w:val="28"/>
          <w:szCs w:val="28"/>
        </w:rPr>
        <w:t>АДМІНІСТРУВАННЯ ТА ЗАХИСТ БАЗ ТА СХОВИЩ ДАНИХ</w:t>
      </w:r>
    </w:p>
    <w:p>
      <w:pPr>
        <w:pStyle w:val="Normal"/>
        <w:widowControl w:val="false"/>
        <w:jc w:val="center"/>
        <w:rPr>
          <w:rFonts w:ascii="Times New Roman" w:hAnsi="Times New Roman" w:eastAsia="Times New Roman" w:cs="Times New Roman"/>
          <w:b/>
          <w:b/>
          <w:sz w:val="28"/>
          <w:szCs w:val="28"/>
          <w:highlight w:val="yellow"/>
        </w:rPr>
      </w:pPr>
      <w:r>
        <w:rPr>
          <w:rFonts w:eastAsia="Times New Roman" w:cs="Times New Roman" w:ascii="Times New Roman" w:hAnsi="Times New Roman"/>
          <w:b/>
          <w:sz w:val="28"/>
          <w:szCs w:val="28"/>
        </w:rPr>
        <w:t>Методичні вказівки</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t>(для бакалаврів галузі знань 12 «Інформаційні технології», спеціальності 122 «Комп’ютерні науки» факультету кібербезпеки та інформаційних технологій)</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widowControl w:val="false"/>
        <w:jc w:val="center"/>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jc w:val="center"/>
        <w:rPr>
          <w:rFonts w:ascii="Times New Roman" w:hAnsi="Times New Roman" w:eastAsia="Times New Roman" w:cs="Times New Roman"/>
          <w:i/>
          <w:i/>
          <w:sz w:val="28"/>
          <w:szCs w:val="28"/>
        </w:rPr>
      </w:pPr>
      <w:r>
        <w:rPr>
          <w:rFonts w:eastAsia="Times New Roman" w:cs="Times New Roman" w:ascii="Times New Roman" w:hAnsi="Times New Roman"/>
          <w:i/>
          <w:sz w:val="28"/>
          <w:szCs w:val="28"/>
        </w:rPr>
      </w:r>
    </w:p>
    <w:p>
      <w:pPr>
        <w:pStyle w:val="Normal"/>
        <w:widowControl w:val="false"/>
        <w:jc w:val="center"/>
        <w:rPr>
          <w:rFonts w:ascii="Times New Roman" w:hAnsi="Times New Roman" w:eastAsia="Times New Roman" w:cs="Times New Roman"/>
          <w:i/>
          <w:i/>
          <w:sz w:val="28"/>
          <w:szCs w:val="28"/>
          <w:highlight w:val="yellow"/>
        </w:rPr>
      </w:pPr>
      <w:r>
        <w:rPr>
          <w:rFonts w:eastAsia="Times New Roman" w:cs="Times New Roman" w:ascii="Times New Roman" w:hAnsi="Times New Roman"/>
          <w:i/>
          <w:sz w:val="28"/>
          <w:szCs w:val="28"/>
        </w:rPr>
        <w:t>В авторській редакції</w:t>
      </w:r>
    </w:p>
    <w:p>
      <w:pPr>
        <w:pStyle w:val="Normal"/>
        <w:widowControl w:val="false"/>
        <w:jc w:val="center"/>
        <w:rPr>
          <w:rFonts w:ascii="Times New Roman" w:hAnsi="Times New Roman" w:eastAsia="Times New Roman" w:cs="Times New Roman"/>
          <w:sz w:val="28"/>
          <w:szCs w:val="28"/>
        </w:rPr>
      </w:pPr>
      <w:r>
        <w:rPr>
          <w:rFonts w:eastAsia="Times New Roman" w:cs="Times New Roman" w:ascii="Times New Roman" w:hAnsi="Times New Roman"/>
          <w:sz w:val="28"/>
          <w:szCs w:val="28"/>
        </w:rPr>
      </w:r>
    </w:p>
    <w:p>
      <w:pPr>
        <w:pStyle w:val="Normal"/>
        <w:spacing w:lineRule="auto" w:line="360" w:before="0" w:after="0"/>
        <w:rPr>
          <w:rFonts w:ascii="Times New Roman" w:hAnsi="Times New Roman" w:eastAsia="Times New Roman" w:cs="Times New Roman"/>
          <w:color w:val="000000"/>
          <w:sz w:val="28"/>
          <w:szCs w:val="28"/>
        </w:rPr>
      </w:pPr>
      <w:r>
        <w:rPr/>
      </w:r>
    </w:p>
    <w:sectPr>
      <w:footerReference w:type="default" r:id="rId5"/>
      <w:type w:val="nextPage"/>
      <w:pgSz w:w="11906" w:h="16838"/>
      <w:pgMar w:left="1701" w:right="850" w:header="0" w:top="1134" w:footer="708" w:bottom="1134" w:gutter="0"/>
      <w:pgNumType w:start="1" w:fmt="decimal"/>
      <w:formProt w:val="false"/>
      <w:titlePg/>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Liberation Sans">
    <w:altName w:val="Arial"/>
    <w:charset w:val="cc"/>
    <w:family w:val="swiss"/>
    <w:pitch w:val="variable"/>
  </w:font>
  <w:font w:name="Georgia">
    <w:charset w:val="cc"/>
    <w:family w:val="roman"/>
    <w:pitch w:val="variable"/>
  </w:font>
  <w:font w:name="Times New Roman">
    <w:charset w:val="01"/>
    <w:family w:val="roman"/>
    <w:pitch w:val="variable"/>
  </w:font>
  <w:font w:name="Courier New">
    <w:charset w:val="01"/>
    <w:family w:val="modern"/>
    <w:pitch w:val="fixed"/>
  </w:font>
  <w:font w:name="Noto Sans Symbols">
    <w:charset w:val="01"/>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pBdr/>
      <w:tabs>
        <w:tab w:val="clear" w:pos="720"/>
        <w:tab w:val="center" w:pos="4677" w:leader="none"/>
        <w:tab w:val="right" w:pos="9355" w:leader="none"/>
      </w:tabs>
      <w:spacing w:lineRule="auto" w:line="240" w:before="0" w:after="0"/>
      <w:jc w:val="center"/>
      <w:rPr>
        <w:color w:val="000000"/>
      </w:rPr>
    </w:pPr>
    <w:r>
      <w:rPr>
        <w:color w:val="000000"/>
      </w:rPr>
      <w:fldChar w:fldCharType="begin"/>
    </w:r>
    <w:r>
      <w:rPr/>
      <w:instrText> PAGE </w:instrText>
    </w:r>
    <w:r>
      <w:rPr/>
      <w:fldChar w:fldCharType="separate"/>
    </w:r>
    <w:r>
      <w:rPr/>
      <w:t>30</w:t>
    </w:r>
    <w:r>
      <w:rPr/>
      <w:fldChar w:fldCharType="end"/>
    </w:r>
  </w:p>
  <w:p>
    <w:pPr>
      <w:pStyle w:val="Normal"/>
      <w:pBdr/>
      <w:tabs>
        <w:tab w:val="clear" w:pos="720"/>
        <w:tab w:val="center" w:pos="4677" w:leader="none"/>
        <w:tab w:val="right" w:pos="9355" w:leader="none"/>
      </w:tabs>
      <w:spacing w:lineRule="auto" w:line="240" w:before="0" w:after="0"/>
      <w:rPr>
        <w:color w:val="000000"/>
      </w:rPr>
    </w:pPr>
    <w:r>
      <w:rPr>
        <w:color w:val="000000"/>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lvl w:ilvl="0">
      <w:start w:val="1"/>
      <w:numFmt w:val="bullet"/>
      <w:lvlText w:val="-"/>
      <w:lvlJc w:val="left"/>
      <w:pPr>
        <w:ind w:left="720" w:hanging="360"/>
      </w:pPr>
      <w:rPr>
        <w:rFonts w:ascii="Times New Roman" w:hAnsi="Times New Roman" w:cs="Times New Roman" w:hint="default"/>
        <w:rFonts w:cs="Times New Roman"/>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Noto Sans Symbols" w:hAnsi="Noto Sans Symbols" w:cs="Noto Sans Symbols" w:hint="default"/>
        <w:rFonts w:cs="Noto Sans Symbols"/>
      </w:rPr>
    </w:lvl>
    <w:lvl w:ilvl="3">
      <w:start w:val="1"/>
      <w:numFmt w:val="bullet"/>
      <w:lvlText w:val="●"/>
      <w:lvlJc w:val="left"/>
      <w:pPr>
        <w:ind w:left="2880" w:hanging="360"/>
      </w:pPr>
      <w:rPr>
        <w:rFonts w:ascii="Noto Sans Symbols" w:hAnsi="Noto Sans Symbols" w:cs="Noto Sans Symbols" w:hint="default"/>
        <w:rFonts w:cs="Noto Sans Symbols"/>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Noto Sans Symbols" w:hAnsi="Noto Sans Symbols" w:cs="Noto Sans Symbols" w:hint="default"/>
        <w:rFonts w:cs="Noto Sans Symbols"/>
      </w:rPr>
    </w:lvl>
    <w:lvl w:ilvl="6">
      <w:start w:val="1"/>
      <w:numFmt w:val="bullet"/>
      <w:lvlText w:val="●"/>
      <w:lvlJc w:val="left"/>
      <w:pPr>
        <w:ind w:left="5040" w:hanging="360"/>
      </w:pPr>
      <w:rPr>
        <w:rFonts w:ascii="Noto Sans Symbols" w:hAnsi="Noto Sans Symbols" w:cs="Noto Sans Symbols" w:hint="default"/>
        <w:rFonts w:cs="Noto Sans Symbols"/>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Noto Sans Symbols" w:hAnsi="Noto Sans Symbols" w:cs="Noto Sans Symbols" w:hint="default"/>
        <w:rFonts w:cs="Noto Sans Symbols"/>
      </w:rPr>
    </w:lvl>
  </w:abstractNum>
  <w:abstractNum w:abstractNumId="1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w:zoom w:percent="100"/>
  <w:defaultTabStop w:val="720"/>
  <w:compat>
    <w:compatSetting w:name="compatibilityMode" w:uri="http://schemas.microsoft.com/office/word" w:val="14"/>
  </w:compat>
  <w:hyphenationZone w:val="425"/>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Calibri"/>
        <w:sz w:val="22"/>
        <w:szCs w:val="22"/>
        <w:lang w:val="uk-UA" w:eastAsia="uk-UA"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2a7da9"/>
    <w:pPr>
      <w:widowControl/>
      <w:bidi w:val="0"/>
      <w:spacing w:lineRule="auto" w:line="259" w:before="0" w:after="160"/>
      <w:jc w:val="left"/>
    </w:pPr>
    <w:rPr>
      <w:rFonts w:ascii="Calibri" w:hAnsi="Calibri" w:eastAsia="Calibri" w:cs="Calibri"/>
      <w:color w:val="auto"/>
      <w:kern w:val="0"/>
      <w:sz w:val="22"/>
      <w:szCs w:val="22"/>
      <w:lang w:val="uk-UA" w:eastAsia="uk-UA" w:bidi="ar-SA"/>
    </w:rPr>
  </w:style>
  <w:style w:type="paragraph" w:styleId="1">
    <w:name w:val="Heading 1"/>
    <w:basedOn w:val="Normal"/>
    <w:next w:val="Normal"/>
    <w:qFormat/>
    <w:pPr>
      <w:keepNext w:val="true"/>
      <w:keepLines/>
      <w:spacing w:before="480" w:after="120"/>
      <w:outlineLvl w:val="0"/>
    </w:pPr>
    <w:rPr>
      <w:b/>
      <w:sz w:val="48"/>
      <w:szCs w:val="48"/>
    </w:rPr>
  </w:style>
  <w:style w:type="paragraph" w:styleId="2">
    <w:name w:val="Heading 2"/>
    <w:basedOn w:val="Normal"/>
    <w:next w:val="Normal"/>
    <w:qFormat/>
    <w:pPr>
      <w:keepNext w:val="true"/>
      <w:keepLines/>
      <w:spacing w:before="360" w:after="80"/>
      <w:outlineLvl w:val="1"/>
    </w:pPr>
    <w:rPr>
      <w:b/>
      <w:sz w:val="36"/>
      <w:szCs w:val="36"/>
    </w:rPr>
  </w:style>
  <w:style w:type="paragraph" w:styleId="3">
    <w:name w:val="Heading 3"/>
    <w:basedOn w:val="Normal"/>
    <w:next w:val="Normal"/>
    <w:qFormat/>
    <w:pPr>
      <w:keepNext w:val="true"/>
      <w:keepLines/>
      <w:spacing w:before="280" w:after="80"/>
      <w:outlineLvl w:val="2"/>
    </w:pPr>
    <w:rPr>
      <w:b/>
      <w:sz w:val="28"/>
      <w:szCs w:val="28"/>
    </w:rPr>
  </w:style>
  <w:style w:type="paragraph" w:styleId="4">
    <w:name w:val="Heading 4"/>
    <w:basedOn w:val="Normal"/>
    <w:next w:val="Normal"/>
    <w:qFormat/>
    <w:pPr>
      <w:keepNext w:val="true"/>
      <w:keepLines/>
      <w:spacing w:before="240" w:after="40"/>
      <w:outlineLvl w:val="3"/>
    </w:pPr>
    <w:rPr>
      <w:b/>
      <w:sz w:val="24"/>
      <w:szCs w:val="24"/>
    </w:rPr>
  </w:style>
  <w:style w:type="paragraph" w:styleId="5">
    <w:name w:val="Heading 5"/>
    <w:basedOn w:val="Normal"/>
    <w:next w:val="Normal"/>
    <w:qFormat/>
    <w:pPr>
      <w:keepNext w:val="true"/>
      <w:keepLines/>
      <w:spacing w:before="220" w:after="40"/>
      <w:outlineLvl w:val="4"/>
    </w:pPr>
    <w:rPr>
      <w:b/>
    </w:rPr>
  </w:style>
  <w:style w:type="paragraph" w:styleId="6">
    <w:name w:val="Heading 6"/>
    <w:basedOn w:val="Normal"/>
    <w:next w:val="Normal"/>
    <w:qFormat/>
    <w:pPr>
      <w:keepNext w:val="true"/>
      <w:keepLines/>
      <w:spacing w:before="200" w:after="40"/>
      <w:outlineLvl w:val="5"/>
    </w:pPr>
    <w:rPr>
      <w:b/>
      <w:sz w:val="20"/>
      <w:szCs w:val="20"/>
    </w:rPr>
  </w:style>
  <w:style w:type="character" w:styleId="DefaultParagraphFont" w:default="1">
    <w:name w:val="Default Paragraph Font"/>
    <w:uiPriority w:val="1"/>
    <w:semiHidden/>
    <w:unhideWhenUsed/>
    <w:qFormat/>
    <w:rPr/>
  </w:style>
  <w:style w:type="character" w:styleId="Style8" w:customStyle="1">
    <w:name w:val="Верхний колонтитул Знак"/>
    <w:basedOn w:val="DefaultParagraphFont"/>
    <w:link w:val="a4"/>
    <w:uiPriority w:val="99"/>
    <w:qFormat/>
    <w:rsid w:val="00c90f9d"/>
    <w:rPr/>
  </w:style>
  <w:style w:type="character" w:styleId="Style9" w:customStyle="1">
    <w:name w:val="Нижний колонтитул Знак"/>
    <w:basedOn w:val="DefaultParagraphFont"/>
    <w:link w:val="a6"/>
    <w:uiPriority w:val="99"/>
    <w:qFormat/>
    <w:rsid w:val="00c90f9d"/>
    <w:rPr/>
  </w:style>
  <w:style w:type="character" w:styleId="Style10">
    <w:name w:val="Интернет-ссылка"/>
    <w:basedOn w:val="DefaultParagraphFont"/>
    <w:uiPriority w:val="99"/>
    <w:unhideWhenUsed/>
    <w:rsid w:val="00c90f9d"/>
    <w:rPr>
      <w:color w:val="0563C1" w:themeColor="hyperlink"/>
      <w:u w:val="single"/>
    </w:rPr>
  </w:style>
  <w:style w:type="character" w:styleId="11" w:customStyle="1">
    <w:name w:val="Неразрешенное упоминание1"/>
    <w:basedOn w:val="DefaultParagraphFont"/>
    <w:uiPriority w:val="99"/>
    <w:semiHidden/>
    <w:unhideWhenUsed/>
    <w:qFormat/>
    <w:rsid w:val="00c90f9d"/>
    <w:rPr>
      <w:color w:val="605E5C"/>
      <w:shd w:fill="E1DFDD" w:val="clear"/>
    </w:rPr>
  </w:style>
  <w:style w:type="character" w:styleId="Style11" w:customStyle="1">
    <w:name w:val="Основной текст с отступом Знак"/>
    <w:basedOn w:val="DefaultParagraphFont"/>
    <w:link w:val="ab"/>
    <w:qFormat/>
    <w:rsid w:val="00e76030"/>
    <w:rPr>
      <w:rFonts w:ascii="Times New Roman" w:hAnsi="Times New Roman" w:eastAsia="Times New Roman" w:cs="Times New Roman"/>
      <w:sz w:val="24"/>
      <w:szCs w:val="20"/>
      <w:lang w:eastAsia="ru-RU"/>
    </w:rPr>
  </w:style>
  <w:style w:type="character" w:styleId="Xfm94030812" w:customStyle="1">
    <w:name w:val="xfm_94030812"/>
    <w:basedOn w:val="DefaultParagraphFont"/>
    <w:qFormat/>
    <w:rsid w:val="00dc1d0d"/>
    <w:rPr/>
  </w:style>
  <w:style w:type="character" w:styleId="21" w:customStyle="1">
    <w:name w:val="Неразрешенное упоминание2"/>
    <w:basedOn w:val="DefaultParagraphFont"/>
    <w:uiPriority w:val="99"/>
    <w:semiHidden/>
    <w:unhideWhenUsed/>
    <w:qFormat/>
    <w:rsid w:val="00a83949"/>
    <w:rPr>
      <w:color w:val="605E5C"/>
      <w:shd w:fill="E1DFDD" w:val="clear"/>
    </w:rPr>
  </w:style>
  <w:style w:type="character" w:styleId="UnresolvedMention" w:customStyle="1">
    <w:name w:val="Unresolved Mention"/>
    <w:basedOn w:val="DefaultParagraphFont"/>
    <w:uiPriority w:val="99"/>
    <w:semiHidden/>
    <w:unhideWhenUsed/>
    <w:qFormat/>
    <w:rsid w:val="00ce42c8"/>
    <w:rPr>
      <w:color w:val="605E5C"/>
      <w:shd w:fill="E1DFDD" w:val="clear"/>
    </w:rPr>
  </w:style>
  <w:style w:type="paragraph" w:styleId="Style12">
    <w:name w:val="Заголовок"/>
    <w:basedOn w:val="Normal"/>
    <w:next w:val="Style13"/>
    <w:qFormat/>
    <w:pPr>
      <w:keepNext w:val="true"/>
      <w:spacing w:before="240" w:after="120"/>
    </w:pPr>
    <w:rPr>
      <w:rFonts w:ascii="Liberation Sans" w:hAnsi="Liberation Sans" w:eastAsia="Microsoft YaHei" w:cs="Lucida Sans"/>
      <w:sz w:val="28"/>
      <w:szCs w:val="28"/>
    </w:rPr>
  </w:style>
  <w:style w:type="paragraph" w:styleId="Style13">
    <w:name w:val="Body Text"/>
    <w:basedOn w:val="Normal"/>
    <w:pPr>
      <w:spacing w:lineRule="auto" w:line="276" w:before="0" w:after="140"/>
    </w:pPr>
    <w:rPr/>
  </w:style>
  <w:style w:type="paragraph" w:styleId="Style14">
    <w:name w:val="List"/>
    <w:basedOn w:val="Style13"/>
    <w:pPr/>
    <w:rPr>
      <w:rFonts w:cs="Lucida Sans"/>
    </w:rPr>
  </w:style>
  <w:style w:type="paragraph" w:styleId="Style15">
    <w:name w:val="Caption"/>
    <w:basedOn w:val="Normal"/>
    <w:qFormat/>
    <w:pPr>
      <w:suppressLineNumbers/>
      <w:spacing w:before="120" w:after="120"/>
    </w:pPr>
    <w:rPr>
      <w:rFonts w:cs="Lucida Sans"/>
      <w:i/>
      <w:iCs/>
      <w:sz w:val="24"/>
      <w:szCs w:val="24"/>
    </w:rPr>
  </w:style>
  <w:style w:type="paragraph" w:styleId="Style16">
    <w:name w:val="Указатель"/>
    <w:basedOn w:val="Normal"/>
    <w:qFormat/>
    <w:pPr>
      <w:suppressLineNumbers/>
    </w:pPr>
    <w:rPr>
      <w:rFonts w:cs="Lucida Sans"/>
    </w:rPr>
  </w:style>
  <w:style w:type="paragraph" w:styleId="Style17">
    <w:name w:val="Title"/>
    <w:basedOn w:val="Normal"/>
    <w:next w:val="Normal"/>
    <w:qFormat/>
    <w:pPr>
      <w:keepNext w:val="true"/>
      <w:keepLines/>
      <w:spacing w:before="480" w:after="120"/>
    </w:pPr>
    <w:rPr>
      <w:b/>
      <w:sz w:val="72"/>
      <w:szCs w:val="72"/>
    </w:rPr>
  </w:style>
  <w:style w:type="paragraph" w:styleId="Style18">
    <w:name w:val="Верхний и нижний колонтитулы"/>
    <w:basedOn w:val="Normal"/>
    <w:qFormat/>
    <w:pPr/>
    <w:rPr/>
  </w:style>
  <w:style w:type="paragraph" w:styleId="Style19">
    <w:name w:val="Header"/>
    <w:basedOn w:val="Normal"/>
    <w:link w:val="a5"/>
    <w:uiPriority w:val="99"/>
    <w:unhideWhenUsed/>
    <w:rsid w:val="00c90f9d"/>
    <w:pPr>
      <w:tabs>
        <w:tab w:val="clear" w:pos="720"/>
        <w:tab w:val="center" w:pos="4677" w:leader="none"/>
        <w:tab w:val="right" w:pos="9355" w:leader="none"/>
      </w:tabs>
      <w:spacing w:lineRule="auto" w:line="240" w:before="0" w:after="0"/>
    </w:pPr>
    <w:rPr/>
  </w:style>
  <w:style w:type="paragraph" w:styleId="Style20">
    <w:name w:val="Footer"/>
    <w:basedOn w:val="Normal"/>
    <w:link w:val="a7"/>
    <w:uiPriority w:val="99"/>
    <w:unhideWhenUsed/>
    <w:rsid w:val="00c90f9d"/>
    <w:pPr>
      <w:tabs>
        <w:tab w:val="clear" w:pos="720"/>
        <w:tab w:val="center" w:pos="4677" w:leader="none"/>
        <w:tab w:val="right" w:pos="9355" w:leader="none"/>
      </w:tabs>
      <w:spacing w:lineRule="auto" w:line="240" w:before="0" w:after="0"/>
    </w:pPr>
    <w:rPr/>
  </w:style>
  <w:style w:type="paragraph" w:styleId="ListParagraph">
    <w:name w:val="List Paragraph"/>
    <w:basedOn w:val="Normal"/>
    <w:uiPriority w:val="34"/>
    <w:qFormat/>
    <w:rsid w:val="00b14197"/>
    <w:pPr>
      <w:spacing w:before="0" w:after="160"/>
      <w:ind w:left="720" w:hanging="0"/>
      <w:contextualSpacing/>
    </w:pPr>
    <w:rPr/>
  </w:style>
  <w:style w:type="paragraph" w:styleId="Style21">
    <w:name w:val="Body Text Indent"/>
    <w:basedOn w:val="Normal"/>
    <w:link w:val="ac"/>
    <w:rsid w:val="00e76030"/>
    <w:pPr>
      <w:spacing w:lineRule="auto" w:line="240" w:before="0" w:after="0"/>
      <w:ind w:left="142" w:hanging="0"/>
    </w:pPr>
    <w:rPr>
      <w:rFonts w:ascii="Times New Roman" w:hAnsi="Times New Roman" w:eastAsia="Times New Roman" w:cs="Times New Roman"/>
      <w:sz w:val="24"/>
      <w:szCs w:val="20"/>
      <w:lang w:eastAsia="ru-RU"/>
    </w:rPr>
  </w:style>
  <w:style w:type="paragraph" w:styleId="NormalWeb">
    <w:name w:val="Normal (Web)"/>
    <w:basedOn w:val="Normal"/>
    <w:uiPriority w:val="99"/>
    <w:unhideWhenUsed/>
    <w:qFormat/>
    <w:rsid w:val="00ac7ddf"/>
    <w:pPr>
      <w:spacing w:lineRule="auto" w:line="240" w:beforeAutospacing="1" w:afterAutospacing="1"/>
    </w:pPr>
    <w:rPr>
      <w:rFonts w:ascii="Times New Roman" w:hAnsi="Times New Roman" w:eastAsia="Times New Roman" w:cs="Times New Roman"/>
      <w:sz w:val="24"/>
      <w:szCs w:val="24"/>
    </w:rPr>
  </w:style>
  <w:style w:type="paragraph" w:styleId="NoSpacing">
    <w:name w:val="No Spacing"/>
    <w:uiPriority w:val="1"/>
    <w:qFormat/>
    <w:rsid w:val="00ac7ddf"/>
    <w:pPr>
      <w:widowControl/>
      <w:bidi w:val="0"/>
      <w:spacing w:lineRule="auto" w:line="240" w:before="0" w:after="0"/>
      <w:jc w:val="left"/>
    </w:pPr>
    <w:rPr>
      <w:rFonts w:ascii="Times New Roman" w:hAnsi="Times New Roman" w:eastAsia="Calibri" w:cs="Calibri"/>
      <w:color w:val="auto"/>
      <w:kern w:val="0"/>
      <w:sz w:val="28"/>
      <w:szCs w:val="22"/>
      <w:lang w:val="uk-UA" w:eastAsia="uk-UA" w:bidi="ar-SA"/>
    </w:rPr>
  </w:style>
  <w:style w:type="paragraph" w:styleId="Style22">
    <w:name w:val="Subtitle"/>
    <w:basedOn w:val="Normal"/>
    <w:next w:val="Normal"/>
    <w:qFormat/>
    <w:pPr>
      <w:keepNext w:val="true"/>
      <w:keepLines/>
      <w:spacing w:before="360" w:after="80"/>
    </w:pPr>
    <w:rPr>
      <w:rFonts w:ascii="Georgia" w:hAnsi="Georgia" w:eastAsia="Georgia" w:cs="Georgia"/>
      <w:i/>
      <w:color w:val="666666"/>
      <w:sz w:val="48"/>
      <w:szCs w:val="4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customStyle="1" w:styleId="TableNormal">
    <w:name w:val="Table Normal"/>
    <w:tblPr>
      <w:tblCellMar>
        <w:top w:w="0" w:type="dxa"/>
        <w:left w:w="0" w:type="dxa"/>
        <w:bottom w:w="0" w:type="dxa"/>
        <w:right w:w="0" w:type="dxa"/>
      </w:tblCellMar>
    </w:tblPr>
  </w:style>
  <w:style w:type="table" w:styleId="a9">
    <w:name w:val="Table Grid"/>
    <w:basedOn w:val="a1"/>
    <w:uiPriority w:val="39"/>
    <w:rsid w:val="003335c6"/>
    <w:pPr>
      <w:spacing w:after="0" w:line="240" w:lineRule="auto"/>
    </w:p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orcid.org/0000-0002-8555-5712" TargetMode="External"/><Relationship Id="rId3" Type="http://schemas.openxmlformats.org/officeDocument/2006/relationships/hyperlink" Target="https://orcid.org/my-orcid?orcid=0000-0001-5930-4592" TargetMode="External"/><Relationship Id="rId4" Type="http://schemas.openxmlformats.org/officeDocument/2006/relationships/hyperlink" Target="https://orcid.org/0000-0002-6082-981X" TargetMode="Externa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FJQClM02gefh2voP+lJQ8+hg6Ng==">CgMxLjAyCWlkLmdqZGd4czIJaC4zMGowemxsMgppZC4xZm9iOXRlOAByITFIcHJTOVZ5UTFLYk5wVGtzLWw4ZTdIT2ZsbXZaaGZrRQ==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Application>LibreOffice/6.4.0.3$Windows_X86_64 LibreOffice_project/b0a288ab3d2d4774cb44b62f04d5d28733ac6df8</Application>
  <Pages>30</Pages>
  <Words>4960</Words>
  <Characters>33521</Characters>
  <CharactersWithSpaces>37890</CharactersWithSpaces>
  <Paragraphs>477</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2024-03-29T13:52:00Z</dcterms:created>
  <dc:creator>Валерия Слатвинская</dc:creator>
  <dc:description/>
  <dc:language>uk-UA</dc:language>
  <cp:lastModifiedBy/>
  <dcterms:modified xsi:type="dcterms:W3CDTF">2024-03-29T17:11:27Z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