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9FEAEEE" w14:textId="77777777" w:rsidR="00751318" w:rsidRPr="00EC7086" w:rsidRDefault="00751318" w:rsidP="00DF00C7">
      <w:pPr>
        <w:pStyle w:val="FR2"/>
        <w:spacing w:before="0"/>
        <w:ind w:firstLine="669"/>
        <w:jc w:val="right"/>
        <w:rPr>
          <w:rFonts w:ascii="Times New Roman" w:hAnsi="Times New Roman" w:cs="Times New Roman"/>
          <w:b/>
          <w:sz w:val="28"/>
          <w:szCs w:val="28"/>
        </w:rPr>
      </w:pPr>
      <w:bookmarkStart w:id="0" w:name="_GoBack"/>
      <w:bookmarkEnd w:id="0"/>
    </w:p>
    <w:p w14:paraId="37589ACE" w14:textId="77777777" w:rsidR="00223C27" w:rsidRDefault="00223C27" w:rsidP="00DF00C7">
      <w:pPr>
        <w:ind w:firstLine="669"/>
        <w:jc w:val="center"/>
        <w:rPr>
          <w:sz w:val="24"/>
          <w:szCs w:val="24"/>
        </w:rPr>
      </w:pPr>
      <w:r>
        <w:rPr>
          <w:b/>
        </w:rPr>
        <w:t>МІНІСТЕРСТВО ОСВІТИ І НАУКИ УКРАЇНИ</w:t>
      </w:r>
    </w:p>
    <w:p w14:paraId="5D3792FF" w14:textId="77777777" w:rsidR="00223C27" w:rsidRDefault="00223C27" w:rsidP="00DF00C7">
      <w:pPr>
        <w:ind w:firstLine="669"/>
        <w:jc w:val="center"/>
        <w:rPr>
          <w:b/>
        </w:rPr>
      </w:pPr>
      <w:r>
        <w:rPr>
          <w:b/>
        </w:rPr>
        <w:t>НАЦІОНАЛЬНИЙ УНІВЕРСИТЕТ «ОДЕСЬКА ЮРИДИЧНА АКАДЕМІЯ»</w:t>
      </w:r>
    </w:p>
    <w:p w14:paraId="380F2963" w14:textId="77777777" w:rsidR="00223C27" w:rsidRDefault="00223C27" w:rsidP="00DF00C7">
      <w:pPr>
        <w:ind w:firstLine="669"/>
        <w:jc w:val="center"/>
        <w:rPr>
          <w:b/>
        </w:rPr>
      </w:pPr>
    </w:p>
    <w:p w14:paraId="41AEB6D0" w14:textId="1B976CBB" w:rsidR="00751318" w:rsidRPr="00EC7086" w:rsidRDefault="00223C27" w:rsidP="00DF00C7">
      <w:pPr>
        <w:ind w:firstLine="669"/>
        <w:jc w:val="center"/>
      </w:pPr>
      <w:r>
        <w:rPr>
          <w:b/>
        </w:rPr>
        <w:t xml:space="preserve">КАФЕДРА </w:t>
      </w:r>
      <w:r w:rsidR="00157861" w:rsidRPr="00223C27">
        <w:rPr>
          <w:b/>
          <w:bCs/>
        </w:rPr>
        <w:t>КРИМІНАЛЬНОГО ПРАВА</w:t>
      </w:r>
    </w:p>
    <w:p w14:paraId="66A82ECA" w14:textId="77777777" w:rsidR="00751318" w:rsidRPr="00EC7086" w:rsidRDefault="00751318" w:rsidP="00DF00C7">
      <w:pPr>
        <w:ind w:firstLine="669"/>
      </w:pPr>
    </w:p>
    <w:p w14:paraId="7ACB2A4B" w14:textId="77777777" w:rsidR="00205D91" w:rsidRPr="00EC7086" w:rsidRDefault="00205D91" w:rsidP="00DF00C7">
      <w:pPr>
        <w:ind w:firstLine="669"/>
      </w:pPr>
    </w:p>
    <w:p w14:paraId="3C06A7D3" w14:textId="77777777" w:rsidR="00751318" w:rsidRPr="00EC7086" w:rsidRDefault="00751318" w:rsidP="00DF00C7">
      <w:pPr>
        <w:ind w:firstLine="669"/>
      </w:pPr>
    </w:p>
    <w:p w14:paraId="7887FCDE" w14:textId="77777777" w:rsidR="004812D2" w:rsidRDefault="004812D2" w:rsidP="00DF00C7">
      <w:pPr>
        <w:ind w:firstLine="669"/>
        <w:jc w:val="center"/>
        <w:rPr>
          <w:b/>
          <w:bCs/>
        </w:rPr>
      </w:pPr>
    </w:p>
    <w:p w14:paraId="62868827" w14:textId="77777777" w:rsidR="004812D2" w:rsidRDefault="004812D2" w:rsidP="00DF00C7">
      <w:pPr>
        <w:ind w:firstLine="669"/>
        <w:jc w:val="center"/>
        <w:rPr>
          <w:b/>
          <w:bCs/>
        </w:rPr>
      </w:pPr>
    </w:p>
    <w:p w14:paraId="76FF9C9C" w14:textId="13FCC10B" w:rsidR="00AA33DC" w:rsidRPr="00EC7086" w:rsidRDefault="005765F1" w:rsidP="00DF00C7">
      <w:pPr>
        <w:ind w:firstLine="669"/>
        <w:jc w:val="center"/>
        <w:rPr>
          <w:b/>
          <w:bCs/>
        </w:rPr>
      </w:pPr>
      <w:r w:rsidRPr="00EC7086">
        <w:rPr>
          <w:b/>
          <w:bCs/>
        </w:rPr>
        <w:t>В.</w:t>
      </w:r>
      <w:r w:rsidR="004812D2">
        <w:rPr>
          <w:b/>
          <w:bCs/>
        </w:rPr>
        <w:t xml:space="preserve"> </w:t>
      </w:r>
      <w:r w:rsidRPr="00EC7086">
        <w:rPr>
          <w:b/>
          <w:bCs/>
        </w:rPr>
        <w:t>О.</w:t>
      </w:r>
      <w:r w:rsidR="004812D2">
        <w:rPr>
          <w:b/>
          <w:bCs/>
        </w:rPr>
        <w:t xml:space="preserve"> </w:t>
      </w:r>
      <w:r w:rsidRPr="00EC7086">
        <w:rPr>
          <w:b/>
          <w:bCs/>
        </w:rPr>
        <w:t>Туляков</w:t>
      </w:r>
    </w:p>
    <w:p w14:paraId="688E80A5" w14:textId="77777777" w:rsidR="00AA33DC" w:rsidRPr="00EC7086" w:rsidRDefault="00AA33DC" w:rsidP="00DF00C7">
      <w:pPr>
        <w:ind w:firstLine="669"/>
        <w:jc w:val="right"/>
        <w:rPr>
          <w:b/>
          <w:bCs/>
        </w:rPr>
      </w:pPr>
    </w:p>
    <w:p w14:paraId="666112B5" w14:textId="5E22331B" w:rsidR="00751318" w:rsidRDefault="00751318" w:rsidP="00DF00C7">
      <w:pPr>
        <w:ind w:firstLine="669"/>
      </w:pPr>
    </w:p>
    <w:p w14:paraId="610F8513" w14:textId="2B7103D1" w:rsidR="004812D2" w:rsidRDefault="004812D2" w:rsidP="00DF00C7">
      <w:pPr>
        <w:ind w:firstLine="669"/>
      </w:pPr>
    </w:p>
    <w:p w14:paraId="29AC4191" w14:textId="77777777" w:rsidR="004812D2" w:rsidRPr="00EC7086" w:rsidRDefault="004812D2" w:rsidP="00DF00C7">
      <w:pPr>
        <w:ind w:firstLine="669"/>
      </w:pPr>
    </w:p>
    <w:p w14:paraId="3517876A" w14:textId="77777777" w:rsidR="00751318" w:rsidRPr="00EC7086" w:rsidRDefault="00751318" w:rsidP="00DF00C7">
      <w:pPr>
        <w:ind w:firstLine="669"/>
      </w:pPr>
    </w:p>
    <w:p w14:paraId="5FCA1EE5" w14:textId="53B06918" w:rsidR="00223C27" w:rsidRDefault="00223C27" w:rsidP="00DF00C7">
      <w:pPr>
        <w:ind w:firstLine="669"/>
        <w:jc w:val="center"/>
        <w:rPr>
          <w:i/>
        </w:rPr>
      </w:pPr>
      <w:r>
        <w:rPr>
          <w:i/>
        </w:rPr>
        <w:t>Навчально-методичний посібник</w:t>
      </w:r>
    </w:p>
    <w:p w14:paraId="31BC966F" w14:textId="77777777" w:rsidR="00223C27" w:rsidRDefault="00223C27" w:rsidP="00DF00C7">
      <w:pPr>
        <w:ind w:firstLine="669"/>
        <w:jc w:val="center"/>
        <w:rPr>
          <w:i/>
        </w:rPr>
      </w:pPr>
    </w:p>
    <w:p w14:paraId="7CED87E8" w14:textId="26F764AF" w:rsidR="00751318" w:rsidRDefault="009C28F1" w:rsidP="00DF00C7">
      <w:pPr>
        <w:ind w:firstLine="669"/>
        <w:jc w:val="center"/>
        <w:rPr>
          <w:b/>
          <w:bCs/>
        </w:rPr>
      </w:pPr>
      <w:r w:rsidRPr="00EC7086">
        <w:rPr>
          <w:b/>
          <w:bCs/>
        </w:rPr>
        <w:t>«ПАРАДИГМИ КРИМІНАЛЬНОГО ПРАВА»</w:t>
      </w:r>
    </w:p>
    <w:p w14:paraId="3E769CE6" w14:textId="77777777" w:rsidR="00751318" w:rsidRPr="00EC7086" w:rsidRDefault="00751318" w:rsidP="00DF00C7">
      <w:pPr>
        <w:ind w:firstLine="669"/>
        <w:jc w:val="center"/>
      </w:pPr>
    </w:p>
    <w:p w14:paraId="676DF3BA" w14:textId="35C0408A" w:rsidR="0091460A" w:rsidRDefault="0091460A" w:rsidP="00DF00C7">
      <w:pPr>
        <w:ind w:firstLine="669"/>
        <w:jc w:val="center"/>
      </w:pPr>
    </w:p>
    <w:p w14:paraId="2B78C414" w14:textId="5306F3DA" w:rsidR="00223C27" w:rsidRDefault="00223C27" w:rsidP="00DF00C7">
      <w:pPr>
        <w:ind w:firstLine="669"/>
        <w:jc w:val="center"/>
      </w:pPr>
    </w:p>
    <w:p w14:paraId="4CC5E210" w14:textId="5E7E60EB" w:rsidR="00223C27" w:rsidRDefault="00223C27" w:rsidP="00DF00C7">
      <w:pPr>
        <w:ind w:firstLine="669"/>
        <w:jc w:val="center"/>
      </w:pPr>
    </w:p>
    <w:p w14:paraId="315900CC" w14:textId="3E805B64" w:rsidR="00223C27" w:rsidRDefault="00223C27" w:rsidP="00DF00C7">
      <w:pPr>
        <w:ind w:firstLine="669"/>
        <w:jc w:val="center"/>
      </w:pPr>
    </w:p>
    <w:p w14:paraId="5D3ED787" w14:textId="4EDF4BD4" w:rsidR="00223C27" w:rsidRDefault="00223C27" w:rsidP="00DF00C7">
      <w:pPr>
        <w:ind w:firstLine="669"/>
        <w:jc w:val="center"/>
      </w:pPr>
    </w:p>
    <w:p w14:paraId="676CF288" w14:textId="59A14889" w:rsidR="00223C27" w:rsidRDefault="00223C27" w:rsidP="00DF00C7">
      <w:pPr>
        <w:ind w:firstLine="669"/>
        <w:jc w:val="center"/>
      </w:pPr>
    </w:p>
    <w:p w14:paraId="1B6896A6" w14:textId="166820D8" w:rsidR="00223C27" w:rsidRDefault="00223C27" w:rsidP="00DF00C7">
      <w:pPr>
        <w:ind w:firstLine="669"/>
        <w:jc w:val="center"/>
      </w:pPr>
    </w:p>
    <w:p w14:paraId="33C0BD56" w14:textId="042C4EEF" w:rsidR="00223C27" w:rsidRDefault="00223C27" w:rsidP="00DF00C7">
      <w:pPr>
        <w:ind w:firstLine="669"/>
        <w:jc w:val="center"/>
      </w:pPr>
    </w:p>
    <w:p w14:paraId="32DCCD43" w14:textId="5BBB6425" w:rsidR="00223C27" w:rsidRDefault="00223C27" w:rsidP="00DF00C7">
      <w:pPr>
        <w:ind w:firstLine="669"/>
        <w:jc w:val="center"/>
      </w:pPr>
    </w:p>
    <w:p w14:paraId="3EFDD35B" w14:textId="2AA223D3" w:rsidR="00223C27" w:rsidRDefault="00223C27" w:rsidP="00DF00C7">
      <w:pPr>
        <w:ind w:firstLine="669"/>
        <w:jc w:val="center"/>
      </w:pPr>
    </w:p>
    <w:p w14:paraId="2945205C" w14:textId="5BF72091" w:rsidR="00223C27" w:rsidRDefault="00223C27" w:rsidP="00DF00C7">
      <w:pPr>
        <w:ind w:firstLine="669"/>
        <w:jc w:val="center"/>
      </w:pPr>
    </w:p>
    <w:p w14:paraId="32A94EE4" w14:textId="2444501B" w:rsidR="00223C27" w:rsidRDefault="00223C27" w:rsidP="00DF00C7">
      <w:pPr>
        <w:ind w:firstLine="669"/>
        <w:jc w:val="center"/>
      </w:pPr>
    </w:p>
    <w:p w14:paraId="6BC1D607" w14:textId="063CA98E" w:rsidR="00223C27" w:rsidRDefault="00223C27" w:rsidP="00DF00C7">
      <w:pPr>
        <w:ind w:firstLine="669"/>
        <w:jc w:val="center"/>
      </w:pPr>
    </w:p>
    <w:p w14:paraId="60416C59" w14:textId="48E68246" w:rsidR="00223C27" w:rsidRDefault="00223C27" w:rsidP="00DF00C7">
      <w:pPr>
        <w:ind w:firstLine="669"/>
        <w:jc w:val="center"/>
      </w:pPr>
    </w:p>
    <w:p w14:paraId="4E209F81" w14:textId="5493FD2A" w:rsidR="00223C27" w:rsidRDefault="00223C27" w:rsidP="00DF00C7">
      <w:pPr>
        <w:ind w:firstLine="669"/>
        <w:jc w:val="center"/>
      </w:pPr>
    </w:p>
    <w:p w14:paraId="4C642446" w14:textId="38D08079" w:rsidR="00223C27" w:rsidRDefault="00223C27" w:rsidP="00DF00C7">
      <w:pPr>
        <w:ind w:firstLine="669"/>
        <w:jc w:val="center"/>
      </w:pPr>
    </w:p>
    <w:p w14:paraId="31DD8324" w14:textId="19FCC61C" w:rsidR="00223C27" w:rsidRDefault="00223C27" w:rsidP="00DF00C7">
      <w:pPr>
        <w:ind w:firstLine="669"/>
        <w:jc w:val="center"/>
      </w:pPr>
    </w:p>
    <w:p w14:paraId="1148E555" w14:textId="3492BA75" w:rsidR="00223C27" w:rsidRDefault="00223C27" w:rsidP="00DF00C7">
      <w:pPr>
        <w:ind w:firstLine="669"/>
        <w:jc w:val="center"/>
      </w:pPr>
    </w:p>
    <w:p w14:paraId="7C07E667" w14:textId="561EFDB2" w:rsidR="00223C27" w:rsidRDefault="00223C27" w:rsidP="00DF00C7">
      <w:pPr>
        <w:ind w:firstLine="669"/>
        <w:jc w:val="center"/>
      </w:pPr>
    </w:p>
    <w:p w14:paraId="7DF76E4D" w14:textId="184F7B9B" w:rsidR="00223C27" w:rsidRDefault="00223C27" w:rsidP="00DF00C7">
      <w:pPr>
        <w:ind w:firstLine="669"/>
        <w:jc w:val="center"/>
      </w:pPr>
    </w:p>
    <w:p w14:paraId="3C45B80F" w14:textId="59B2ED9E" w:rsidR="00223C27" w:rsidRDefault="00223C27" w:rsidP="00DF00C7">
      <w:pPr>
        <w:ind w:firstLine="669"/>
        <w:jc w:val="center"/>
      </w:pPr>
    </w:p>
    <w:p w14:paraId="40529BE4" w14:textId="3C335D55" w:rsidR="00223C27" w:rsidRDefault="00223C27" w:rsidP="00DF00C7">
      <w:pPr>
        <w:ind w:firstLine="669"/>
        <w:jc w:val="center"/>
      </w:pPr>
    </w:p>
    <w:p w14:paraId="1990681D" w14:textId="77777777" w:rsidR="00223C27" w:rsidRPr="00EC7086" w:rsidRDefault="00223C27" w:rsidP="00DF00C7">
      <w:pPr>
        <w:ind w:firstLine="669"/>
        <w:jc w:val="center"/>
      </w:pPr>
    </w:p>
    <w:p w14:paraId="3165CEB5" w14:textId="060F5AAA" w:rsidR="00223C27" w:rsidRDefault="00223C27" w:rsidP="00DF00C7">
      <w:pPr>
        <w:pStyle w:val="Default"/>
        <w:ind w:firstLine="669"/>
        <w:jc w:val="center"/>
        <w:rPr>
          <w:sz w:val="28"/>
          <w:szCs w:val="28"/>
          <w:lang w:val="uk-UA"/>
        </w:rPr>
      </w:pPr>
      <w:r>
        <w:rPr>
          <w:sz w:val="28"/>
          <w:szCs w:val="28"/>
          <w:lang w:val="uk-UA"/>
        </w:rPr>
        <w:t>Одеса – 202</w:t>
      </w:r>
      <w:r w:rsidR="00E47D2C">
        <w:rPr>
          <w:sz w:val="28"/>
          <w:szCs w:val="28"/>
          <w:lang w:val="uk-UA"/>
        </w:rPr>
        <w:t>3</w:t>
      </w:r>
    </w:p>
    <w:p w14:paraId="29B7BD03" w14:textId="77777777" w:rsidR="00223C27" w:rsidRDefault="00223C27" w:rsidP="00DF00C7">
      <w:pPr>
        <w:pStyle w:val="Default"/>
        <w:ind w:firstLine="669"/>
        <w:jc w:val="center"/>
        <w:rPr>
          <w:sz w:val="28"/>
          <w:szCs w:val="28"/>
          <w:lang w:val="uk-UA"/>
        </w:rPr>
      </w:pPr>
    </w:p>
    <w:p w14:paraId="4E6EF31F" w14:textId="5E0295AB" w:rsidR="0035042F" w:rsidRDefault="0035042F" w:rsidP="00DF00C7">
      <w:pPr>
        <w:ind w:firstLine="669"/>
        <w:jc w:val="left"/>
      </w:pPr>
      <w:r w:rsidRPr="00EC7086">
        <w:br w:type="page"/>
      </w:r>
    </w:p>
    <w:p w14:paraId="0A36D782" w14:textId="77777777" w:rsidR="00223C27" w:rsidRPr="009F5AE1" w:rsidRDefault="00223C27" w:rsidP="00DF00C7">
      <w:pPr>
        <w:pStyle w:val="Default"/>
        <w:ind w:firstLine="669"/>
        <w:rPr>
          <w:sz w:val="28"/>
          <w:szCs w:val="28"/>
          <w:lang w:val="uk-UA"/>
        </w:rPr>
      </w:pPr>
      <w:r w:rsidRPr="009F5AE1">
        <w:rPr>
          <w:b/>
          <w:sz w:val="28"/>
          <w:szCs w:val="28"/>
          <w:lang w:val="uk-UA"/>
        </w:rPr>
        <w:lastRenderedPageBreak/>
        <w:t xml:space="preserve">Автор: </w:t>
      </w:r>
    </w:p>
    <w:p w14:paraId="57DDA97B" w14:textId="1C2A3153" w:rsidR="00223C27" w:rsidRPr="009F5AE1" w:rsidRDefault="00223C27" w:rsidP="00D97D03">
      <w:pPr>
        <w:pStyle w:val="Default"/>
        <w:ind w:firstLine="669"/>
        <w:jc w:val="both"/>
        <w:rPr>
          <w:bCs/>
          <w:sz w:val="28"/>
          <w:szCs w:val="28"/>
          <w:lang w:val="uk-UA"/>
        </w:rPr>
      </w:pPr>
      <w:r w:rsidRPr="009F5AE1">
        <w:rPr>
          <w:b/>
          <w:sz w:val="28"/>
          <w:szCs w:val="28"/>
          <w:lang w:val="uk-UA"/>
        </w:rPr>
        <w:t xml:space="preserve">Туляков Вячеслав Олексійович – </w:t>
      </w:r>
      <w:r w:rsidRPr="009F5AE1">
        <w:rPr>
          <w:bCs/>
          <w:sz w:val="28"/>
          <w:szCs w:val="28"/>
          <w:lang w:val="uk-UA"/>
        </w:rPr>
        <w:t xml:space="preserve">член-кореспондент Національної академії правових наук України, заслужений діяч науки і техніки України, </w:t>
      </w:r>
      <w:r w:rsidRPr="009F5AE1">
        <w:rPr>
          <w:sz w:val="28"/>
          <w:szCs w:val="28"/>
          <w:lang w:val="uk-UA"/>
        </w:rPr>
        <w:t>доктор юридичних наук,</w:t>
      </w:r>
      <w:r w:rsidRPr="009F5AE1">
        <w:rPr>
          <w:b/>
          <w:bCs/>
          <w:sz w:val="28"/>
          <w:szCs w:val="28"/>
          <w:lang w:val="uk-UA"/>
        </w:rPr>
        <w:t xml:space="preserve"> </w:t>
      </w:r>
      <w:r w:rsidRPr="009F5AE1">
        <w:rPr>
          <w:bCs/>
          <w:sz w:val="28"/>
          <w:szCs w:val="28"/>
          <w:lang w:val="uk-UA"/>
        </w:rPr>
        <w:t>професор, професор кафедри кримінального права</w:t>
      </w:r>
      <w:r w:rsidR="008275D7">
        <w:rPr>
          <w:bCs/>
          <w:sz w:val="28"/>
          <w:szCs w:val="28"/>
          <w:lang w:val="uk-UA"/>
        </w:rPr>
        <w:t xml:space="preserve"> Національного університету «Одеська юридична академія»</w:t>
      </w:r>
      <w:r w:rsidR="00D97D03" w:rsidRPr="009F5AE1">
        <w:rPr>
          <w:bCs/>
          <w:sz w:val="28"/>
          <w:szCs w:val="28"/>
          <w:lang w:val="uk-UA"/>
        </w:rPr>
        <w:t xml:space="preserve">, професор дослідник Інституту Європейського та Міжнародного кримінального права Університету Кастілья-Ла Манчі, суддя </w:t>
      </w:r>
      <w:r w:rsidR="00D97D03" w:rsidRPr="009F5AE1">
        <w:rPr>
          <w:bCs/>
          <w:sz w:val="28"/>
          <w:szCs w:val="28"/>
          <w:lang w:val="en-US"/>
        </w:rPr>
        <w:t>ad</w:t>
      </w:r>
      <w:r w:rsidR="00D97D03" w:rsidRPr="009F5AE1">
        <w:rPr>
          <w:bCs/>
          <w:sz w:val="28"/>
          <w:szCs w:val="28"/>
          <w:lang w:val="uk-UA"/>
        </w:rPr>
        <w:t xml:space="preserve"> </w:t>
      </w:r>
      <w:r w:rsidR="00D97D03" w:rsidRPr="009F5AE1">
        <w:rPr>
          <w:bCs/>
          <w:sz w:val="28"/>
          <w:szCs w:val="28"/>
          <w:lang w:val="en-US"/>
        </w:rPr>
        <w:t>hoc</w:t>
      </w:r>
      <w:r w:rsidR="00D97D03" w:rsidRPr="009F5AE1">
        <w:rPr>
          <w:bCs/>
          <w:sz w:val="28"/>
          <w:szCs w:val="28"/>
          <w:lang w:val="uk-UA"/>
        </w:rPr>
        <w:t xml:space="preserve"> Європейського суду з прав людини по справам на користь України.</w:t>
      </w:r>
    </w:p>
    <w:p w14:paraId="6383BE24" w14:textId="77777777" w:rsidR="009F5AE1" w:rsidRDefault="009F5AE1" w:rsidP="00DF00C7">
      <w:pPr>
        <w:ind w:firstLine="669"/>
        <w:jc w:val="left"/>
      </w:pPr>
    </w:p>
    <w:p w14:paraId="00C99979" w14:textId="2EE35D6C" w:rsidR="00223C27" w:rsidRPr="009F5AE1" w:rsidRDefault="00C17788" w:rsidP="00DF00C7">
      <w:pPr>
        <w:ind w:firstLine="669"/>
        <w:jc w:val="left"/>
        <w:rPr>
          <w:b/>
          <w:bCs/>
          <w:lang w:val="ru-RU"/>
        </w:rPr>
      </w:pPr>
      <w:r w:rsidRPr="009F5AE1">
        <w:rPr>
          <w:b/>
          <w:bCs/>
          <w:lang w:val="ru-RU"/>
        </w:rPr>
        <w:t>Рецензенти</w:t>
      </w:r>
    </w:p>
    <w:p w14:paraId="101FCC0A" w14:textId="77777777" w:rsidR="009F5AE1" w:rsidRDefault="009F5AE1" w:rsidP="009F5AE1">
      <w:pPr>
        <w:rPr>
          <w:b/>
          <w:bCs/>
        </w:rPr>
      </w:pPr>
    </w:p>
    <w:p w14:paraId="0A7CFF33" w14:textId="2F4F4BE8" w:rsidR="009F5AE1" w:rsidRPr="009F5AE1" w:rsidRDefault="009F5AE1" w:rsidP="009F5AE1">
      <w:pPr>
        <w:rPr>
          <w:b/>
          <w:bCs/>
        </w:rPr>
      </w:pPr>
      <w:r w:rsidRPr="009F5AE1">
        <w:rPr>
          <w:b/>
          <w:bCs/>
        </w:rPr>
        <w:t xml:space="preserve">Шаблистий Володимир Вікторович, </w:t>
      </w:r>
    </w:p>
    <w:p w14:paraId="40CC1DC6" w14:textId="6332BAC3" w:rsidR="009F5AE1" w:rsidRPr="009F5AE1" w:rsidRDefault="009F5AE1" w:rsidP="009F5AE1">
      <w:r w:rsidRPr="009F5AE1">
        <w:t xml:space="preserve">завідувач кафедри кримінально-правових дисциплін навчально-наукового інституту права та інноваційної освіти Дніпропетровського державного університету внутрішніх справ, доктор юридичних наук, професор </w:t>
      </w:r>
    </w:p>
    <w:p w14:paraId="76053C2F" w14:textId="35CFAFBE" w:rsidR="00C17788" w:rsidRPr="009F5AE1" w:rsidRDefault="009F5AE1" w:rsidP="009F5AE1">
      <w:pPr>
        <w:ind w:firstLine="669"/>
        <w:rPr>
          <w:lang w:val="ru-RU"/>
        </w:rPr>
      </w:pPr>
      <w:r w:rsidRPr="009F5AE1">
        <w:rPr>
          <w:b/>
          <w:bCs/>
        </w:rPr>
        <w:t>Козаченко Олександр Васильович</w:t>
      </w:r>
      <w:r w:rsidRPr="009F5AE1">
        <w:t>, в</w:t>
      </w:r>
      <w:r w:rsidR="008275D7">
        <w:t>.</w:t>
      </w:r>
      <w:r w:rsidRPr="009F5AE1">
        <w:t>о. Директора Миколаівського навчально-наукового Інституту права Національного університету «Одеська юридична академія»</w:t>
      </w:r>
      <w:r>
        <w:t xml:space="preserve">, </w:t>
      </w:r>
      <w:r>
        <w:rPr>
          <w:lang w:val="ru-RU"/>
        </w:rPr>
        <w:t>д</w:t>
      </w:r>
      <w:r w:rsidR="00C17788" w:rsidRPr="009F5AE1">
        <w:rPr>
          <w:lang w:val="ru-RU"/>
        </w:rPr>
        <w:t>октор юридичних наук, професор</w:t>
      </w:r>
    </w:p>
    <w:p w14:paraId="74466E30" w14:textId="374ADF8D" w:rsidR="00751318" w:rsidRPr="009F5AE1" w:rsidRDefault="00751318" w:rsidP="00DF00C7">
      <w:pPr>
        <w:ind w:firstLine="669"/>
        <w:jc w:val="center"/>
      </w:pPr>
      <w:r w:rsidRPr="009F5AE1">
        <w:t xml:space="preserve">                                                                         </w:t>
      </w:r>
    </w:p>
    <w:p w14:paraId="4CFE258B" w14:textId="77777777" w:rsidR="00751318" w:rsidRPr="009F5AE1" w:rsidRDefault="00751318" w:rsidP="00DF00C7">
      <w:pPr>
        <w:ind w:firstLine="669"/>
        <w:jc w:val="center"/>
      </w:pPr>
    </w:p>
    <w:p w14:paraId="24510B93" w14:textId="22AA0361" w:rsidR="005C36AD" w:rsidRPr="009F5AE1" w:rsidRDefault="00751318" w:rsidP="00CB4B9D">
      <w:pPr>
        <w:pStyle w:val="Default"/>
        <w:ind w:firstLine="669"/>
        <w:jc w:val="center"/>
        <w:rPr>
          <w:b/>
          <w:sz w:val="28"/>
          <w:szCs w:val="28"/>
        </w:rPr>
      </w:pPr>
      <w:r w:rsidRPr="009F5AE1">
        <w:rPr>
          <w:b/>
          <w:sz w:val="28"/>
          <w:szCs w:val="28"/>
        </w:rPr>
        <w:t xml:space="preserve">Затверджено на засіданні </w:t>
      </w:r>
      <w:r w:rsidR="005C36AD" w:rsidRPr="009F5AE1">
        <w:rPr>
          <w:b/>
          <w:sz w:val="28"/>
          <w:szCs w:val="28"/>
        </w:rPr>
        <w:t xml:space="preserve">кафедри </w:t>
      </w:r>
      <w:r w:rsidR="004F2340" w:rsidRPr="009F5AE1">
        <w:rPr>
          <w:b/>
          <w:sz w:val="28"/>
          <w:szCs w:val="28"/>
        </w:rPr>
        <w:t>кримінального права</w:t>
      </w:r>
    </w:p>
    <w:p w14:paraId="5435C604" w14:textId="799BF947" w:rsidR="00751318" w:rsidRPr="009F5AE1" w:rsidRDefault="00751318" w:rsidP="00CB4B9D">
      <w:pPr>
        <w:pStyle w:val="Default"/>
        <w:ind w:firstLine="669"/>
        <w:jc w:val="center"/>
        <w:rPr>
          <w:b/>
          <w:sz w:val="28"/>
          <w:szCs w:val="28"/>
        </w:rPr>
      </w:pPr>
      <w:r w:rsidRPr="009F5AE1">
        <w:rPr>
          <w:b/>
          <w:sz w:val="28"/>
          <w:szCs w:val="28"/>
        </w:rPr>
        <w:t>(протокол №</w:t>
      </w:r>
      <w:r w:rsidR="00E47D2C" w:rsidRPr="009F5AE1">
        <w:rPr>
          <w:b/>
          <w:sz w:val="28"/>
          <w:szCs w:val="28"/>
          <w:lang w:val="uk-UA"/>
        </w:rPr>
        <w:t xml:space="preserve"> </w:t>
      </w:r>
      <w:r w:rsidR="009F5AE1" w:rsidRPr="009F5AE1">
        <w:rPr>
          <w:b/>
          <w:sz w:val="28"/>
          <w:szCs w:val="28"/>
          <w:lang w:val="uk-UA"/>
        </w:rPr>
        <w:t xml:space="preserve"> 2 </w:t>
      </w:r>
      <w:r w:rsidRPr="009F5AE1">
        <w:rPr>
          <w:b/>
          <w:sz w:val="28"/>
          <w:szCs w:val="28"/>
        </w:rPr>
        <w:t xml:space="preserve">від </w:t>
      </w:r>
      <w:r w:rsidR="00E47D2C" w:rsidRPr="009F5AE1">
        <w:rPr>
          <w:b/>
          <w:sz w:val="28"/>
          <w:szCs w:val="28"/>
          <w:lang w:val="uk-UA"/>
        </w:rPr>
        <w:t xml:space="preserve">05.10.2023 </w:t>
      </w:r>
      <w:r w:rsidRPr="009F5AE1">
        <w:rPr>
          <w:b/>
          <w:sz w:val="28"/>
          <w:szCs w:val="28"/>
        </w:rPr>
        <w:t>р.)</w:t>
      </w:r>
    </w:p>
    <w:p w14:paraId="66FBCC00" w14:textId="77777777" w:rsidR="007B0E44" w:rsidRPr="009F5AE1" w:rsidRDefault="007B0E44" w:rsidP="00DF00C7">
      <w:pPr>
        <w:ind w:left="567" w:firstLine="669"/>
      </w:pPr>
    </w:p>
    <w:p w14:paraId="4F4CD9A8" w14:textId="1C3B58EF" w:rsidR="007B0E44" w:rsidRPr="009F5AE1" w:rsidRDefault="007B0E44" w:rsidP="00DF00C7">
      <w:pPr>
        <w:pStyle w:val="Default"/>
        <w:ind w:firstLine="669"/>
        <w:jc w:val="center"/>
        <w:rPr>
          <w:b/>
          <w:sz w:val="28"/>
          <w:szCs w:val="28"/>
        </w:rPr>
      </w:pPr>
      <w:r w:rsidRPr="009F5AE1">
        <w:rPr>
          <w:b/>
          <w:sz w:val="28"/>
          <w:szCs w:val="28"/>
        </w:rPr>
        <w:t xml:space="preserve">Рекомендовано до друку </w:t>
      </w:r>
    </w:p>
    <w:p w14:paraId="2DFA6976" w14:textId="502256F9" w:rsidR="00751318" w:rsidRPr="009F5AE1" w:rsidRDefault="007B0E44" w:rsidP="00DF00C7">
      <w:pPr>
        <w:pStyle w:val="Default"/>
        <w:ind w:firstLine="669"/>
        <w:jc w:val="center"/>
        <w:rPr>
          <w:b/>
          <w:sz w:val="28"/>
          <w:szCs w:val="28"/>
          <w:lang w:val="uk-UA"/>
        </w:rPr>
      </w:pPr>
      <w:r w:rsidRPr="009F5AE1">
        <w:rPr>
          <w:b/>
          <w:sz w:val="28"/>
          <w:szCs w:val="28"/>
        </w:rPr>
        <w:t xml:space="preserve">Навчально-методичною радою Національного університету «Одеська юридична академія» </w:t>
      </w:r>
    </w:p>
    <w:p w14:paraId="53479ACB" w14:textId="7D0A44D8" w:rsidR="004812D2" w:rsidRPr="009F5AE1" w:rsidRDefault="004812D2" w:rsidP="00DF00C7">
      <w:pPr>
        <w:pStyle w:val="Default"/>
        <w:ind w:firstLine="669"/>
        <w:jc w:val="center"/>
        <w:rPr>
          <w:b/>
          <w:sz w:val="28"/>
          <w:szCs w:val="28"/>
          <w:lang w:val="uk-UA"/>
        </w:rPr>
      </w:pPr>
    </w:p>
    <w:p w14:paraId="0E001047" w14:textId="337D265F" w:rsidR="004812D2" w:rsidRPr="009F5AE1" w:rsidRDefault="004812D2" w:rsidP="00DF00C7">
      <w:pPr>
        <w:pStyle w:val="Default"/>
        <w:ind w:firstLine="669"/>
        <w:jc w:val="center"/>
        <w:rPr>
          <w:b/>
          <w:sz w:val="28"/>
          <w:szCs w:val="28"/>
          <w:lang w:val="uk-UA"/>
        </w:rPr>
      </w:pPr>
    </w:p>
    <w:p w14:paraId="6335D54A" w14:textId="23445C5D" w:rsidR="004812D2" w:rsidRPr="009F5AE1" w:rsidRDefault="004812D2" w:rsidP="00DF00C7">
      <w:pPr>
        <w:pStyle w:val="Default"/>
        <w:ind w:firstLine="669"/>
        <w:jc w:val="center"/>
        <w:rPr>
          <w:b/>
          <w:sz w:val="28"/>
          <w:szCs w:val="28"/>
          <w:lang w:val="uk-UA"/>
        </w:rPr>
      </w:pPr>
    </w:p>
    <w:p w14:paraId="10982585" w14:textId="37E4089A" w:rsidR="004812D2" w:rsidRPr="009F5AE1" w:rsidRDefault="004812D2" w:rsidP="00DF00C7">
      <w:pPr>
        <w:pStyle w:val="Default"/>
        <w:ind w:firstLine="669"/>
        <w:jc w:val="center"/>
        <w:rPr>
          <w:b/>
          <w:sz w:val="28"/>
          <w:szCs w:val="28"/>
          <w:lang w:val="uk-UA"/>
        </w:rPr>
      </w:pPr>
    </w:p>
    <w:p w14:paraId="191D22FF" w14:textId="0DD449CF" w:rsidR="004812D2" w:rsidRPr="009F5AE1" w:rsidRDefault="004812D2" w:rsidP="00DF00C7">
      <w:pPr>
        <w:pStyle w:val="Default"/>
        <w:ind w:firstLine="669"/>
        <w:jc w:val="center"/>
        <w:rPr>
          <w:b/>
          <w:sz w:val="28"/>
          <w:szCs w:val="28"/>
          <w:lang w:val="uk-UA"/>
        </w:rPr>
      </w:pPr>
    </w:p>
    <w:p w14:paraId="24205461" w14:textId="0751E056" w:rsidR="004812D2" w:rsidRPr="009F5AE1" w:rsidRDefault="004812D2" w:rsidP="00DF00C7">
      <w:pPr>
        <w:pStyle w:val="Default"/>
        <w:ind w:firstLine="669"/>
        <w:jc w:val="center"/>
        <w:rPr>
          <w:b/>
          <w:sz w:val="28"/>
          <w:szCs w:val="28"/>
          <w:lang w:val="uk-UA"/>
        </w:rPr>
      </w:pPr>
    </w:p>
    <w:p w14:paraId="175045EC" w14:textId="3E09FD62" w:rsidR="004812D2" w:rsidRPr="009F5AE1" w:rsidRDefault="004812D2" w:rsidP="00DF00C7">
      <w:pPr>
        <w:ind w:firstLine="669"/>
        <w:rPr>
          <w:bCs/>
        </w:rPr>
      </w:pPr>
      <w:r w:rsidRPr="009F5AE1">
        <w:rPr>
          <w:b/>
        </w:rPr>
        <w:t>Туляков В. О.</w:t>
      </w:r>
      <w:r w:rsidRPr="009F5AE1">
        <w:rPr>
          <w:bCs/>
        </w:rPr>
        <w:t xml:space="preserve"> Парадигми кримінального права</w:t>
      </w:r>
      <w:r w:rsidR="00B156AC" w:rsidRPr="009F5AE1">
        <w:rPr>
          <w:bCs/>
        </w:rPr>
        <w:t xml:space="preserve"> : </w:t>
      </w:r>
      <w:r w:rsidR="00B156AC" w:rsidRPr="009F5AE1">
        <w:t xml:space="preserve">навчально-методичний посібник </w:t>
      </w:r>
      <w:r w:rsidRPr="009F5AE1">
        <w:rPr>
          <w:bCs/>
        </w:rPr>
        <w:t>/ В.</w:t>
      </w:r>
      <w:r w:rsidR="00B156AC" w:rsidRPr="009F5AE1">
        <w:rPr>
          <w:bCs/>
        </w:rPr>
        <w:t> </w:t>
      </w:r>
      <w:r w:rsidRPr="009F5AE1">
        <w:rPr>
          <w:bCs/>
        </w:rPr>
        <w:t>О. Туляков. – Одеса : НУ «ОЮА», 202</w:t>
      </w:r>
      <w:r w:rsidR="00E47D2C" w:rsidRPr="009F5AE1">
        <w:rPr>
          <w:bCs/>
        </w:rPr>
        <w:t>3</w:t>
      </w:r>
      <w:r w:rsidRPr="009F5AE1">
        <w:rPr>
          <w:bCs/>
        </w:rPr>
        <w:t xml:space="preserve">. – </w:t>
      </w:r>
      <w:r w:rsidR="00CB4B9D" w:rsidRPr="009F5AE1">
        <w:rPr>
          <w:bCs/>
        </w:rPr>
        <w:t>7</w:t>
      </w:r>
      <w:r w:rsidR="00D83123">
        <w:rPr>
          <w:bCs/>
        </w:rPr>
        <w:t>0</w:t>
      </w:r>
      <w:r w:rsidRPr="009F5AE1">
        <w:rPr>
          <w:bCs/>
        </w:rPr>
        <w:t xml:space="preserve"> с. </w:t>
      </w:r>
      <w:r w:rsidR="009F5AE1" w:rsidRPr="009F5AE1">
        <w:rPr>
          <w:bCs/>
        </w:rPr>
        <w:t>Навчально-методичний посібник для здобувачів третього освітньо-наукового рівня за фахом «Право» спеціалізації «Кримінальна юстиція» присвячений аналізу основних характеристик розвитку ідей та засобів кримінально-правового впливу на злочинність</w:t>
      </w:r>
      <w:r w:rsidR="008275D7">
        <w:rPr>
          <w:bCs/>
        </w:rPr>
        <w:t xml:space="preserve"> з метою оволодіння здобувачами методологією досліджень кримінально-правової, процесуальної та профілактичної форми</w:t>
      </w:r>
      <w:r w:rsidR="009F5AE1" w:rsidRPr="009F5AE1">
        <w:rPr>
          <w:bCs/>
        </w:rPr>
        <w:t xml:space="preserve">. </w:t>
      </w:r>
    </w:p>
    <w:p w14:paraId="4B2F65D8" w14:textId="77777777" w:rsidR="005C36AD" w:rsidRPr="009F5AE1" w:rsidRDefault="005C36AD" w:rsidP="00DF00C7">
      <w:pPr>
        <w:ind w:firstLine="669"/>
      </w:pPr>
    </w:p>
    <w:p w14:paraId="675F22C8" w14:textId="39ECA124" w:rsidR="00C70CFD" w:rsidRPr="009F5AE1" w:rsidRDefault="00C70CFD" w:rsidP="00DF00C7">
      <w:pPr>
        <w:ind w:firstLine="669"/>
      </w:pPr>
    </w:p>
    <w:p w14:paraId="45EEC549" w14:textId="74135357" w:rsidR="0090546D" w:rsidRPr="009F5AE1" w:rsidRDefault="0090546D" w:rsidP="00DF00C7">
      <w:pPr>
        <w:ind w:firstLine="669"/>
      </w:pPr>
    </w:p>
    <w:p w14:paraId="247117EF" w14:textId="21AFF1E2" w:rsidR="0090546D" w:rsidRPr="009F5AE1" w:rsidRDefault="0090546D" w:rsidP="00DF00C7">
      <w:pPr>
        <w:ind w:firstLine="669"/>
      </w:pPr>
    </w:p>
    <w:p w14:paraId="75DF3E92" w14:textId="10704E38" w:rsidR="0090546D" w:rsidRPr="009F5AE1" w:rsidRDefault="0090546D" w:rsidP="00DF00C7">
      <w:pPr>
        <w:ind w:firstLine="669"/>
      </w:pPr>
    </w:p>
    <w:p w14:paraId="3F757277" w14:textId="17B51AF2" w:rsidR="0090546D" w:rsidRPr="009F5AE1" w:rsidRDefault="0090546D" w:rsidP="00DF00C7">
      <w:pPr>
        <w:ind w:firstLine="669"/>
      </w:pPr>
    </w:p>
    <w:p w14:paraId="64D60FE1" w14:textId="7A6D4DF2" w:rsidR="0035042F" w:rsidRPr="009F5AE1" w:rsidRDefault="0090546D" w:rsidP="00D97D03">
      <w:pPr>
        <w:ind w:firstLine="0"/>
      </w:pPr>
      <w:r w:rsidRPr="009F5AE1">
        <w:t>© Туляков В. О., 202</w:t>
      </w:r>
      <w:r w:rsidR="00E47D2C" w:rsidRPr="009F5AE1">
        <w:t>3</w:t>
      </w:r>
      <w:r w:rsidR="0035042F" w:rsidRPr="009F5AE1">
        <w:br w:type="page"/>
      </w:r>
    </w:p>
    <w:p w14:paraId="2A2BA7F6" w14:textId="77777777" w:rsidR="0090546D" w:rsidRPr="00EC7086" w:rsidRDefault="0090546D" w:rsidP="00DF00C7">
      <w:pPr>
        <w:ind w:firstLine="669"/>
        <w:jc w:val="left"/>
      </w:pPr>
    </w:p>
    <w:p w14:paraId="56537366" w14:textId="46CDDDE0" w:rsidR="00751318" w:rsidRPr="00EC7086" w:rsidRDefault="0035042F" w:rsidP="00DF00C7">
      <w:pPr>
        <w:ind w:firstLine="669"/>
        <w:jc w:val="center"/>
        <w:rPr>
          <w:b/>
          <w:bCs/>
          <w:sz w:val="40"/>
          <w:szCs w:val="40"/>
        </w:rPr>
      </w:pPr>
      <w:r w:rsidRPr="00EC7086">
        <w:rPr>
          <w:b/>
          <w:bCs/>
          <w:sz w:val="40"/>
          <w:szCs w:val="40"/>
        </w:rPr>
        <w:t>Зміст</w:t>
      </w:r>
    </w:p>
    <w:p w14:paraId="62C5AEF8" w14:textId="54D63CB4" w:rsidR="0035042F" w:rsidRPr="00EC7086" w:rsidRDefault="0035042F" w:rsidP="00DF00C7">
      <w:pPr>
        <w:ind w:firstLine="669"/>
      </w:pPr>
    </w:p>
    <w:sdt>
      <w:sdtPr>
        <w:rPr>
          <w:rFonts w:ascii="Times New Roman" w:eastAsia="Times New Roman" w:hAnsi="Times New Roman" w:cs="Times New Roman"/>
          <w:color w:val="auto"/>
          <w:sz w:val="28"/>
          <w:szCs w:val="28"/>
          <w:lang w:val="uk-UA"/>
        </w:rPr>
        <w:id w:val="25918347"/>
        <w:docPartObj>
          <w:docPartGallery w:val="Table of Contents"/>
          <w:docPartUnique/>
        </w:docPartObj>
      </w:sdtPr>
      <w:sdtEndPr>
        <w:rPr>
          <w:b/>
          <w:bCs/>
        </w:rPr>
      </w:sdtEndPr>
      <w:sdtContent>
        <w:p w14:paraId="4ED07626" w14:textId="57714A0F" w:rsidR="003E1286" w:rsidRDefault="003E1286" w:rsidP="00DF00C7">
          <w:pPr>
            <w:pStyle w:val="af9"/>
            <w:ind w:firstLine="669"/>
          </w:pPr>
        </w:p>
        <w:p w14:paraId="2EFD3156" w14:textId="08AA8359" w:rsidR="008275D7" w:rsidRDefault="003E1286">
          <w:pPr>
            <w:pStyle w:val="11"/>
            <w:rPr>
              <w:rFonts w:asciiTheme="minorHAnsi" w:eastAsiaTheme="minorEastAsia" w:hAnsiTheme="minorHAnsi" w:cstheme="minorBidi"/>
              <w:noProof/>
              <w:kern w:val="2"/>
              <w:sz w:val="24"/>
              <w:szCs w:val="24"/>
              <w14:ligatures w14:val="standardContextual"/>
            </w:rPr>
          </w:pPr>
          <w:r>
            <w:fldChar w:fldCharType="begin"/>
          </w:r>
          <w:r>
            <w:instrText xml:space="preserve"> TOC \o "1-3" \h \z \u </w:instrText>
          </w:r>
          <w:r>
            <w:fldChar w:fldCharType="separate"/>
          </w:r>
          <w:hyperlink w:anchor="_Toc147652527" w:history="1">
            <w:r w:rsidR="008275D7" w:rsidRPr="00E44134">
              <w:rPr>
                <w:rStyle w:val="a6"/>
                <w:noProof/>
              </w:rPr>
              <w:t>ВСТУП</w:t>
            </w:r>
            <w:r w:rsidR="008275D7">
              <w:rPr>
                <w:noProof/>
                <w:webHidden/>
              </w:rPr>
              <w:tab/>
            </w:r>
            <w:r w:rsidR="008275D7">
              <w:rPr>
                <w:noProof/>
                <w:webHidden/>
              </w:rPr>
              <w:fldChar w:fldCharType="begin"/>
            </w:r>
            <w:r w:rsidR="008275D7">
              <w:rPr>
                <w:noProof/>
                <w:webHidden/>
              </w:rPr>
              <w:instrText xml:space="preserve"> PAGEREF _Toc147652527 \h </w:instrText>
            </w:r>
            <w:r w:rsidR="008275D7">
              <w:rPr>
                <w:noProof/>
                <w:webHidden/>
              </w:rPr>
            </w:r>
            <w:r w:rsidR="008275D7">
              <w:rPr>
                <w:noProof/>
                <w:webHidden/>
              </w:rPr>
              <w:fldChar w:fldCharType="separate"/>
            </w:r>
            <w:r w:rsidR="008275D7">
              <w:rPr>
                <w:noProof/>
                <w:webHidden/>
              </w:rPr>
              <w:t>4</w:t>
            </w:r>
            <w:r w:rsidR="008275D7">
              <w:rPr>
                <w:noProof/>
                <w:webHidden/>
              </w:rPr>
              <w:fldChar w:fldCharType="end"/>
            </w:r>
          </w:hyperlink>
        </w:p>
        <w:p w14:paraId="425A8DC1" w14:textId="26B88E8E" w:rsidR="008275D7" w:rsidRDefault="005136FB">
          <w:pPr>
            <w:pStyle w:val="11"/>
            <w:rPr>
              <w:rFonts w:asciiTheme="minorHAnsi" w:eastAsiaTheme="minorEastAsia" w:hAnsiTheme="minorHAnsi" w:cstheme="minorBidi"/>
              <w:noProof/>
              <w:kern w:val="2"/>
              <w:sz w:val="24"/>
              <w:szCs w:val="24"/>
              <w14:ligatures w14:val="standardContextual"/>
            </w:rPr>
          </w:pPr>
          <w:hyperlink w:anchor="_Toc147652528" w:history="1">
            <w:r w:rsidR="008275D7" w:rsidRPr="00E44134">
              <w:rPr>
                <w:rStyle w:val="a6"/>
                <w:noProof/>
              </w:rPr>
              <w:t>1.</w:t>
            </w:r>
            <w:r w:rsidR="008275D7">
              <w:rPr>
                <w:rFonts w:asciiTheme="minorHAnsi" w:eastAsiaTheme="minorEastAsia" w:hAnsiTheme="minorHAnsi" w:cstheme="minorBidi"/>
                <w:noProof/>
                <w:kern w:val="2"/>
                <w:sz w:val="24"/>
                <w:szCs w:val="24"/>
                <w14:ligatures w14:val="standardContextual"/>
              </w:rPr>
              <w:tab/>
            </w:r>
            <w:r w:rsidR="008275D7" w:rsidRPr="00E44134">
              <w:rPr>
                <w:rStyle w:val="a6"/>
                <w:noProof/>
              </w:rPr>
              <w:t>Поняття автономності методології кримінально-правової науки у піднесенні до Європейських стандартів</w:t>
            </w:r>
            <w:r w:rsidR="008275D7">
              <w:rPr>
                <w:noProof/>
                <w:webHidden/>
              </w:rPr>
              <w:tab/>
            </w:r>
            <w:r w:rsidR="008275D7">
              <w:rPr>
                <w:noProof/>
                <w:webHidden/>
              </w:rPr>
              <w:fldChar w:fldCharType="begin"/>
            </w:r>
            <w:r w:rsidR="008275D7">
              <w:rPr>
                <w:noProof/>
                <w:webHidden/>
              </w:rPr>
              <w:instrText xml:space="preserve"> PAGEREF _Toc147652528 \h </w:instrText>
            </w:r>
            <w:r w:rsidR="008275D7">
              <w:rPr>
                <w:noProof/>
                <w:webHidden/>
              </w:rPr>
            </w:r>
            <w:r w:rsidR="008275D7">
              <w:rPr>
                <w:noProof/>
                <w:webHidden/>
              </w:rPr>
              <w:fldChar w:fldCharType="separate"/>
            </w:r>
            <w:r w:rsidR="008275D7">
              <w:rPr>
                <w:noProof/>
                <w:webHidden/>
              </w:rPr>
              <w:t>6</w:t>
            </w:r>
            <w:r w:rsidR="008275D7">
              <w:rPr>
                <w:noProof/>
                <w:webHidden/>
              </w:rPr>
              <w:fldChar w:fldCharType="end"/>
            </w:r>
          </w:hyperlink>
        </w:p>
        <w:p w14:paraId="26FCF2F7" w14:textId="74813219" w:rsidR="008275D7" w:rsidRDefault="005136FB">
          <w:pPr>
            <w:pStyle w:val="11"/>
            <w:rPr>
              <w:rFonts w:asciiTheme="minorHAnsi" w:eastAsiaTheme="minorEastAsia" w:hAnsiTheme="minorHAnsi" w:cstheme="minorBidi"/>
              <w:noProof/>
              <w:kern w:val="2"/>
              <w:sz w:val="24"/>
              <w:szCs w:val="24"/>
              <w14:ligatures w14:val="standardContextual"/>
            </w:rPr>
          </w:pPr>
          <w:hyperlink w:anchor="_Toc147652529" w:history="1">
            <w:r w:rsidR="008275D7" w:rsidRPr="00E44134">
              <w:rPr>
                <w:rStyle w:val="a6"/>
                <w:noProof/>
              </w:rPr>
              <w:t>2.</w:t>
            </w:r>
            <w:r w:rsidR="008275D7">
              <w:rPr>
                <w:rFonts w:asciiTheme="minorHAnsi" w:eastAsiaTheme="minorEastAsia" w:hAnsiTheme="minorHAnsi" w:cstheme="minorBidi"/>
                <w:noProof/>
                <w:kern w:val="2"/>
                <w:sz w:val="24"/>
                <w:szCs w:val="24"/>
                <w14:ligatures w14:val="standardContextual"/>
              </w:rPr>
              <w:tab/>
            </w:r>
            <w:r w:rsidR="008275D7" w:rsidRPr="00E44134">
              <w:rPr>
                <w:rStyle w:val="a6"/>
                <w:noProof/>
              </w:rPr>
              <w:t>Витоки кримінального права: цивілізаційний підхід</w:t>
            </w:r>
            <w:r w:rsidR="008275D7">
              <w:rPr>
                <w:noProof/>
                <w:webHidden/>
              </w:rPr>
              <w:tab/>
            </w:r>
            <w:r w:rsidR="008275D7">
              <w:rPr>
                <w:noProof/>
                <w:webHidden/>
              </w:rPr>
              <w:fldChar w:fldCharType="begin"/>
            </w:r>
            <w:r w:rsidR="008275D7">
              <w:rPr>
                <w:noProof/>
                <w:webHidden/>
              </w:rPr>
              <w:instrText xml:space="preserve"> PAGEREF _Toc147652529 \h </w:instrText>
            </w:r>
            <w:r w:rsidR="008275D7">
              <w:rPr>
                <w:noProof/>
                <w:webHidden/>
              </w:rPr>
            </w:r>
            <w:r w:rsidR="008275D7">
              <w:rPr>
                <w:noProof/>
                <w:webHidden/>
              </w:rPr>
              <w:fldChar w:fldCharType="separate"/>
            </w:r>
            <w:r w:rsidR="008275D7">
              <w:rPr>
                <w:noProof/>
                <w:webHidden/>
              </w:rPr>
              <w:t>23</w:t>
            </w:r>
            <w:r w:rsidR="008275D7">
              <w:rPr>
                <w:noProof/>
                <w:webHidden/>
              </w:rPr>
              <w:fldChar w:fldCharType="end"/>
            </w:r>
          </w:hyperlink>
        </w:p>
        <w:p w14:paraId="5101BD01" w14:textId="40C39D6A" w:rsidR="008275D7" w:rsidRDefault="005136FB">
          <w:pPr>
            <w:pStyle w:val="11"/>
            <w:rPr>
              <w:rFonts w:asciiTheme="minorHAnsi" w:eastAsiaTheme="minorEastAsia" w:hAnsiTheme="minorHAnsi" w:cstheme="minorBidi"/>
              <w:noProof/>
              <w:kern w:val="2"/>
              <w:sz w:val="24"/>
              <w:szCs w:val="24"/>
              <w14:ligatures w14:val="standardContextual"/>
            </w:rPr>
          </w:pPr>
          <w:hyperlink w:anchor="_Toc147652530" w:history="1">
            <w:r w:rsidR="008275D7" w:rsidRPr="00E44134">
              <w:rPr>
                <w:rStyle w:val="a6"/>
                <w:noProof/>
              </w:rPr>
              <w:t>3.</w:t>
            </w:r>
            <w:r w:rsidR="008275D7">
              <w:rPr>
                <w:rFonts w:asciiTheme="minorHAnsi" w:eastAsiaTheme="minorEastAsia" w:hAnsiTheme="minorHAnsi" w:cstheme="minorBidi"/>
                <w:noProof/>
                <w:kern w:val="2"/>
                <w:sz w:val="24"/>
                <w:szCs w:val="24"/>
                <w14:ligatures w14:val="standardContextual"/>
              </w:rPr>
              <w:tab/>
            </w:r>
            <w:r w:rsidR="008275D7" w:rsidRPr="00E44134">
              <w:rPr>
                <w:rStyle w:val="a6"/>
                <w:noProof/>
              </w:rPr>
              <w:t>Школи кримінального права: від класицизму до постмодерну</w:t>
            </w:r>
            <w:r w:rsidR="008275D7">
              <w:rPr>
                <w:noProof/>
                <w:webHidden/>
              </w:rPr>
              <w:tab/>
            </w:r>
            <w:r w:rsidR="008275D7">
              <w:rPr>
                <w:noProof/>
                <w:webHidden/>
              </w:rPr>
              <w:fldChar w:fldCharType="begin"/>
            </w:r>
            <w:r w:rsidR="008275D7">
              <w:rPr>
                <w:noProof/>
                <w:webHidden/>
              </w:rPr>
              <w:instrText xml:space="preserve"> PAGEREF _Toc147652530 \h </w:instrText>
            </w:r>
            <w:r w:rsidR="008275D7">
              <w:rPr>
                <w:noProof/>
                <w:webHidden/>
              </w:rPr>
            </w:r>
            <w:r w:rsidR="008275D7">
              <w:rPr>
                <w:noProof/>
                <w:webHidden/>
              </w:rPr>
              <w:fldChar w:fldCharType="separate"/>
            </w:r>
            <w:r w:rsidR="008275D7">
              <w:rPr>
                <w:noProof/>
                <w:webHidden/>
              </w:rPr>
              <w:t>32</w:t>
            </w:r>
            <w:r w:rsidR="008275D7">
              <w:rPr>
                <w:noProof/>
                <w:webHidden/>
              </w:rPr>
              <w:fldChar w:fldCharType="end"/>
            </w:r>
          </w:hyperlink>
        </w:p>
        <w:p w14:paraId="4ABCAFF2" w14:textId="2CBB75E2" w:rsidR="008275D7" w:rsidRDefault="005136FB">
          <w:pPr>
            <w:pStyle w:val="11"/>
            <w:rPr>
              <w:rFonts w:asciiTheme="minorHAnsi" w:eastAsiaTheme="minorEastAsia" w:hAnsiTheme="minorHAnsi" w:cstheme="minorBidi"/>
              <w:noProof/>
              <w:kern w:val="2"/>
              <w:sz w:val="24"/>
              <w:szCs w:val="24"/>
              <w14:ligatures w14:val="standardContextual"/>
            </w:rPr>
          </w:pPr>
          <w:hyperlink w:anchor="_Toc147652531" w:history="1">
            <w:r w:rsidR="008275D7" w:rsidRPr="00E44134">
              <w:rPr>
                <w:rStyle w:val="a6"/>
                <w:noProof/>
              </w:rPr>
              <w:t>4.</w:t>
            </w:r>
            <w:r w:rsidR="008275D7">
              <w:rPr>
                <w:rFonts w:asciiTheme="minorHAnsi" w:eastAsiaTheme="minorEastAsia" w:hAnsiTheme="minorHAnsi" w:cstheme="minorBidi"/>
                <w:noProof/>
                <w:kern w:val="2"/>
                <w:sz w:val="24"/>
                <w:szCs w:val="24"/>
                <w14:ligatures w14:val="standardContextual"/>
              </w:rPr>
              <w:tab/>
            </w:r>
            <w:r w:rsidR="008275D7" w:rsidRPr="00E44134">
              <w:rPr>
                <w:rStyle w:val="a6"/>
                <w:noProof/>
              </w:rPr>
              <w:t>Принцип законності в динаміці змін доктрини та судової практики</w:t>
            </w:r>
            <w:r w:rsidR="008275D7">
              <w:rPr>
                <w:noProof/>
                <w:webHidden/>
              </w:rPr>
              <w:tab/>
            </w:r>
            <w:r w:rsidR="008275D7">
              <w:rPr>
                <w:noProof/>
                <w:webHidden/>
              </w:rPr>
              <w:fldChar w:fldCharType="begin"/>
            </w:r>
            <w:r w:rsidR="008275D7">
              <w:rPr>
                <w:noProof/>
                <w:webHidden/>
              </w:rPr>
              <w:instrText xml:space="preserve"> PAGEREF _Toc147652531 \h </w:instrText>
            </w:r>
            <w:r w:rsidR="008275D7">
              <w:rPr>
                <w:noProof/>
                <w:webHidden/>
              </w:rPr>
            </w:r>
            <w:r w:rsidR="008275D7">
              <w:rPr>
                <w:noProof/>
                <w:webHidden/>
              </w:rPr>
              <w:fldChar w:fldCharType="separate"/>
            </w:r>
            <w:r w:rsidR="008275D7">
              <w:rPr>
                <w:noProof/>
                <w:webHidden/>
              </w:rPr>
              <w:t>37</w:t>
            </w:r>
            <w:r w:rsidR="008275D7">
              <w:rPr>
                <w:noProof/>
                <w:webHidden/>
              </w:rPr>
              <w:fldChar w:fldCharType="end"/>
            </w:r>
          </w:hyperlink>
        </w:p>
        <w:p w14:paraId="43B6B5EC" w14:textId="78C38FAC" w:rsidR="008275D7" w:rsidRDefault="005136FB">
          <w:pPr>
            <w:pStyle w:val="11"/>
            <w:rPr>
              <w:rFonts w:asciiTheme="minorHAnsi" w:eastAsiaTheme="minorEastAsia" w:hAnsiTheme="minorHAnsi" w:cstheme="minorBidi"/>
              <w:noProof/>
              <w:kern w:val="2"/>
              <w:sz w:val="24"/>
              <w:szCs w:val="24"/>
              <w14:ligatures w14:val="standardContextual"/>
            </w:rPr>
          </w:pPr>
          <w:hyperlink w:anchor="_Toc147652532" w:history="1">
            <w:r w:rsidR="008275D7" w:rsidRPr="00E44134">
              <w:rPr>
                <w:rStyle w:val="a6"/>
                <w:noProof/>
              </w:rPr>
              <w:t>5.</w:t>
            </w:r>
            <w:r w:rsidR="008275D7">
              <w:rPr>
                <w:rFonts w:asciiTheme="minorHAnsi" w:eastAsiaTheme="minorEastAsia" w:hAnsiTheme="minorHAnsi" w:cstheme="minorBidi"/>
                <w:noProof/>
                <w:kern w:val="2"/>
                <w:sz w:val="24"/>
                <w:szCs w:val="24"/>
                <w14:ligatures w14:val="standardContextual"/>
              </w:rPr>
              <w:tab/>
            </w:r>
            <w:r w:rsidR="008275D7" w:rsidRPr="00E44134">
              <w:rPr>
                <w:rStyle w:val="a6"/>
                <w:noProof/>
              </w:rPr>
              <w:t>Розвиток інститутів та категорій кримінального права</w:t>
            </w:r>
            <w:r w:rsidR="008275D7">
              <w:rPr>
                <w:noProof/>
                <w:webHidden/>
              </w:rPr>
              <w:tab/>
            </w:r>
            <w:r w:rsidR="008275D7">
              <w:rPr>
                <w:noProof/>
                <w:webHidden/>
              </w:rPr>
              <w:fldChar w:fldCharType="begin"/>
            </w:r>
            <w:r w:rsidR="008275D7">
              <w:rPr>
                <w:noProof/>
                <w:webHidden/>
              </w:rPr>
              <w:instrText xml:space="preserve"> PAGEREF _Toc147652532 \h </w:instrText>
            </w:r>
            <w:r w:rsidR="008275D7">
              <w:rPr>
                <w:noProof/>
                <w:webHidden/>
              </w:rPr>
            </w:r>
            <w:r w:rsidR="008275D7">
              <w:rPr>
                <w:noProof/>
                <w:webHidden/>
              </w:rPr>
              <w:fldChar w:fldCharType="separate"/>
            </w:r>
            <w:r w:rsidR="008275D7">
              <w:rPr>
                <w:noProof/>
                <w:webHidden/>
              </w:rPr>
              <w:t>43</w:t>
            </w:r>
            <w:r w:rsidR="008275D7">
              <w:rPr>
                <w:noProof/>
                <w:webHidden/>
              </w:rPr>
              <w:fldChar w:fldCharType="end"/>
            </w:r>
          </w:hyperlink>
        </w:p>
        <w:p w14:paraId="536E04DC" w14:textId="3111EDC6" w:rsidR="008275D7" w:rsidRDefault="005136FB">
          <w:pPr>
            <w:pStyle w:val="11"/>
            <w:rPr>
              <w:rFonts w:asciiTheme="minorHAnsi" w:eastAsiaTheme="minorEastAsia" w:hAnsiTheme="minorHAnsi" w:cstheme="minorBidi"/>
              <w:noProof/>
              <w:kern w:val="2"/>
              <w:sz w:val="24"/>
              <w:szCs w:val="24"/>
              <w14:ligatures w14:val="standardContextual"/>
            </w:rPr>
          </w:pPr>
          <w:hyperlink w:anchor="_Toc147652533" w:history="1">
            <w:r w:rsidR="008275D7" w:rsidRPr="00E44134">
              <w:rPr>
                <w:rStyle w:val="a6"/>
                <w:noProof/>
              </w:rPr>
              <w:t>6.</w:t>
            </w:r>
            <w:r w:rsidR="008275D7">
              <w:rPr>
                <w:rFonts w:asciiTheme="minorHAnsi" w:eastAsiaTheme="minorEastAsia" w:hAnsiTheme="minorHAnsi" w:cstheme="minorBidi"/>
                <w:noProof/>
                <w:kern w:val="2"/>
                <w:sz w:val="24"/>
                <w:szCs w:val="24"/>
                <w14:ligatures w14:val="standardContextual"/>
              </w:rPr>
              <w:tab/>
            </w:r>
            <w:r w:rsidR="008275D7" w:rsidRPr="00E44134">
              <w:rPr>
                <w:rStyle w:val="a6"/>
                <w:noProof/>
              </w:rPr>
              <w:t>Проект нового КК України: pro et contra</w:t>
            </w:r>
            <w:r w:rsidR="008275D7">
              <w:rPr>
                <w:noProof/>
                <w:webHidden/>
              </w:rPr>
              <w:tab/>
            </w:r>
            <w:r w:rsidR="008275D7">
              <w:rPr>
                <w:noProof/>
                <w:webHidden/>
              </w:rPr>
              <w:fldChar w:fldCharType="begin"/>
            </w:r>
            <w:r w:rsidR="008275D7">
              <w:rPr>
                <w:noProof/>
                <w:webHidden/>
              </w:rPr>
              <w:instrText xml:space="preserve"> PAGEREF _Toc147652533 \h </w:instrText>
            </w:r>
            <w:r w:rsidR="008275D7">
              <w:rPr>
                <w:noProof/>
                <w:webHidden/>
              </w:rPr>
            </w:r>
            <w:r w:rsidR="008275D7">
              <w:rPr>
                <w:noProof/>
                <w:webHidden/>
              </w:rPr>
              <w:fldChar w:fldCharType="separate"/>
            </w:r>
            <w:r w:rsidR="008275D7">
              <w:rPr>
                <w:noProof/>
                <w:webHidden/>
              </w:rPr>
              <w:t>47</w:t>
            </w:r>
            <w:r w:rsidR="008275D7">
              <w:rPr>
                <w:noProof/>
                <w:webHidden/>
              </w:rPr>
              <w:fldChar w:fldCharType="end"/>
            </w:r>
          </w:hyperlink>
        </w:p>
        <w:p w14:paraId="3EBD5BDD" w14:textId="61F9ECF2" w:rsidR="008275D7" w:rsidRDefault="005136FB">
          <w:pPr>
            <w:pStyle w:val="11"/>
            <w:rPr>
              <w:rFonts w:asciiTheme="minorHAnsi" w:eastAsiaTheme="minorEastAsia" w:hAnsiTheme="minorHAnsi" w:cstheme="minorBidi"/>
              <w:noProof/>
              <w:kern w:val="2"/>
              <w:sz w:val="24"/>
              <w:szCs w:val="24"/>
              <w14:ligatures w14:val="standardContextual"/>
            </w:rPr>
          </w:pPr>
          <w:hyperlink w:anchor="_Toc147652534" w:history="1">
            <w:r w:rsidR="008275D7" w:rsidRPr="00E44134">
              <w:rPr>
                <w:rStyle w:val="a6"/>
                <w:noProof/>
              </w:rPr>
              <w:t>Замість епілогу</w:t>
            </w:r>
            <w:r w:rsidR="008275D7">
              <w:rPr>
                <w:noProof/>
                <w:webHidden/>
              </w:rPr>
              <w:tab/>
            </w:r>
            <w:r w:rsidR="008275D7">
              <w:rPr>
                <w:noProof/>
                <w:webHidden/>
              </w:rPr>
              <w:fldChar w:fldCharType="begin"/>
            </w:r>
            <w:r w:rsidR="008275D7">
              <w:rPr>
                <w:noProof/>
                <w:webHidden/>
              </w:rPr>
              <w:instrText xml:space="preserve"> PAGEREF _Toc147652534 \h </w:instrText>
            </w:r>
            <w:r w:rsidR="008275D7">
              <w:rPr>
                <w:noProof/>
                <w:webHidden/>
              </w:rPr>
            </w:r>
            <w:r w:rsidR="008275D7">
              <w:rPr>
                <w:noProof/>
                <w:webHidden/>
              </w:rPr>
              <w:fldChar w:fldCharType="separate"/>
            </w:r>
            <w:r w:rsidR="008275D7">
              <w:rPr>
                <w:noProof/>
                <w:webHidden/>
              </w:rPr>
              <w:t>54</w:t>
            </w:r>
            <w:r w:rsidR="008275D7">
              <w:rPr>
                <w:noProof/>
                <w:webHidden/>
              </w:rPr>
              <w:fldChar w:fldCharType="end"/>
            </w:r>
          </w:hyperlink>
        </w:p>
        <w:p w14:paraId="017A155D" w14:textId="70824250" w:rsidR="008275D7" w:rsidRDefault="005136FB">
          <w:pPr>
            <w:pStyle w:val="11"/>
            <w:rPr>
              <w:rFonts w:asciiTheme="minorHAnsi" w:eastAsiaTheme="minorEastAsia" w:hAnsiTheme="minorHAnsi" w:cstheme="minorBidi"/>
              <w:noProof/>
              <w:kern w:val="2"/>
              <w:sz w:val="24"/>
              <w:szCs w:val="24"/>
              <w14:ligatures w14:val="standardContextual"/>
            </w:rPr>
          </w:pPr>
          <w:hyperlink w:anchor="_Toc147652535" w:history="1">
            <w:r w:rsidR="008275D7" w:rsidRPr="00E44134">
              <w:rPr>
                <w:rStyle w:val="a6"/>
                <w:noProof/>
              </w:rPr>
              <w:t>Сіллабус курсу: Кримінальні парадигми: від класики до постмодерну</w:t>
            </w:r>
            <w:r w:rsidR="008275D7">
              <w:rPr>
                <w:noProof/>
                <w:webHidden/>
              </w:rPr>
              <w:tab/>
            </w:r>
            <w:r w:rsidR="008275D7">
              <w:rPr>
                <w:noProof/>
                <w:webHidden/>
              </w:rPr>
              <w:fldChar w:fldCharType="begin"/>
            </w:r>
            <w:r w:rsidR="008275D7">
              <w:rPr>
                <w:noProof/>
                <w:webHidden/>
              </w:rPr>
              <w:instrText xml:space="preserve"> PAGEREF _Toc147652535 \h </w:instrText>
            </w:r>
            <w:r w:rsidR="008275D7">
              <w:rPr>
                <w:noProof/>
                <w:webHidden/>
              </w:rPr>
            </w:r>
            <w:r w:rsidR="008275D7">
              <w:rPr>
                <w:noProof/>
                <w:webHidden/>
              </w:rPr>
              <w:fldChar w:fldCharType="separate"/>
            </w:r>
            <w:r w:rsidR="008275D7">
              <w:rPr>
                <w:noProof/>
                <w:webHidden/>
              </w:rPr>
              <w:t>60</w:t>
            </w:r>
            <w:r w:rsidR="008275D7">
              <w:rPr>
                <w:noProof/>
                <w:webHidden/>
              </w:rPr>
              <w:fldChar w:fldCharType="end"/>
            </w:r>
          </w:hyperlink>
        </w:p>
        <w:p w14:paraId="43924FBA" w14:textId="74D1C787" w:rsidR="008275D7" w:rsidRDefault="005136FB">
          <w:pPr>
            <w:pStyle w:val="11"/>
            <w:rPr>
              <w:rFonts w:asciiTheme="minorHAnsi" w:eastAsiaTheme="minorEastAsia" w:hAnsiTheme="minorHAnsi" w:cstheme="minorBidi"/>
              <w:noProof/>
              <w:kern w:val="2"/>
              <w:sz w:val="24"/>
              <w:szCs w:val="24"/>
              <w14:ligatures w14:val="standardContextual"/>
            </w:rPr>
          </w:pPr>
          <w:hyperlink w:anchor="_Toc147652536" w:history="1">
            <w:r w:rsidR="008275D7" w:rsidRPr="00E44134">
              <w:rPr>
                <w:rStyle w:val="a6"/>
                <w:noProof/>
              </w:rPr>
              <w:t>Рекомендована література</w:t>
            </w:r>
            <w:r w:rsidR="008275D7">
              <w:rPr>
                <w:noProof/>
                <w:webHidden/>
              </w:rPr>
              <w:tab/>
            </w:r>
            <w:r w:rsidR="008275D7">
              <w:rPr>
                <w:noProof/>
                <w:webHidden/>
              </w:rPr>
              <w:fldChar w:fldCharType="begin"/>
            </w:r>
            <w:r w:rsidR="008275D7">
              <w:rPr>
                <w:noProof/>
                <w:webHidden/>
              </w:rPr>
              <w:instrText xml:space="preserve"> PAGEREF _Toc147652536 \h </w:instrText>
            </w:r>
            <w:r w:rsidR="008275D7">
              <w:rPr>
                <w:noProof/>
                <w:webHidden/>
              </w:rPr>
            </w:r>
            <w:r w:rsidR="008275D7">
              <w:rPr>
                <w:noProof/>
                <w:webHidden/>
              </w:rPr>
              <w:fldChar w:fldCharType="separate"/>
            </w:r>
            <w:r w:rsidR="008275D7">
              <w:rPr>
                <w:noProof/>
                <w:webHidden/>
              </w:rPr>
              <w:t>68</w:t>
            </w:r>
            <w:r w:rsidR="008275D7">
              <w:rPr>
                <w:noProof/>
                <w:webHidden/>
              </w:rPr>
              <w:fldChar w:fldCharType="end"/>
            </w:r>
          </w:hyperlink>
        </w:p>
        <w:p w14:paraId="2E516F57" w14:textId="5F095C39" w:rsidR="003E1286" w:rsidRDefault="003E1286" w:rsidP="00DF00C7">
          <w:pPr>
            <w:spacing w:line="360" w:lineRule="auto"/>
            <w:ind w:firstLine="669"/>
          </w:pPr>
          <w:r>
            <w:rPr>
              <w:b/>
              <w:bCs/>
            </w:rPr>
            <w:fldChar w:fldCharType="end"/>
          </w:r>
        </w:p>
      </w:sdtContent>
    </w:sdt>
    <w:p w14:paraId="39E3B2B6" w14:textId="6F4BCA7A" w:rsidR="0035042F" w:rsidRPr="00EC7086" w:rsidRDefault="0035042F" w:rsidP="00DF00C7">
      <w:pPr>
        <w:spacing w:line="360" w:lineRule="auto"/>
        <w:ind w:firstLine="669"/>
      </w:pPr>
    </w:p>
    <w:p w14:paraId="49A3ACC5" w14:textId="2727E48C" w:rsidR="0035042F" w:rsidRPr="00EC7086" w:rsidRDefault="0035042F" w:rsidP="00DF00C7">
      <w:pPr>
        <w:ind w:firstLine="669"/>
        <w:jc w:val="left"/>
      </w:pPr>
      <w:r w:rsidRPr="00EC7086">
        <w:br w:type="page"/>
      </w:r>
    </w:p>
    <w:p w14:paraId="4077A6AD" w14:textId="189FBB26" w:rsidR="0035042F" w:rsidRPr="00CB4B9D" w:rsidRDefault="0035042F" w:rsidP="00CB4B9D">
      <w:pPr>
        <w:pStyle w:val="1"/>
      </w:pPr>
      <w:bookmarkStart w:id="1" w:name="_Toc147652527"/>
      <w:r w:rsidRPr="00CB4B9D">
        <w:lastRenderedPageBreak/>
        <w:t>В</w:t>
      </w:r>
      <w:r w:rsidR="00386293" w:rsidRPr="00CB4B9D">
        <w:t>СТУП</w:t>
      </w:r>
      <w:bookmarkEnd w:id="1"/>
    </w:p>
    <w:p w14:paraId="2AABE40A" w14:textId="77777777" w:rsidR="0035042F" w:rsidRPr="00EC7086" w:rsidRDefault="0035042F" w:rsidP="00DF00C7">
      <w:pPr>
        <w:ind w:firstLine="669"/>
      </w:pPr>
    </w:p>
    <w:p w14:paraId="127D026B" w14:textId="4B1EA190" w:rsidR="0035042F" w:rsidRPr="00EC7086" w:rsidRDefault="0035042F" w:rsidP="00DF00C7">
      <w:pPr>
        <w:pStyle w:val="10"/>
        <w:spacing w:before="0" w:beforeAutospacing="0" w:after="0" w:afterAutospacing="0" w:line="360" w:lineRule="auto"/>
        <w:ind w:firstLine="669"/>
      </w:pPr>
      <w:r w:rsidRPr="00EC7086">
        <w:t>Наукові дослідження в сфері кримінальної юстиції потребують попереднього накопичення знань конкретно-теоретичного характеру. Зміст методології галузевої науки не обмежується методами пізнання, а оперує науковими парадигмами в історичному, соціокультурному та політичному вимірах. Предмет курсу висвітлює генезу світової юридичної думки та її вплив на становлення базових інститутів кримінально-правових систем сучасності. Матеріал програми забезпечує здобувачів освіти методологічними інструментами, необхідними для роботи над дисертацією доктора філософії в сфері кримінальної юстиції</w:t>
      </w:r>
      <w:r w:rsidR="00EC7086">
        <w:t>.</w:t>
      </w:r>
    </w:p>
    <w:p w14:paraId="1C6FC123" w14:textId="5B5076E0" w:rsidR="00CB4B9D" w:rsidRDefault="00CB4B9D" w:rsidP="00CB4B9D">
      <w:pPr>
        <w:spacing w:line="360" w:lineRule="auto"/>
        <w:ind w:firstLine="669"/>
      </w:pPr>
      <w:r>
        <w:t>У хитромудрому гобелені людського суспільства сфера злочинності та правосуддя є складним ландшафтом, що постійно змінюється. Розуміння парадигм, які лежать в основі злочинної поведінки, та систем правосуддя, покликаних реагувати на неї, є важливим для кожного, хто прагне орієнтуватися в цій складній місцевості. Злочинність була постійним супутником людства протягом усієї історії, набуваючи різних форм і мотивів. Цей підручник - ваш ключ до розуміння різноманітних парадигм, які формують реакції держави на злочинну поведінку, від психологічних і соціологічних коренів злочинності до економічних, культурних і технологічних чинників, що зумовлюють сучасні злочинні дії. Ми розглянемо теорії та концепції, які допомагають нам зрозуміти, чому люди скоюють злочини, а також ширші соціальні наслідки цих дій. В епоху, позначену глибокими суспільними трансформаціями, вивчення кримінальних парадигм і кримінального правосуддя є як ніколи актуальним. Стрімкий розвиток технологій, мінлива демографічна ситуація та глобальна взаємозалежність створили нові виклики та можливості для розуміння та подолання злочинності. Вивчаючи історичні підвалини та сучасні складнощі злочинності та правосуддя, ви будете підготовлені до критичного підходу до постійно еволюціонуючої природи злочинності у 21 столітті.</w:t>
      </w:r>
    </w:p>
    <w:p w14:paraId="06510DFF" w14:textId="77777777" w:rsidR="00CB4B9D" w:rsidRDefault="00CB4B9D" w:rsidP="00CB4B9D">
      <w:pPr>
        <w:ind w:firstLine="669"/>
      </w:pPr>
    </w:p>
    <w:p w14:paraId="6E929E8A" w14:textId="2F00BC15" w:rsidR="00CB4B9D" w:rsidRDefault="00CB4B9D" w:rsidP="00CB4B9D">
      <w:pPr>
        <w:spacing w:line="360" w:lineRule="auto"/>
        <w:ind w:firstLine="669"/>
      </w:pPr>
      <w:r>
        <w:lastRenderedPageBreak/>
        <w:t>Цей підручник призначений як для студентів, так і для науковців та практиків, забезпечуючи комплексний і доступний ресурс для тих, хто прагне зрозуміти хитросплетіння кримінальних парадигм Наша подорож охоплюватиме широкий спектр тем - від класичних кримінологічних теорій до найсучасніших інновацій у правоохоронній діяльності та політиці кримінального правосуддя. Наприкінці цієї подорожі ви володітимете знаннями та аналітичними інструментами, необхідними для проведення обґрунтованої оцінки системи кримінального правосуддя та сприяння її постійному вдосконаленню у своїх наукових роботах та повсякденній практиці захисту прав і свобод людини.</w:t>
      </w:r>
    </w:p>
    <w:p w14:paraId="32D41D0E" w14:textId="2E43CB95" w:rsidR="00CB4B9D" w:rsidRDefault="00CB4B9D" w:rsidP="00CB4B9D">
      <w:pPr>
        <w:spacing w:line="360" w:lineRule="auto"/>
        <w:ind w:firstLine="669"/>
      </w:pPr>
      <w:r>
        <w:t xml:space="preserve">Перше, скорочене видання цього </w:t>
      </w:r>
      <w:r w:rsidR="00CC65A7">
        <w:t>посібника</w:t>
      </w:r>
      <w:r w:rsidR="00CC65A7">
        <w:rPr>
          <w:rStyle w:val="af1"/>
        </w:rPr>
        <w:footnoteReference w:id="1"/>
      </w:r>
      <w:r>
        <w:t xml:space="preserve"> було розмішене для студентів у якості препринту </w:t>
      </w:r>
      <w:r w:rsidR="00CC65A7">
        <w:t xml:space="preserve">ще </w:t>
      </w:r>
      <w:r>
        <w:t xml:space="preserve">у 2022 році, проте суттєві зміни </w:t>
      </w:r>
      <w:r w:rsidR="00CC65A7">
        <w:t>у сучасній кримінальній політиці  та подіях у суспільстві вимусили більш конкретно зосередитися на окремих новелах.</w:t>
      </w:r>
    </w:p>
    <w:p w14:paraId="09D90919" w14:textId="77777777" w:rsidR="00CB4B9D" w:rsidRDefault="00CB4B9D" w:rsidP="00CB4B9D">
      <w:pPr>
        <w:ind w:firstLine="669"/>
      </w:pPr>
    </w:p>
    <w:p w14:paraId="001B35D3" w14:textId="2EEC7F6C" w:rsidR="0035042F" w:rsidRPr="00EC7086" w:rsidRDefault="0035042F" w:rsidP="00DF00C7">
      <w:pPr>
        <w:ind w:firstLine="669"/>
      </w:pPr>
    </w:p>
    <w:p w14:paraId="41E12CAD" w14:textId="767BB3EC" w:rsidR="0035042F" w:rsidRPr="00EC7086" w:rsidRDefault="0035042F" w:rsidP="00DF00C7">
      <w:pPr>
        <w:ind w:firstLine="669"/>
        <w:jc w:val="left"/>
      </w:pPr>
      <w:r w:rsidRPr="00EC7086">
        <w:br w:type="page"/>
      </w:r>
    </w:p>
    <w:tbl>
      <w:tblPr>
        <w:tblW w:w="10207" w:type="dxa"/>
        <w:tblInd w:w="-284" w:type="dxa"/>
        <w:tblLayout w:type="fixed"/>
        <w:tblLook w:val="00A0" w:firstRow="1" w:lastRow="0" w:firstColumn="1" w:lastColumn="0" w:noHBand="0" w:noVBand="0"/>
      </w:tblPr>
      <w:tblGrid>
        <w:gridCol w:w="10207"/>
      </w:tblGrid>
      <w:tr w:rsidR="0035042F" w:rsidRPr="00852120" w14:paraId="4505D526" w14:textId="77777777" w:rsidTr="00ED6F4C">
        <w:trPr>
          <w:trHeight w:val="332"/>
        </w:trPr>
        <w:tc>
          <w:tcPr>
            <w:tcW w:w="10207" w:type="dxa"/>
            <w:vAlign w:val="bottom"/>
          </w:tcPr>
          <w:p w14:paraId="10DCDCAE" w14:textId="72EDB255" w:rsidR="0035042F" w:rsidRPr="00852120" w:rsidRDefault="0035042F" w:rsidP="00DF00C7">
            <w:pPr>
              <w:pStyle w:val="1"/>
              <w:numPr>
                <w:ilvl w:val="0"/>
                <w:numId w:val="22"/>
              </w:numPr>
              <w:ind w:firstLine="669"/>
              <w:rPr>
                <w:rFonts w:cs="Times New Roman"/>
              </w:rPr>
            </w:pPr>
            <w:bookmarkStart w:id="2" w:name="_Toc147652528"/>
            <w:r w:rsidRPr="00852120">
              <w:rPr>
                <w:rFonts w:cs="Times New Roman"/>
              </w:rPr>
              <w:lastRenderedPageBreak/>
              <w:t xml:space="preserve">Поняття </w:t>
            </w:r>
            <w:r w:rsidR="0043501A" w:rsidRPr="00852120">
              <w:rPr>
                <w:rFonts w:cs="Times New Roman"/>
              </w:rPr>
              <w:t xml:space="preserve">автономності </w:t>
            </w:r>
            <w:r w:rsidRPr="00852120">
              <w:rPr>
                <w:rFonts w:cs="Times New Roman"/>
              </w:rPr>
              <w:t>методології кримінально-правової науки</w:t>
            </w:r>
            <w:r w:rsidR="008275D7" w:rsidRPr="008275D7">
              <w:rPr>
                <w:rFonts w:cs="Times New Roman"/>
              </w:rPr>
              <w:t xml:space="preserve"> </w:t>
            </w:r>
            <w:r w:rsidR="008275D7">
              <w:rPr>
                <w:rFonts w:cs="Times New Roman"/>
              </w:rPr>
              <w:t>у піднесенні до Європейських стандартів</w:t>
            </w:r>
            <w:bookmarkEnd w:id="2"/>
          </w:p>
          <w:p w14:paraId="5D756225" w14:textId="77777777" w:rsidR="0043501A" w:rsidRPr="00852120" w:rsidRDefault="0043501A" w:rsidP="00DF00C7">
            <w:pPr>
              <w:ind w:firstLine="669"/>
            </w:pPr>
          </w:p>
          <w:p w14:paraId="54313FDD" w14:textId="77777777" w:rsidR="0043501A" w:rsidRPr="00852120" w:rsidRDefault="0043501A" w:rsidP="00DF00C7">
            <w:pPr>
              <w:spacing w:line="360" w:lineRule="auto"/>
              <w:ind w:firstLine="669"/>
            </w:pPr>
            <w:r w:rsidRPr="00852120">
              <w:t xml:space="preserve">Кримінальне право - це інструмент захисту суверенітету та безпеки прав і свобод людини що виступає основним знаряддям, що символізує правове, моральне та соціальне ставлення людей, суспільства та держави до оборони від різних загроз та криміногенних факторів. </w:t>
            </w:r>
          </w:p>
          <w:p w14:paraId="006BD56F" w14:textId="77777777" w:rsidR="0043501A" w:rsidRPr="00852120" w:rsidRDefault="0043501A" w:rsidP="00DF00C7">
            <w:pPr>
              <w:spacing w:line="360" w:lineRule="auto"/>
              <w:ind w:firstLine="669"/>
            </w:pPr>
            <w:r w:rsidRPr="00852120">
              <w:t>Розробка нового кримінального законодавства України за умов використання сучасних європейських наративів та дискурсів розвитку суспільного розуміння значущості кримінально-правового впливу має довести, наскільки глобальні та регіональні протиріччя, дисбаланси та конфлікти вплинули на верховенство права і як безпека людей повинна бути захищена загалом на Європейському континенті.</w:t>
            </w:r>
            <w:r w:rsidRPr="00852120">
              <w:rPr>
                <w:rStyle w:val="af1"/>
              </w:rPr>
              <w:footnoteReference w:id="2"/>
            </w:r>
            <w:r w:rsidRPr="00852120">
              <w:t xml:space="preserve"> </w:t>
            </w:r>
          </w:p>
          <w:p w14:paraId="43E7B620" w14:textId="77777777" w:rsidR="0043501A" w:rsidRPr="00852120" w:rsidRDefault="0043501A" w:rsidP="00DF00C7">
            <w:pPr>
              <w:spacing w:line="360" w:lineRule="auto"/>
              <w:ind w:firstLine="669"/>
            </w:pPr>
            <w:r w:rsidRPr="00852120">
              <w:t>Розуміння того, наскільки стабільною має бути кримінально-правова форма, яка дисонує з розвитком суспільних та соціальних відносин та процесів кидає виклик соціальним схемам ефективного контролю  над злочинністю з боку держави, жертви та громадянського суспільства.</w:t>
            </w:r>
          </w:p>
          <w:p w14:paraId="2B42C950" w14:textId="77777777" w:rsidR="0043501A" w:rsidRPr="00852120" w:rsidRDefault="0043501A" w:rsidP="00DF00C7">
            <w:pPr>
              <w:spacing w:line="360" w:lineRule="auto"/>
              <w:ind w:firstLine="669"/>
            </w:pPr>
            <w:r w:rsidRPr="00852120">
              <w:t xml:space="preserve">Відчувати себе безпечним, захищеним і незалежним означає бути щасливим. Статус щастя відображає загальноприйняте в сучасному сталому світі почуття спокою та безпеки. </w:t>
            </w:r>
          </w:p>
          <w:p w14:paraId="3C31BF48" w14:textId="77777777" w:rsidR="0043501A" w:rsidRPr="00852120" w:rsidRDefault="0043501A" w:rsidP="00DF00C7">
            <w:pPr>
              <w:spacing w:line="360" w:lineRule="auto"/>
              <w:ind w:firstLine="669"/>
            </w:pPr>
            <w:r w:rsidRPr="00852120">
              <w:t xml:space="preserve">Але роль держави змінюється на багатополярному інформаційному суспільстві після правди.  Зловживання владою та широкомасштабні корупційні практики в перехідному періоді розвитку приводять до того, що кримінально-правова форма убезпечення сталого розвитку може бути в дисонансі з розвитком громадських свобод. </w:t>
            </w:r>
          </w:p>
          <w:p w14:paraId="5B83EFFE" w14:textId="77777777" w:rsidR="0043501A" w:rsidRPr="00852120" w:rsidRDefault="0043501A" w:rsidP="00DF00C7">
            <w:pPr>
              <w:spacing w:line="360" w:lineRule="auto"/>
              <w:ind w:firstLine="669"/>
            </w:pPr>
            <w:r w:rsidRPr="00852120">
              <w:t xml:space="preserve">До того ж розуміння кримінального закону відрізняється від рівня розвитку громадян, характеристик засобів масової інформації, наративів соціальних груп та мереж та дискурсів безпеки у діяльності правоохоронних органів Більш того, воно відрізняється між жертвами та винними, громадянським суспільством та поліціантами і суддями. </w:t>
            </w:r>
          </w:p>
          <w:p w14:paraId="6F9ABE02" w14:textId="77777777" w:rsidR="0043501A" w:rsidRPr="00852120" w:rsidRDefault="0043501A" w:rsidP="00DF00C7">
            <w:pPr>
              <w:spacing w:line="360" w:lineRule="auto"/>
              <w:ind w:firstLine="669"/>
            </w:pPr>
            <w:r w:rsidRPr="00852120">
              <w:t xml:space="preserve">З цієї причини в сучасних соціал-демократичних суспільствах система </w:t>
            </w:r>
            <w:r w:rsidRPr="00852120">
              <w:lastRenderedPageBreak/>
              <w:t>кримінального правосуддя відображує контроль девіацій у максимально допустимий бюджетом спосіб. Концепція досить проста: кримінальне правосуддя демонструє перехід від абсолютного таліону до різноманітної системи дисциплінарних практик, яка по суті лише частково заснована на приматі прав людини.</w:t>
            </w:r>
            <w:r w:rsidRPr="00852120">
              <w:rPr>
                <w:rStyle w:val="af1"/>
              </w:rPr>
              <w:footnoteReference w:id="3"/>
            </w:r>
            <w:r w:rsidRPr="00852120">
              <w:t xml:space="preserve"> </w:t>
            </w:r>
          </w:p>
          <w:p w14:paraId="1E7851A8" w14:textId="77777777" w:rsidR="0043501A" w:rsidRPr="00852120" w:rsidRDefault="0043501A" w:rsidP="00DF00C7">
            <w:pPr>
              <w:spacing w:line="360" w:lineRule="auto"/>
              <w:ind w:firstLine="669"/>
            </w:pPr>
            <w:r w:rsidRPr="00852120">
              <w:t>Обмеження прав і свобод задля великій цілі підриває ідею легітимності, веде к злочинам ненависті</w:t>
            </w:r>
            <w:r w:rsidRPr="00852120">
              <w:rPr>
                <w:rStyle w:val="af1"/>
              </w:rPr>
              <w:footnoteReference w:id="4"/>
            </w:r>
            <w:r w:rsidRPr="00852120">
              <w:t xml:space="preserve"> та проявам геноциду</w:t>
            </w:r>
            <w:r w:rsidRPr="00852120">
              <w:rPr>
                <w:rStyle w:val="af1"/>
              </w:rPr>
              <w:footnoteReference w:id="5"/>
            </w:r>
            <w:r w:rsidRPr="00852120">
              <w:t xml:space="preserve">. </w:t>
            </w:r>
          </w:p>
          <w:p w14:paraId="08E1687C" w14:textId="6EF86FBD" w:rsidR="0043501A" w:rsidRPr="00852120" w:rsidRDefault="0043501A" w:rsidP="00DF00C7">
            <w:pPr>
              <w:spacing w:line="360" w:lineRule="auto"/>
              <w:ind w:firstLine="669"/>
              <w:rPr>
                <w:rFonts w:eastAsiaTheme="minorEastAsia"/>
              </w:rPr>
            </w:pPr>
            <w:r w:rsidRPr="00852120">
              <w:t>Ідеологія захисту основних людських цінностей заміщує (додає) юридичній рівності риси доцільності. Суспільство-в’язниця розпиляючи владу між різними суб’єктами, поширює дисциплінарні практики застосування сили та примусу, які не обмежені процедурами судового захисту. Для попередження цього у практиці ЄСПЛ  формується автономна концепція кримінального правопорушення у широкому сенсі  розуміння ст. 6 Європейської Конвенції з захисту прав людини і основоположних свобод, яка поширюється на більшість випадків застосування публічно-правового примусу з боку держави, які, пов’язуються із кваліфікацію правопорушення</w:t>
            </w:r>
            <w:r w:rsidRPr="00852120">
              <w:rPr>
                <w:rFonts w:eastAsiaTheme="minorEastAsia"/>
              </w:rPr>
              <w:t xml:space="preserve"> відповідно до внутрішнього законодавства, аналізом природи правопорушення та ступенем суворості покарання, якого може зазнати відповідна особа (</w:t>
            </w:r>
            <w:r w:rsidR="00852120" w:rsidRPr="00852120">
              <w:rPr>
                <w:rFonts w:eastAsiaTheme="minorEastAsia"/>
              </w:rPr>
              <w:t>критерії</w:t>
            </w:r>
            <w:r w:rsidRPr="00852120">
              <w:rPr>
                <w:rFonts w:eastAsiaTheme="minorEastAsia"/>
              </w:rPr>
              <w:t xml:space="preserve"> Енгеля)</w:t>
            </w:r>
            <w:r w:rsidRPr="00852120">
              <w:rPr>
                <w:rStyle w:val="af1"/>
                <w:rFonts w:eastAsiaTheme="minorEastAsia"/>
              </w:rPr>
              <w:footnoteReference w:id="6"/>
            </w:r>
            <w:r w:rsidRPr="00852120">
              <w:rPr>
                <w:rFonts w:eastAsiaTheme="minorEastAsia"/>
              </w:rPr>
              <w:t xml:space="preserve">. </w:t>
            </w:r>
          </w:p>
          <w:p w14:paraId="4A721757" w14:textId="4257F422" w:rsidR="0043501A" w:rsidRPr="00852120" w:rsidRDefault="0043501A" w:rsidP="00DF00C7">
            <w:pPr>
              <w:spacing w:line="360" w:lineRule="auto"/>
              <w:ind w:firstLine="669"/>
              <w:rPr>
                <w:rFonts w:eastAsiaTheme="minorEastAsia"/>
              </w:rPr>
            </w:pPr>
            <w:r w:rsidRPr="00852120">
              <w:rPr>
                <w:rFonts w:eastAsiaTheme="minorEastAsia"/>
              </w:rPr>
              <w:t xml:space="preserve">Тобто, вчинок визнається кримінальним правопорушенням, якщо він за своєю природою або передбачений національним кримінальним законом або законодавством sui generis або, наприкінці, санкція за правопорушення дорівнює, чи перевищує санкції передбачені національним кримінальним законом. Вказані три напрямки оцінки діяння </w:t>
            </w:r>
            <w:r w:rsidR="00852120" w:rsidRPr="00852120">
              <w:rPr>
                <w:rFonts w:eastAsiaTheme="minorEastAsia"/>
              </w:rPr>
              <w:t>акумулюють</w:t>
            </w:r>
            <w:r w:rsidRPr="00852120">
              <w:rPr>
                <w:rFonts w:eastAsiaTheme="minorEastAsia"/>
              </w:rPr>
              <w:t xml:space="preserve"> у концепті злочину (кримінального правопорушення) адміністративні делікти фізичних осіб, дисциплінарні вчинки, тощо. </w:t>
            </w:r>
          </w:p>
          <w:p w14:paraId="15F64A96" w14:textId="77777777" w:rsidR="0043501A" w:rsidRPr="00852120" w:rsidRDefault="0043501A" w:rsidP="00DF00C7">
            <w:pPr>
              <w:spacing w:line="360" w:lineRule="auto"/>
              <w:ind w:firstLine="669"/>
            </w:pPr>
            <w:r w:rsidRPr="00852120">
              <w:lastRenderedPageBreak/>
              <w:t>У найбільш загальному випадку тест Енгеля передбачає вивчення правової кваліфікації правопорушення відповідно до національного законодавства,  з’ясування самої природи правопорушення та ступеня суворості санкції.  Проте не завжди він спрацьовує. Наприклад, у справі Gestur Jónsson аnd Ragnar Halldór Hall v. Iceland</w:t>
            </w:r>
            <w:r w:rsidRPr="00852120">
              <w:rPr>
                <w:rStyle w:val="af1"/>
              </w:rPr>
              <w:footnoteReference w:id="7"/>
            </w:r>
            <w:r w:rsidRPr="00852120">
              <w:t xml:space="preserve">  ЄСПЛ відмовився визнати покаранням процесуальний штраф за неповагу до суду у розмірі 6200 євро. У спільній особливій думці до цього рішення  судді Сіціліанос, Раварані і Серхідес вказали: «Ніколи не слід забувати, що означає не потрапити під парасольку статті 6 ЄКПЛ: не що інше, як позбавлення гарантій справедливого судочинства. Це можна помітити, зокрема, у сфері дисциплінарного провадження, але не лише там. На кону можуть бути величезні інтереси, і такі провадження можуть призвести до надзвичайно жорстких санкцій. Люди можуть втратити роботу, піддатися зниженню заробітної плати або заборонам просування по службі або навіть арешту. Перспектива не користуватися гарантіями справедливого судочинства (змагального, перед незалежними та неупередженими суддями тощо) не дуже приваблива». </w:t>
            </w:r>
            <w:r w:rsidRPr="00852120">
              <w:rPr>
                <w:rStyle w:val="af1"/>
              </w:rPr>
              <w:footnoteReference w:id="8"/>
            </w:r>
          </w:p>
          <w:p w14:paraId="24981823" w14:textId="77777777" w:rsidR="0043501A" w:rsidRPr="00852120" w:rsidRDefault="0043501A" w:rsidP="00DF00C7">
            <w:pPr>
              <w:spacing w:line="360" w:lineRule="auto"/>
              <w:ind w:firstLine="669"/>
            </w:pPr>
            <w:r w:rsidRPr="00852120">
              <w:t xml:space="preserve">Зрозуміло, що кримінально-правовий захист основоположних прав і свобод відкриває менші перспективи для зловживання владою (відсутність права на оскарження, права на юридичну допомогу у більшості дисциплінарних проваджень, широкі можливості для зловживання правом, тощо). </w:t>
            </w:r>
          </w:p>
          <w:p w14:paraId="0325AA43" w14:textId="77777777" w:rsidR="00CC65A7" w:rsidRDefault="0043501A" w:rsidP="00DF00C7">
            <w:pPr>
              <w:spacing w:line="360" w:lineRule="auto"/>
              <w:ind w:firstLine="669"/>
            </w:pPr>
            <w:r w:rsidRPr="00852120">
              <w:t>І проблема ця не носить виключно національний характер. Відома критика практики застосування так званих «кримадмістративних» санкцій (кримінальних за природою, адміністративних по сутності) у багатьох публікаціях наукової спільноти.</w:t>
            </w:r>
            <w:r w:rsidRPr="00852120">
              <w:rPr>
                <w:rStyle w:val="af1"/>
              </w:rPr>
              <w:footnoteReference w:id="9"/>
            </w:r>
            <w:r w:rsidRPr="00852120">
              <w:t xml:space="preserve">  Відоме знакове рішення Європейського суду справедливості (справа </w:t>
            </w:r>
            <w:r w:rsidRPr="00852120">
              <w:lastRenderedPageBreak/>
              <w:t xml:space="preserve">Аклагарен від 26.02.2013 р.), яким Суд встановив, що ефективність кримінальної політики при конкуренції визначення адміністративних та кримінальних санкцій у національному законодавстві залежить від прерогативи національного судді використовувати в національному судочинстві для визначення сутності кримінального правопорушення критеріїв Енгеля </w:t>
            </w:r>
            <w:r w:rsidR="00852120">
              <w:t>Є</w:t>
            </w:r>
            <w:r w:rsidRPr="00852120">
              <w:t>вропейського суду з прав людини</w:t>
            </w:r>
            <w:r w:rsidRPr="00852120">
              <w:rPr>
                <w:rStyle w:val="af1"/>
              </w:rPr>
              <w:footnoteReference w:id="10"/>
            </w:r>
            <w:r w:rsidRPr="00852120">
              <w:t xml:space="preserve"> . </w:t>
            </w:r>
          </w:p>
          <w:p w14:paraId="79E2C0AA" w14:textId="79E5E240" w:rsidR="0043501A" w:rsidRPr="00852120" w:rsidRDefault="0043501A" w:rsidP="00DF00C7">
            <w:pPr>
              <w:spacing w:line="360" w:lineRule="auto"/>
              <w:ind w:firstLine="669"/>
            </w:pPr>
            <w:r w:rsidRPr="00852120">
              <w:t>Тобто інтерпретаційні характеристики у випадках конкуренції парадигм при відсутності суттєвих порушень прав людини передаються національним юрисдикціям при визнанні, як правило, субсидіарності, додатковості міждержавних інституційних механізмів.</w:t>
            </w:r>
            <w:r w:rsidRPr="00852120">
              <w:rPr>
                <w:rStyle w:val="af1"/>
              </w:rPr>
              <w:footnoteReference w:id="11"/>
            </w:r>
          </w:p>
          <w:p w14:paraId="15384A03" w14:textId="77777777" w:rsidR="00594A56" w:rsidRDefault="00594A56" w:rsidP="00DF00C7">
            <w:pPr>
              <w:spacing w:line="360" w:lineRule="auto"/>
              <w:ind w:firstLine="669"/>
              <w:rPr>
                <w:color w:val="000000"/>
              </w:rPr>
            </w:pPr>
            <w:r>
              <w:rPr>
                <w:color w:val="000000" w:themeColor="text1"/>
              </w:rPr>
              <w:t>С</w:t>
            </w:r>
            <w:r w:rsidRPr="00107CD0">
              <w:rPr>
                <w:color w:val="000000" w:themeColor="text1"/>
              </w:rPr>
              <w:t>еред багатьох соціальних завдань, які стоять перед Україною на шляху до Європейської спільноти, одним з найбільш значущих є охорона прав, свобод та законних інтересів держав</w:t>
            </w:r>
            <w:r>
              <w:rPr>
                <w:color w:val="000000" w:themeColor="text1"/>
              </w:rPr>
              <w:t>и</w:t>
            </w:r>
            <w:r w:rsidRPr="00107CD0">
              <w:rPr>
                <w:color w:val="000000" w:themeColor="text1"/>
              </w:rPr>
              <w:t xml:space="preserve">, соціальних груп, громадян та людей від злочинних посягань. </w:t>
            </w:r>
            <w:r w:rsidRPr="00AA2994">
              <w:rPr>
                <w:color w:val="000000" w:themeColor="text1"/>
              </w:rPr>
              <w:t>Приймаючи рішення щодо підтримки кандидатури України до вступу в ЄС</w:t>
            </w:r>
            <w:r w:rsidRPr="00AA2994">
              <w:rPr>
                <w:color w:val="000000" w:themeColor="text1"/>
                <w:lang w:val="ru-RU"/>
              </w:rPr>
              <w:t>.</w:t>
            </w:r>
            <w:r w:rsidRPr="00AA2994">
              <w:rPr>
                <w:color w:val="000000" w:themeColor="text1"/>
              </w:rPr>
              <w:t xml:space="preserve"> Європейська комісія звернула увагу на необхідність подальшого розвитку напрямку розвитку системи правосуддя та захисту фундаментальних прав людини законодавства України у відповідності із </w:t>
            </w:r>
            <w:r>
              <w:rPr>
                <w:color w:val="000000" w:themeColor="text1"/>
              </w:rPr>
              <w:t>правоположеннями</w:t>
            </w:r>
            <w:r w:rsidRPr="00AA2994">
              <w:rPr>
                <w:color w:val="000000" w:themeColor="text1"/>
              </w:rPr>
              <w:t xml:space="preserve"> ЄС в сфері юстиції, свободи та безпеки (</w:t>
            </w:r>
            <w:r w:rsidRPr="00AA2994">
              <w:rPr>
                <w:color w:val="000000"/>
              </w:rPr>
              <w:t xml:space="preserve">Justice, Freedom and Security). Суттєва роль у цьому належить розвитку кримінального законодавства України із спрямованістю останнього на </w:t>
            </w:r>
            <w:r>
              <w:rPr>
                <w:color w:val="000000"/>
              </w:rPr>
              <w:t xml:space="preserve">першочерговий </w:t>
            </w:r>
            <w:r w:rsidRPr="00AA2994">
              <w:rPr>
                <w:color w:val="000000"/>
              </w:rPr>
              <w:t>захист фундаментальних прав і свобод та безпеки громадянина.</w:t>
            </w:r>
          </w:p>
          <w:p w14:paraId="2B7C0A84" w14:textId="77777777" w:rsidR="00594A56" w:rsidRPr="00880AE5" w:rsidRDefault="00594A56" w:rsidP="00DF00C7">
            <w:pPr>
              <w:spacing w:line="360" w:lineRule="auto"/>
              <w:ind w:firstLine="669"/>
              <w:rPr>
                <w:color w:val="000000" w:themeColor="text1"/>
              </w:rPr>
            </w:pPr>
            <w:r>
              <w:rPr>
                <w:color w:val="000000"/>
              </w:rPr>
              <w:t>Заважаючи на значну кількість робот у цьому напрямку, які було оприлюднено у останні роки Ю.Бауліним, В.Борисовим, О.Ведерниковим, Н.Гуторовою, О.Житним, А.Музикою, В.Навроцьким,</w:t>
            </w:r>
            <w:r w:rsidRPr="00880AE5">
              <w:rPr>
                <w:color w:val="000000"/>
              </w:rPr>
              <w:t xml:space="preserve"> </w:t>
            </w:r>
            <w:r>
              <w:rPr>
                <w:color w:val="000000"/>
              </w:rPr>
              <w:t>М.Пановим, Ю.Пономаренко, М.Хавронюком, та ін.,</w:t>
            </w:r>
            <w:r>
              <w:rPr>
                <w:color w:val="000000" w:themeColor="text1"/>
              </w:rPr>
              <w:t xml:space="preserve"> </w:t>
            </w:r>
            <w:r w:rsidRPr="00AA2994">
              <w:rPr>
                <w:color w:val="000000"/>
              </w:rPr>
              <w:t xml:space="preserve">у практиці апроксимації національного кримінального законодавства до права ЕС існує значна кількість проблем, які </w:t>
            </w:r>
            <w:r w:rsidRPr="00AA2994">
              <w:rPr>
                <w:color w:val="000000"/>
              </w:rPr>
              <w:lastRenderedPageBreak/>
              <w:t>визвано певною новизною тематики, недостатністю досвіду</w:t>
            </w:r>
            <w:r>
              <w:rPr>
                <w:color w:val="000000"/>
              </w:rPr>
              <w:t xml:space="preserve">, </w:t>
            </w:r>
            <w:r w:rsidRPr="00AA2994">
              <w:rPr>
                <w:color w:val="000000"/>
              </w:rPr>
              <w:t>різницею правових культур</w:t>
            </w:r>
            <w:r>
              <w:rPr>
                <w:color w:val="000000"/>
              </w:rPr>
              <w:t>, зміною векторів розвитку кримінального законодавства та публічного права у цілому.</w:t>
            </w:r>
          </w:p>
          <w:p w14:paraId="78E014E0" w14:textId="77777777" w:rsidR="00594A56" w:rsidRPr="00DC77CA" w:rsidRDefault="00594A56" w:rsidP="00DF00C7">
            <w:pPr>
              <w:spacing w:line="360" w:lineRule="auto"/>
              <w:ind w:firstLine="669"/>
              <w:rPr>
                <w:color w:val="000000" w:themeColor="text1"/>
              </w:rPr>
            </w:pPr>
            <w:r>
              <w:rPr>
                <w:color w:val="000000" w:themeColor="text1"/>
              </w:rPr>
              <w:t>Аксіоматично, що г</w:t>
            </w:r>
            <w:r w:rsidRPr="00107CD0">
              <w:rPr>
                <w:color w:val="000000" w:themeColor="text1"/>
              </w:rPr>
              <w:t>лобалізація та фрагментація законодавства</w:t>
            </w:r>
            <w:r>
              <w:rPr>
                <w:color w:val="000000" w:themeColor="text1"/>
              </w:rPr>
              <w:t xml:space="preserve"> в контексті визначення суверенітетів та </w:t>
            </w:r>
            <w:r>
              <w:rPr>
                <w:color w:val="000000" w:themeColor="text1"/>
                <w:lang w:val="en-US"/>
              </w:rPr>
              <w:t>ultima</w:t>
            </w:r>
            <w:r w:rsidRPr="00FA1657">
              <w:rPr>
                <w:color w:val="000000" w:themeColor="text1"/>
              </w:rPr>
              <w:t xml:space="preserve"> </w:t>
            </w:r>
            <w:r>
              <w:rPr>
                <w:color w:val="000000" w:themeColor="text1"/>
                <w:lang w:val="en-US"/>
              </w:rPr>
              <w:t>ratio</w:t>
            </w:r>
            <w:r w:rsidRPr="00107CD0">
              <w:rPr>
                <w:color w:val="000000" w:themeColor="text1"/>
              </w:rPr>
              <w:t xml:space="preserve"> є гомеостатичними процесами, що формують баланс кримінально-правового реагування</w:t>
            </w:r>
            <w:r>
              <w:rPr>
                <w:color w:val="000000" w:themeColor="text1"/>
              </w:rPr>
              <w:t xml:space="preserve"> сьогодення</w:t>
            </w:r>
            <w:r w:rsidRPr="00107CD0">
              <w:rPr>
                <w:color w:val="000000" w:themeColor="text1"/>
              </w:rPr>
              <w:t>.</w:t>
            </w:r>
            <w:r>
              <w:rPr>
                <w:color w:val="000000" w:themeColor="text1"/>
              </w:rPr>
              <w:t xml:space="preserve"> «</w:t>
            </w:r>
            <w:r w:rsidRPr="00FA1657">
              <w:rPr>
                <w:color w:val="000000" w:themeColor="text1"/>
              </w:rPr>
              <w:t>Кримінально-правовим балансом (кримінально-правовою збалансованістю) є оптимальне співвідношення між складниками кримінального права (внутрішній кримінально-правовий баланс), між сутностями, які є спільними для кримінального права і сфер людської життєдіяльності, відмінних від кримінального права (перехресний кримінально-правовий баланс), і між відмінними від кримінального права складниками суспільства і кримінальним правом (зовнішній кримінально- правовий баланс)», - писав О. Гуртовенко</w:t>
            </w:r>
            <w:r w:rsidRPr="00FA1657">
              <w:rPr>
                <w:color w:val="000000" w:themeColor="text1"/>
                <w:vertAlign w:val="superscript"/>
              </w:rPr>
              <w:footnoteReference w:id="12"/>
            </w:r>
            <w:r w:rsidRPr="00FA1657">
              <w:rPr>
                <w:color w:val="000000" w:themeColor="text1"/>
                <w:vertAlign w:val="superscript"/>
              </w:rPr>
              <w:t xml:space="preserve"> </w:t>
            </w:r>
            <w:r>
              <w:rPr>
                <w:color w:val="000000" w:themeColor="text1"/>
              </w:rPr>
              <w:t>.</w:t>
            </w:r>
          </w:p>
          <w:p w14:paraId="478DD3B4" w14:textId="77777777" w:rsidR="00594A56" w:rsidRPr="00107CD0" w:rsidRDefault="00594A56" w:rsidP="00DF00C7">
            <w:pPr>
              <w:spacing w:line="360" w:lineRule="auto"/>
              <w:ind w:firstLine="669"/>
              <w:rPr>
                <w:color w:val="000000" w:themeColor="text1"/>
              </w:rPr>
            </w:pPr>
            <w:r>
              <w:rPr>
                <w:color w:val="000000" w:themeColor="text1"/>
              </w:rPr>
              <w:t xml:space="preserve">Для цілей нашого дослідження </w:t>
            </w:r>
            <w:r w:rsidRPr="00FA1657">
              <w:rPr>
                <w:i/>
                <w:iCs/>
                <w:color w:val="000000" w:themeColor="text1"/>
              </w:rPr>
              <w:t>п</w:t>
            </w:r>
            <w:r w:rsidRPr="00107CD0">
              <w:rPr>
                <w:i/>
                <w:iCs/>
                <w:color w:val="000000" w:themeColor="text1"/>
              </w:rPr>
              <w:t>ід балансом кримінально-правового реагування ми розуміємо  відповідність засобів кримінально-правового впливу консолідованому визначенню рівня злочинності та рівня віктимності у державі</w:t>
            </w:r>
            <w:r w:rsidRPr="00107CD0">
              <w:rPr>
                <w:color w:val="000000" w:themeColor="text1"/>
              </w:rPr>
              <w:t xml:space="preserve"> з урахуванням положень міжнародного права (міжнародного кримінального та міжнародного гуманітарного, права прав людини, </w:t>
            </w:r>
            <w:r>
              <w:rPr>
                <w:color w:val="000000" w:themeColor="text1"/>
              </w:rPr>
              <w:t xml:space="preserve">та </w:t>
            </w:r>
            <w:r w:rsidRPr="00107CD0">
              <w:rPr>
                <w:color w:val="000000" w:themeColor="text1"/>
              </w:rPr>
              <w:t>супранаціонального права ЄС).</w:t>
            </w:r>
            <w:r>
              <w:rPr>
                <w:color w:val="000000" w:themeColor="text1"/>
              </w:rPr>
              <w:t xml:space="preserve"> </w:t>
            </w:r>
            <w:r w:rsidRPr="00107CD0">
              <w:rPr>
                <w:color w:val="000000" w:themeColor="text1"/>
              </w:rPr>
              <w:t xml:space="preserve">Кримінальні закони є одними з механізмів убезпечення безпеки людини та держави. Кримінальна відповідальність є взаємною сукупністю кореспондуючих прав і обов'язків держави, правопорушника, жертви та третіх осіб при вчиненні кримінального правопорушення. Питання соціальної функції кримінального права у сучасних умовах набувають посиленого значення, адже згадана функція забезпечується найгострішою силою примусу і поєднує інтереси ЄС, держави, громадянського суспільства та громадян у протидії злочинності як на національному так і на міжнародному рівні. </w:t>
            </w:r>
          </w:p>
          <w:p w14:paraId="26FF83AC" w14:textId="77777777" w:rsidR="00594A56" w:rsidRPr="00107CD0" w:rsidRDefault="00594A56" w:rsidP="00DF00C7">
            <w:pPr>
              <w:spacing w:line="360" w:lineRule="auto"/>
              <w:ind w:firstLine="669"/>
              <w:rPr>
                <w:color w:val="000000" w:themeColor="text1"/>
              </w:rPr>
            </w:pPr>
            <w:r w:rsidRPr="00107CD0">
              <w:rPr>
                <w:color w:val="000000" w:themeColor="text1"/>
              </w:rPr>
              <w:t xml:space="preserve">Розвиток публічно-правових аспектів права притулку, прикордонної справи, </w:t>
            </w:r>
            <w:r w:rsidRPr="00107CD0">
              <w:rPr>
                <w:color w:val="000000" w:themeColor="text1"/>
              </w:rPr>
              <w:lastRenderedPageBreak/>
              <w:t>імміграційної політики, умов поводження з іноземцями, боротьби з нелегальною міграцією, незаконним обігом наркотиків, міжнародним шахрайством, судовим та митним співробітництвом та кооперацією, поліцейським співробітництвом віднесено Європейським законодавством до третього стовпу права ЄС, апроксимація до якого є нагальним завданням Українських науковців.</w:t>
            </w:r>
          </w:p>
          <w:p w14:paraId="336B2AD0" w14:textId="77777777" w:rsidR="00594A56" w:rsidRPr="00107CD0" w:rsidRDefault="00594A56" w:rsidP="00DF00C7">
            <w:pPr>
              <w:spacing w:line="360" w:lineRule="auto"/>
              <w:ind w:firstLine="669"/>
              <w:rPr>
                <w:color w:val="000000" w:themeColor="text1"/>
              </w:rPr>
            </w:pPr>
            <w:r w:rsidRPr="00107CD0">
              <w:rPr>
                <w:color w:val="000000" w:themeColor="text1"/>
              </w:rPr>
              <w:t xml:space="preserve">Саме про це </w:t>
            </w:r>
            <w:r>
              <w:rPr>
                <w:color w:val="000000" w:themeColor="text1"/>
              </w:rPr>
              <w:t xml:space="preserve">неодноразово </w:t>
            </w:r>
            <w:r w:rsidRPr="00107CD0">
              <w:rPr>
                <w:color w:val="000000" w:themeColor="text1"/>
              </w:rPr>
              <w:t>довелося писати</w:t>
            </w:r>
            <w:r>
              <w:rPr>
                <w:rStyle w:val="af1"/>
                <w:color w:val="000000" w:themeColor="text1"/>
              </w:rPr>
              <w:footnoteReference w:id="13"/>
            </w:r>
            <w:r w:rsidRPr="00107CD0">
              <w:rPr>
                <w:color w:val="000000" w:themeColor="text1"/>
                <w:lang w:val="ru-RU"/>
              </w:rPr>
              <w:t xml:space="preserve">. </w:t>
            </w:r>
            <w:r w:rsidRPr="00107CD0">
              <w:rPr>
                <w:color w:val="000000" w:themeColor="text1"/>
              </w:rPr>
              <w:t>Деякі з пропозицій було враховано, деякі чекають свого часу, деякі лишилися сенсу з розвитком законодавства та змінами векторів кримінальної політики. Але сутнісне те, що іншого шляху</w:t>
            </w:r>
            <w:r>
              <w:rPr>
                <w:color w:val="000000" w:themeColor="text1"/>
              </w:rPr>
              <w:t>,</w:t>
            </w:r>
            <w:r w:rsidRPr="00107CD0">
              <w:rPr>
                <w:color w:val="000000" w:themeColor="text1"/>
              </w:rPr>
              <w:t xml:space="preserve"> ніж апроксимація</w:t>
            </w:r>
            <w:r>
              <w:rPr>
                <w:color w:val="000000" w:themeColor="text1"/>
              </w:rPr>
              <w:t>,</w:t>
            </w:r>
            <w:r w:rsidRPr="00107CD0">
              <w:rPr>
                <w:color w:val="000000" w:themeColor="text1"/>
              </w:rPr>
              <w:t xml:space="preserve"> не існує. Як слушно зауважив В.Навроцький у низці своїх </w:t>
            </w:r>
            <w:r>
              <w:rPr>
                <w:color w:val="000000" w:themeColor="text1"/>
              </w:rPr>
              <w:t>публічних</w:t>
            </w:r>
            <w:r w:rsidRPr="00107CD0">
              <w:rPr>
                <w:color w:val="000000" w:themeColor="text1"/>
              </w:rPr>
              <w:t xml:space="preserve"> виступів, сліпе копіювання Європейських директив приведе до конфлікту у кримінально-правовому регулюванні в Україні та колапсу у піднесенні до </w:t>
            </w:r>
            <w:r w:rsidRPr="00107CD0">
              <w:rPr>
                <w:color w:val="000000" w:themeColor="text1"/>
                <w:lang w:val="en-US"/>
              </w:rPr>
              <w:t>Aquis</w:t>
            </w:r>
            <w:r w:rsidRPr="00107CD0">
              <w:rPr>
                <w:color w:val="000000" w:themeColor="text1"/>
              </w:rPr>
              <w:t>.</w:t>
            </w:r>
          </w:p>
          <w:p w14:paraId="3156326C" w14:textId="77777777" w:rsidR="00594A56" w:rsidRPr="00107CD0" w:rsidRDefault="00594A56" w:rsidP="00DF00C7">
            <w:pPr>
              <w:spacing w:line="360" w:lineRule="auto"/>
              <w:ind w:firstLine="669"/>
              <w:rPr>
                <w:i/>
                <w:iCs/>
                <w:color w:val="000000" w:themeColor="text1"/>
              </w:rPr>
            </w:pPr>
            <w:r w:rsidRPr="00107CD0">
              <w:rPr>
                <w:i/>
                <w:iCs/>
                <w:color w:val="000000" w:themeColor="text1"/>
              </w:rPr>
              <w:t xml:space="preserve">Алгоритм відпрацювання апроксимації відомий: аналіз діючого </w:t>
            </w:r>
            <w:r>
              <w:rPr>
                <w:i/>
                <w:iCs/>
                <w:color w:val="000000" w:themeColor="text1"/>
              </w:rPr>
              <w:t xml:space="preserve">кримінального </w:t>
            </w:r>
            <w:r w:rsidRPr="00107CD0">
              <w:rPr>
                <w:i/>
                <w:iCs/>
                <w:color w:val="000000" w:themeColor="text1"/>
              </w:rPr>
              <w:t>законодавства ЄС</w:t>
            </w:r>
            <w:r w:rsidRPr="000F3035">
              <w:rPr>
                <w:i/>
                <w:iCs/>
                <w:color w:val="000000" w:themeColor="text1"/>
              </w:rPr>
              <w:t xml:space="preserve"> </w:t>
            </w:r>
            <w:r>
              <w:rPr>
                <w:i/>
                <w:iCs/>
                <w:color w:val="000000" w:themeColor="text1"/>
              </w:rPr>
              <w:t>супранаціональго рівня</w:t>
            </w:r>
            <w:r w:rsidRPr="00107CD0">
              <w:rPr>
                <w:i/>
                <w:iCs/>
                <w:color w:val="000000" w:themeColor="text1"/>
              </w:rPr>
              <w:t xml:space="preserve">, практики Європейського суду справедливості, </w:t>
            </w:r>
            <w:r>
              <w:rPr>
                <w:i/>
                <w:iCs/>
                <w:color w:val="000000" w:themeColor="text1"/>
              </w:rPr>
              <w:t>директив</w:t>
            </w:r>
            <w:r w:rsidRPr="00107CD0">
              <w:rPr>
                <w:i/>
                <w:iCs/>
                <w:color w:val="000000" w:themeColor="text1"/>
              </w:rPr>
              <w:t xml:space="preserve"> Європейської комісії, процедур притягнення до відповідальності за порушення чи недотримання законодавства ЄС, проектів Директив ЄК з приводу кримінальної політики </w:t>
            </w:r>
            <w:r>
              <w:rPr>
                <w:i/>
                <w:iCs/>
                <w:color w:val="000000" w:themeColor="text1"/>
              </w:rPr>
              <w:t xml:space="preserve">криміналізації та пеналізації діянь </w:t>
            </w:r>
            <w:r w:rsidRPr="00107CD0">
              <w:rPr>
                <w:i/>
                <w:iCs/>
                <w:color w:val="000000" w:themeColor="text1"/>
              </w:rPr>
              <w:t>(матеріальний, процедурний, процесуальний, пенітенціарний та превентивний аспекти)</w:t>
            </w:r>
            <w:r>
              <w:rPr>
                <w:i/>
                <w:iCs/>
                <w:color w:val="000000" w:themeColor="text1"/>
              </w:rPr>
              <w:t>, загальноєвропейського законодавства некримінального профілю, що потребує додаткового захисту нормами кримінального права</w:t>
            </w:r>
            <w:r w:rsidRPr="00107CD0">
              <w:rPr>
                <w:i/>
                <w:iCs/>
                <w:color w:val="000000" w:themeColor="text1"/>
              </w:rPr>
              <w:t>.</w:t>
            </w:r>
          </w:p>
          <w:p w14:paraId="52D9304D" w14:textId="77777777" w:rsidR="00594A56" w:rsidRPr="00107CD0" w:rsidRDefault="00594A56" w:rsidP="00DF00C7">
            <w:pPr>
              <w:spacing w:line="360" w:lineRule="auto"/>
              <w:ind w:firstLine="669"/>
              <w:rPr>
                <w:color w:val="000000" w:themeColor="text1"/>
              </w:rPr>
            </w:pPr>
            <w:r w:rsidRPr="00107CD0">
              <w:rPr>
                <w:color w:val="000000" w:themeColor="text1"/>
              </w:rPr>
              <w:t>Так, Лісабонський договір у ст. 83.1 проголошує, що "Європейський Парламент та Рада можуть, шляхом директиви, прийнятої відповідно до звичайної законодавчої процедури, встановити мінімальні правила щодо визначення кримінальних правопорушень та санкцій в області особливо тяжких злочинів з транскордонними характеристиками, що виникають внаслідок характеру чи наслідків таких правопорушень або особливої потреби в боротьбі з ними на загальних засадах</w:t>
            </w:r>
            <w:r>
              <w:rPr>
                <w:rStyle w:val="af1"/>
                <w:color w:val="000000" w:themeColor="text1"/>
              </w:rPr>
              <w:footnoteReference w:id="14"/>
            </w:r>
            <w:r w:rsidRPr="00107CD0">
              <w:rPr>
                <w:color w:val="000000" w:themeColor="text1"/>
              </w:rPr>
              <w:t xml:space="preserve">. Ці сфери злочинності є наступними: тероризм, торгівля людьми та сексуальна експлуатація жінок та дітей, незаконний обіг наркотиків, незаконний обіг зброї, торгівля людьми, відмивання грошей, корупція, підробка засобів оплати, комп’ютерна злочинність та організована злочинність </w:t>
            </w:r>
            <w:r>
              <w:rPr>
                <w:rStyle w:val="af1"/>
                <w:color w:val="000000" w:themeColor="text1"/>
              </w:rPr>
              <w:footnoteReference w:id="15"/>
            </w:r>
            <w:r w:rsidRPr="00E85B63">
              <w:rPr>
                <w:color w:val="000000" w:themeColor="text1"/>
              </w:rPr>
              <w:t xml:space="preserve">. </w:t>
            </w:r>
            <w:r w:rsidRPr="00107CD0">
              <w:rPr>
                <w:color w:val="000000" w:themeColor="text1"/>
              </w:rPr>
              <w:t xml:space="preserve"> </w:t>
            </w:r>
          </w:p>
          <w:p w14:paraId="711ED65B" w14:textId="77777777" w:rsidR="00594A56" w:rsidRPr="00107CD0" w:rsidRDefault="00594A56" w:rsidP="00DF00C7">
            <w:pPr>
              <w:spacing w:line="360" w:lineRule="auto"/>
              <w:ind w:firstLine="669"/>
              <w:rPr>
                <w:color w:val="000000" w:themeColor="text1"/>
              </w:rPr>
            </w:pPr>
            <w:r w:rsidRPr="00107CD0">
              <w:rPr>
                <w:color w:val="000000" w:themeColor="text1"/>
              </w:rPr>
              <w:t>На жаль, як показало життя, на шляху апроксимації виникають окремі проблеми.</w:t>
            </w:r>
          </w:p>
          <w:p w14:paraId="47125FD6" w14:textId="77777777" w:rsidR="00594A56" w:rsidRPr="009D0FF0" w:rsidRDefault="00594A56" w:rsidP="00DF00C7">
            <w:pPr>
              <w:spacing w:line="360" w:lineRule="auto"/>
              <w:ind w:firstLine="669"/>
              <w:rPr>
                <w:color w:val="000000" w:themeColor="text1"/>
              </w:rPr>
            </w:pPr>
            <w:r w:rsidRPr="00107CD0">
              <w:rPr>
                <w:color w:val="000000" w:themeColor="text1"/>
              </w:rPr>
              <w:t xml:space="preserve">По-перше, руйнування нормативної усталеності кримінально-правових інститутів – розмивання сфери кримінально-правового регулювання. </w:t>
            </w:r>
            <w:r w:rsidRPr="00107CD0">
              <w:rPr>
                <w:color w:val="000000"/>
              </w:rPr>
              <w:t>Апроксимаційні проблеми набувають додаткових труднощів у зв’язку із політикою примату прав людини при розв’язанні протиріч між публічно-правовими приписами та статусом особистості.</w:t>
            </w:r>
            <w:r>
              <w:rPr>
                <w:color w:val="000000"/>
              </w:rPr>
              <w:t xml:space="preserve"> </w:t>
            </w:r>
            <w:r w:rsidRPr="00107CD0">
              <w:rPr>
                <w:color w:val="000000" w:themeColor="text1"/>
              </w:rPr>
              <w:t xml:space="preserve">Концепція досить проста: </w:t>
            </w:r>
            <w:r>
              <w:rPr>
                <w:color w:val="000000" w:themeColor="text1"/>
              </w:rPr>
              <w:t>публічне</w:t>
            </w:r>
            <w:r w:rsidRPr="00107CD0">
              <w:rPr>
                <w:color w:val="000000" w:themeColor="text1"/>
              </w:rPr>
              <w:t xml:space="preserve"> право ЄС демонструє перехід до різноманітної системи  адміністративних та дисциплінарних практик, яка по суті лише частково заснована на приматі прав людини. </w:t>
            </w:r>
            <w:r>
              <w:rPr>
                <w:color w:val="000000" w:themeColor="text1"/>
              </w:rPr>
              <w:t xml:space="preserve">З одного боку, задля швидкості реагування на відповідні порушення, </w:t>
            </w:r>
            <w:r w:rsidRPr="00107CD0">
              <w:rPr>
                <w:color w:val="000000" w:themeColor="text1"/>
              </w:rPr>
              <w:t xml:space="preserve">кримінально-правове регулювання в питанні державної легітимації певних заборон замінюється поширенням адміністративних практик. Зрозуміло, що кримінально-правовий захист основоположних прав і свобод відкриває менші перспективи для зловживання владою (відсутність права на оскарження, права на юридичну допомогу у більшості дисциплінарних та адміністративних проваджень, широкі можливості для зловживання правом, тощо). З цієї причини </w:t>
            </w:r>
            <w:r w:rsidRPr="00845DB9">
              <w:rPr>
                <w:i/>
                <w:iCs/>
                <w:color w:val="000000" w:themeColor="text1"/>
              </w:rPr>
              <w:t xml:space="preserve">в сучасних демократичних суспільствах система кримінального правосуддя відображує контроль девіацій у максимально допустимий бюджетом спосіб за умов використання принципу доцільності </w:t>
            </w:r>
            <w:r>
              <w:rPr>
                <w:i/>
                <w:iCs/>
                <w:color w:val="000000" w:themeColor="text1"/>
              </w:rPr>
              <w:t xml:space="preserve">та </w:t>
            </w:r>
            <w:r w:rsidRPr="00845DB9">
              <w:rPr>
                <w:i/>
                <w:iCs/>
                <w:color w:val="000000" w:themeColor="text1"/>
              </w:rPr>
              <w:t>пропорці</w:t>
            </w:r>
            <w:r>
              <w:rPr>
                <w:i/>
                <w:iCs/>
                <w:color w:val="000000" w:themeColor="text1"/>
              </w:rPr>
              <w:t>йн</w:t>
            </w:r>
            <w:r w:rsidRPr="00845DB9">
              <w:rPr>
                <w:i/>
                <w:iCs/>
                <w:color w:val="000000" w:themeColor="text1"/>
              </w:rPr>
              <w:t xml:space="preserve">ості примусу. </w:t>
            </w:r>
          </w:p>
          <w:p w14:paraId="26F37B79" w14:textId="77777777" w:rsidR="00594A56" w:rsidRDefault="00594A56" w:rsidP="00DF00C7">
            <w:pPr>
              <w:spacing w:line="360" w:lineRule="auto"/>
              <w:ind w:firstLine="669"/>
              <w:rPr>
                <w:color w:val="000000" w:themeColor="text1"/>
              </w:rPr>
            </w:pPr>
            <w:r w:rsidRPr="00107CD0">
              <w:rPr>
                <w:color w:val="000000" w:themeColor="text1"/>
              </w:rPr>
              <w:t>Пов'язані із кримінальним правом у вигляді узгодження санкцій за особливо тяжкі злочини практики розповсюджуються серед усієї системи норм публічного права.</w:t>
            </w:r>
            <w:r w:rsidRPr="00D43285">
              <w:rPr>
                <w:color w:val="000000" w:themeColor="text1"/>
              </w:rPr>
              <w:t xml:space="preserve"> </w:t>
            </w:r>
            <w:r w:rsidRPr="00107CD0">
              <w:rPr>
                <w:color w:val="000000" w:themeColor="text1"/>
              </w:rPr>
              <w:t xml:space="preserve">Це не є виключно відповідною рисою постмодернистської ідеології. Цьому передували розвиток зловживань владою та корупційних практик, порушень прав людини, дисфункції інститутів влади, зловживання каральними та дисциплінарними практиками, суспільне (глобальне) нехтування легітимністю у значній частині країн світу. Доречи, з це використовують імперська з одного боку та постколоніальна ідеологія окремих країн з другого. При конфлікті доцільності та законності, як у  русько-китайських імперіальних симулякрах </w:t>
            </w:r>
            <w:r>
              <w:rPr>
                <w:color w:val="000000" w:themeColor="text1"/>
              </w:rPr>
              <w:t>і</w:t>
            </w:r>
            <w:r w:rsidRPr="00107CD0">
              <w:rPr>
                <w:color w:val="000000" w:themeColor="text1"/>
              </w:rPr>
              <w:t>з загарбницькою ідеологією XIX століття, так і у сучасних плюралістичних демократіях, спрацьовує доцільність.</w:t>
            </w:r>
            <w:r>
              <w:rPr>
                <w:color w:val="000000" w:themeColor="text1"/>
              </w:rPr>
              <w:t xml:space="preserve"> </w:t>
            </w:r>
            <w:r>
              <w:rPr>
                <w:color w:val="000000" w:themeColor="text1"/>
                <w:lang w:val="en-US"/>
              </w:rPr>
              <w:t>I</w:t>
            </w:r>
            <w:r w:rsidRPr="00107CD0">
              <w:rPr>
                <w:color w:val="000000" w:themeColor="text1"/>
              </w:rPr>
              <w:t>деологія захисту основних людських цінностей у сучасних умовах заміщує (додає) юридичній рівності риси доцільності. Суспільство-в’язниця розпиляючи владу між різними суб’єктами, поширює дисциплінарні практики застосування сили та примусу, які не обмежені процедурами судового захисту. Демократичне суспільство теж застосовує такі ж практики, але не у такому обсязі, та й під парасолькою можливого судового захисту. Поруч з цим відома практика незаконного позбавлення волі на території  інших юрисдикцій</w:t>
            </w:r>
            <w:r>
              <w:rPr>
                <w:rStyle w:val="af1"/>
                <w:color w:val="000000" w:themeColor="text1"/>
              </w:rPr>
              <w:footnoteReference w:id="16"/>
            </w:r>
            <w:r w:rsidRPr="00107CD0">
              <w:rPr>
                <w:color w:val="000000" w:themeColor="text1"/>
              </w:rPr>
              <w:t>, застосування досудового ув’язнення як заходу фільтрації</w:t>
            </w:r>
            <w:r>
              <w:rPr>
                <w:rStyle w:val="af1"/>
                <w:color w:val="000000" w:themeColor="text1"/>
              </w:rPr>
              <w:footnoteReference w:id="17"/>
            </w:r>
            <w:r w:rsidRPr="00107CD0">
              <w:rPr>
                <w:color w:val="000000" w:themeColor="text1"/>
              </w:rPr>
              <w:t xml:space="preserve">, </w:t>
            </w:r>
            <w:r>
              <w:rPr>
                <w:color w:val="000000" w:themeColor="text1"/>
              </w:rPr>
              <w:t>зловживання штучним наданням привілеїв та імунітетів при притягненні до кримінальної відповідальності (латентні штучні ситуації)</w:t>
            </w:r>
            <w:r>
              <w:rPr>
                <w:rStyle w:val="af1"/>
                <w:color w:val="000000" w:themeColor="text1"/>
              </w:rPr>
              <w:footnoteReference w:id="18"/>
            </w:r>
            <w:r>
              <w:rPr>
                <w:color w:val="000000" w:themeColor="text1"/>
              </w:rPr>
              <w:t>, нормативне порушення принципу рівності при призначенні покарання військовослужбовцям та службовим особам, тощо</w:t>
            </w:r>
            <w:r>
              <w:rPr>
                <w:rStyle w:val="af1"/>
                <w:color w:val="000000" w:themeColor="text1"/>
              </w:rPr>
              <w:footnoteReference w:id="19"/>
            </w:r>
            <w:r w:rsidRPr="00107CD0">
              <w:rPr>
                <w:color w:val="000000" w:themeColor="text1"/>
              </w:rPr>
              <w:t xml:space="preserve">. </w:t>
            </w:r>
          </w:p>
          <w:p w14:paraId="65D4858E" w14:textId="77777777" w:rsidR="00594A56" w:rsidRPr="00290CAD" w:rsidRDefault="00594A56" w:rsidP="00DF00C7">
            <w:pPr>
              <w:spacing w:line="360" w:lineRule="auto"/>
              <w:ind w:firstLine="669"/>
              <w:rPr>
                <w:color w:val="000000" w:themeColor="text1"/>
              </w:rPr>
            </w:pPr>
            <w:r w:rsidRPr="00107CD0">
              <w:rPr>
                <w:color w:val="000000" w:themeColor="text1"/>
              </w:rPr>
              <w:t xml:space="preserve">Вочевидь, це пов’язане із ситуаціями крайньої необхідності та виправдовується потребами у державній безпеці. </w:t>
            </w:r>
            <w:r>
              <w:rPr>
                <w:color w:val="000000" w:themeColor="text1"/>
              </w:rPr>
              <w:t>І</w:t>
            </w:r>
            <w:r w:rsidRPr="00107CD0">
              <w:rPr>
                <w:color w:val="000000" w:themeColor="text1"/>
              </w:rPr>
              <w:t xml:space="preserve">снують протиріччя між потребою </w:t>
            </w:r>
            <w:r>
              <w:rPr>
                <w:color w:val="000000" w:themeColor="text1"/>
              </w:rPr>
              <w:t xml:space="preserve">європейської спільноти, окремої </w:t>
            </w:r>
            <w:r w:rsidRPr="00107CD0">
              <w:rPr>
                <w:color w:val="000000" w:themeColor="text1"/>
              </w:rPr>
              <w:t>держави у безпеці, доцільністю застосування примусових заходів</w:t>
            </w:r>
            <w:r>
              <w:rPr>
                <w:color w:val="000000" w:themeColor="text1"/>
              </w:rPr>
              <w:t xml:space="preserve">, </w:t>
            </w:r>
            <w:r w:rsidRPr="00107CD0">
              <w:rPr>
                <w:color w:val="000000" w:themeColor="text1"/>
              </w:rPr>
              <w:t>зловживання</w:t>
            </w:r>
            <w:r>
              <w:rPr>
                <w:color w:val="000000" w:themeColor="text1"/>
              </w:rPr>
              <w:t>ми</w:t>
            </w:r>
            <w:r w:rsidRPr="00107CD0">
              <w:rPr>
                <w:color w:val="000000" w:themeColor="text1"/>
              </w:rPr>
              <w:t xml:space="preserve"> </w:t>
            </w:r>
            <w:r>
              <w:rPr>
                <w:color w:val="000000" w:themeColor="text1"/>
              </w:rPr>
              <w:t xml:space="preserve"> правом та </w:t>
            </w:r>
            <w:r w:rsidRPr="00107CD0">
              <w:rPr>
                <w:color w:val="000000" w:themeColor="text1"/>
              </w:rPr>
              <w:t xml:space="preserve">владою та міжнародно визнаними стандартами прав людини  У справі Big Brothers Watch and others vs UK ЄСПЛ встановив необхідність </w:t>
            </w:r>
            <w:r>
              <w:rPr>
                <w:color w:val="000000" w:themeColor="text1"/>
              </w:rPr>
              <w:t>узгодження із</w:t>
            </w:r>
            <w:r w:rsidRPr="00107CD0">
              <w:rPr>
                <w:color w:val="000000" w:themeColor="text1"/>
              </w:rPr>
              <w:t xml:space="preserve"> Конвенцією режиму таємного спостереження, включаючи масове перехоплення зв'язку та обмін розвідданими при суспільній значущості розробки прецедентного права  та адаптованого тесту оцінки доцільності у світлі важливих відмінностей між цілеспрямованим перехопленням індивідуальної інформації та масовим перехопленням останньої</w:t>
            </w:r>
            <w:r>
              <w:rPr>
                <w:rStyle w:val="af1"/>
                <w:color w:val="000000" w:themeColor="text1"/>
              </w:rPr>
              <w:footnoteReference w:id="20"/>
            </w:r>
            <w:r w:rsidRPr="00107CD0">
              <w:rPr>
                <w:color w:val="000000" w:themeColor="text1"/>
              </w:rPr>
              <w:t xml:space="preserve">. </w:t>
            </w:r>
            <w:r>
              <w:rPr>
                <w:color w:val="000000" w:themeColor="text1"/>
              </w:rPr>
              <w:t xml:space="preserve">Звідси для підтримки оптимального балансу кримінально-правового регулювання законність та нормативна визначеність </w:t>
            </w:r>
            <w:r>
              <w:rPr>
                <w:color w:val="000000" w:themeColor="text1"/>
                <w:lang w:val="en-US"/>
              </w:rPr>
              <w:t>ultima</w:t>
            </w:r>
            <w:r w:rsidRPr="00290CAD">
              <w:rPr>
                <w:color w:val="000000" w:themeColor="text1"/>
              </w:rPr>
              <w:t xml:space="preserve"> </w:t>
            </w:r>
            <w:r>
              <w:rPr>
                <w:color w:val="000000" w:themeColor="text1"/>
                <w:lang w:val="en-US"/>
              </w:rPr>
              <w:t>ratio</w:t>
            </w:r>
            <w:r w:rsidRPr="00290CAD">
              <w:rPr>
                <w:color w:val="000000" w:themeColor="text1"/>
              </w:rPr>
              <w:t xml:space="preserve"> </w:t>
            </w:r>
            <w:r>
              <w:rPr>
                <w:color w:val="000000" w:themeColor="text1"/>
              </w:rPr>
              <w:t>кореспондують субсидіарності прямого запозичення чи апроксимації супранаціональних правових приписів. Доцільність кримінально-правової заборони повинна відповідати пропорційності застосування засобів впливу потребам суспільної значущості обмеження прав громадян.</w:t>
            </w:r>
          </w:p>
          <w:p w14:paraId="2514860F" w14:textId="77777777" w:rsidR="00594A56" w:rsidRPr="00290CAD" w:rsidRDefault="00594A56" w:rsidP="00DF00C7">
            <w:pPr>
              <w:spacing w:line="360" w:lineRule="auto"/>
              <w:ind w:firstLine="669"/>
              <w:rPr>
                <w:i/>
                <w:iCs/>
                <w:color w:val="000000" w:themeColor="text1"/>
              </w:rPr>
            </w:pPr>
            <w:r w:rsidRPr="00107CD0">
              <w:rPr>
                <w:i/>
                <w:iCs/>
                <w:color w:val="000000" w:themeColor="text1"/>
              </w:rPr>
              <w:t>Отже законність</w:t>
            </w:r>
            <w:r w:rsidRPr="00FE02A1">
              <w:rPr>
                <w:i/>
                <w:iCs/>
                <w:color w:val="000000" w:themeColor="text1"/>
              </w:rPr>
              <w:t xml:space="preserve"> </w:t>
            </w:r>
            <w:r>
              <w:rPr>
                <w:i/>
                <w:iCs/>
                <w:color w:val="000000" w:themeColor="text1"/>
              </w:rPr>
              <w:t>та</w:t>
            </w:r>
            <w:r w:rsidRPr="00107CD0">
              <w:rPr>
                <w:i/>
                <w:iCs/>
                <w:color w:val="000000" w:themeColor="text1"/>
              </w:rPr>
              <w:t xml:space="preserve"> </w:t>
            </w:r>
            <w:r>
              <w:rPr>
                <w:i/>
                <w:iCs/>
                <w:color w:val="000000" w:themeColor="text1"/>
              </w:rPr>
              <w:t>субсидіарність</w:t>
            </w:r>
            <w:r w:rsidRPr="00107CD0">
              <w:rPr>
                <w:i/>
                <w:iCs/>
                <w:color w:val="000000" w:themeColor="text1"/>
              </w:rPr>
              <w:t xml:space="preserve">, доцільність та пропорційність є суттєвими, якщо не основними елементами процедури піднесення до </w:t>
            </w:r>
            <w:r w:rsidRPr="00107CD0">
              <w:rPr>
                <w:i/>
                <w:iCs/>
                <w:color w:val="000000" w:themeColor="text1"/>
                <w:lang w:val="en-US"/>
              </w:rPr>
              <w:t>aquis</w:t>
            </w:r>
            <w:r w:rsidRPr="00290CAD">
              <w:rPr>
                <w:i/>
                <w:iCs/>
                <w:color w:val="000000" w:themeColor="text1"/>
              </w:rPr>
              <w:t xml:space="preserve">. </w:t>
            </w:r>
          </w:p>
          <w:p w14:paraId="1F67AF63" w14:textId="77777777" w:rsidR="00594A56" w:rsidRDefault="00594A56" w:rsidP="00DF00C7">
            <w:pPr>
              <w:spacing w:line="360" w:lineRule="auto"/>
              <w:ind w:firstLine="669"/>
              <w:rPr>
                <w:color w:val="000000" w:themeColor="text1"/>
              </w:rPr>
            </w:pPr>
            <w:r w:rsidRPr="00515E2E">
              <w:rPr>
                <w:color w:val="000000" w:themeColor="text1"/>
              </w:rPr>
              <w:t>По-друге, виникає</w:t>
            </w:r>
            <w:r w:rsidRPr="00107CD0">
              <w:rPr>
                <w:color w:val="000000" w:themeColor="text1"/>
              </w:rPr>
              <w:t xml:space="preserve"> моральний ліміт доцільності та адекватності кримінально-правової заборони, тобто ідея, як і наскільки характеристики окремих кримінально-правових норм та інститутів інтерпретуються суспільством у власному праворозумінні, </w:t>
            </w:r>
            <w:r>
              <w:rPr>
                <w:color w:val="000000" w:themeColor="text1"/>
              </w:rPr>
              <w:t>аби</w:t>
            </w:r>
            <w:r w:rsidRPr="00107CD0">
              <w:rPr>
                <w:color w:val="000000" w:themeColor="text1"/>
              </w:rPr>
              <w:t xml:space="preserve"> наскільки сама доктрина та діюче законодавство відповідають ступеню розвитку та інформаційної корекції (зомбування) наративів суспільства та його морально-психологічному стану. Повторюю, - </w:t>
            </w:r>
            <w:r w:rsidRPr="00DB69C1">
              <w:rPr>
                <w:i/>
                <w:iCs/>
                <w:color w:val="000000" w:themeColor="text1"/>
              </w:rPr>
              <w:t>негативна динаміка правопорушення та його моральна дозволеність для суб’єктів відповідальності роблять неефективною любу кримінальну заборону.</w:t>
            </w:r>
            <w:r w:rsidRPr="00107CD0">
              <w:rPr>
                <w:color w:val="000000" w:themeColor="text1"/>
              </w:rPr>
              <w:t xml:space="preserve"> В остаточному вигляді справа може йти про розповсюдженість злочинної поведінки, як такої, що дозволяється більшістю суспільства, та веде до тотального колапсу інститутів влади та громадянського суспільства, заміни державних інститутів кримінальними. Відомий жарт минулого, коли несплата податків </w:t>
            </w:r>
            <w:r>
              <w:rPr>
                <w:color w:val="000000" w:themeColor="text1"/>
              </w:rPr>
              <w:t xml:space="preserve"> населенням </w:t>
            </w:r>
            <w:r w:rsidRPr="00107CD0">
              <w:rPr>
                <w:color w:val="000000" w:themeColor="text1"/>
              </w:rPr>
              <w:t>ста</w:t>
            </w:r>
            <w:r>
              <w:rPr>
                <w:color w:val="000000" w:themeColor="text1"/>
              </w:rPr>
              <w:t>є</w:t>
            </w:r>
            <w:r w:rsidRPr="00107CD0">
              <w:rPr>
                <w:color w:val="000000" w:themeColor="text1"/>
              </w:rPr>
              <w:t xml:space="preserve"> національним видом спорту.</w:t>
            </w:r>
            <w:r>
              <w:rPr>
                <w:color w:val="000000" w:themeColor="text1"/>
              </w:rPr>
              <w:t xml:space="preserve"> Цікавим є інший приклад праворозуміння: відкритість та необхідність декларування прибутків усіма громадянами Данії та Норвегії, починаючи з </w:t>
            </w:r>
            <w:r>
              <w:rPr>
                <w:color w:val="000000" w:themeColor="text1"/>
                <w:lang w:val="en-US"/>
              </w:rPr>
              <w:t>XIII</w:t>
            </w:r>
            <w:r w:rsidRPr="00DB69C1">
              <w:rPr>
                <w:color w:val="000000" w:themeColor="text1"/>
              </w:rPr>
              <w:t xml:space="preserve"> </w:t>
            </w:r>
            <w:r>
              <w:rPr>
                <w:color w:val="000000" w:themeColor="text1"/>
              </w:rPr>
              <w:t>століття призвели до мінімізації корупції  у цих країнах без створення додаткових структур «по боротьбі з боротьбою» та нехтування принципами кримінального права.</w:t>
            </w:r>
          </w:p>
          <w:p w14:paraId="67C03CCF" w14:textId="77777777" w:rsidR="00594A56" w:rsidRPr="00D43285" w:rsidRDefault="00594A56" w:rsidP="00DF00C7">
            <w:pPr>
              <w:spacing w:line="360" w:lineRule="auto"/>
              <w:ind w:firstLine="669"/>
              <w:rPr>
                <w:color w:val="000000"/>
              </w:rPr>
            </w:pPr>
            <w:r w:rsidRPr="00107CD0">
              <w:rPr>
                <w:color w:val="000000" w:themeColor="text1"/>
              </w:rPr>
              <w:t xml:space="preserve">На шляху до апроксимації </w:t>
            </w:r>
            <w:r w:rsidRPr="00107CD0">
              <w:rPr>
                <w:color w:val="000000" w:themeColor="text1"/>
                <w:lang w:val="en-US"/>
              </w:rPr>
              <w:t>aquis</w:t>
            </w:r>
            <w:r w:rsidRPr="00D43285">
              <w:rPr>
                <w:color w:val="000000" w:themeColor="text1"/>
              </w:rPr>
              <w:t xml:space="preserve"> </w:t>
            </w:r>
            <w:r w:rsidRPr="00107CD0">
              <w:rPr>
                <w:color w:val="000000" w:themeColor="text1"/>
              </w:rPr>
              <w:t>у національне кримінальне законодавство окремим блоком виступає вивчення практики Європейського суду справедливості</w:t>
            </w:r>
            <w:r>
              <w:rPr>
                <w:color w:val="000000" w:themeColor="text1"/>
              </w:rPr>
              <w:t xml:space="preserve"> у контексті співвідношення законності, субсидіарності, доцільності та пропорційності. </w:t>
            </w:r>
            <w:r w:rsidRPr="00107CD0">
              <w:rPr>
                <w:color w:val="000000" w:themeColor="text1"/>
              </w:rPr>
              <w:t>Ми вже мали ознайомитись з цим</w:t>
            </w:r>
            <w:r w:rsidRPr="00D43285">
              <w:rPr>
                <w:color w:val="000000" w:themeColor="text1"/>
              </w:rPr>
              <w:t xml:space="preserve"> </w:t>
            </w:r>
            <w:r w:rsidRPr="00107CD0">
              <w:rPr>
                <w:color w:val="000000" w:themeColor="text1"/>
              </w:rPr>
              <w:t xml:space="preserve">у справах стосовно розблокування коштів, які було заарештовано у </w:t>
            </w:r>
            <w:r>
              <w:rPr>
                <w:color w:val="000000" w:themeColor="text1"/>
              </w:rPr>
              <w:t xml:space="preserve">окремих </w:t>
            </w:r>
            <w:r w:rsidRPr="00107CD0">
              <w:rPr>
                <w:color w:val="000000" w:themeColor="text1"/>
              </w:rPr>
              <w:t>осіб</w:t>
            </w:r>
            <w:r>
              <w:rPr>
                <w:color w:val="000000" w:themeColor="text1"/>
              </w:rPr>
              <w:t xml:space="preserve"> після 2014 р</w:t>
            </w:r>
            <w:r>
              <w:rPr>
                <w:rStyle w:val="af1"/>
                <w:color w:val="000000" w:themeColor="text1"/>
              </w:rPr>
              <w:footnoteReference w:id="21"/>
            </w:r>
            <w:r w:rsidRPr="00D43285">
              <w:rPr>
                <w:color w:val="000000" w:themeColor="text1"/>
              </w:rPr>
              <w:t xml:space="preserve">. </w:t>
            </w:r>
            <w:r w:rsidRPr="00D85753">
              <w:rPr>
                <w:color w:val="000000" w:themeColor="text1"/>
                <w:lang w:val="ru-RU"/>
              </w:rPr>
              <w:t>Перш за все, Генеральний суд</w:t>
            </w:r>
            <w:r>
              <w:rPr>
                <w:color w:val="000000" w:themeColor="text1"/>
                <w:lang w:val="ru-RU"/>
              </w:rPr>
              <w:t xml:space="preserve"> ЄС</w:t>
            </w:r>
            <w:r w:rsidRPr="00D85753">
              <w:rPr>
                <w:color w:val="000000" w:themeColor="text1"/>
                <w:lang w:val="ru-RU"/>
              </w:rPr>
              <w:t>, застосовуючи принципи прецедентного права</w:t>
            </w:r>
            <w:r>
              <w:rPr>
                <w:color w:val="000000" w:themeColor="text1"/>
                <w:lang w:val="ru-RU"/>
              </w:rPr>
              <w:t xml:space="preserve"> до осіб, які знаходяться </w:t>
            </w:r>
            <w:proofErr w:type="gramStart"/>
            <w:r>
              <w:rPr>
                <w:color w:val="000000" w:themeColor="text1"/>
                <w:lang w:val="ru-RU"/>
              </w:rPr>
              <w:t>п</w:t>
            </w:r>
            <w:proofErr w:type="gramEnd"/>
            <w:r>
              <w:rPr>
                <w:color w:val="000000" w:themeColor="text1"/>
                <w:lang w:val="ru-RU"/>
              </w:rPr>
              <w:t>ід санкціями</w:t>
            </w:r>
            <w:r w:rsidRPr="00D85753">
              <w:rPr>
                <w:color w:val="000000" w:themeColor="text1"/>
                <w:lang w:val="ru-RU"/>
              </w:rPr>
              <w:t xml:space="preserve">,  </w:t>
            </w:r>
            <w:r>
              <w:rPr>
                <w:color w:val="000000" w:themeColor="text1"/>
              </w:rPr>
              <w:t xml:space="preserve">виходить з того, </w:t>
            </w:r>
            <w:r w:rsidRPr="00D85753">
              <w:rPr>
                <w:color w:val="000000" w:themeColor="text1"/>
                <w:lang w:val="ru-RU"/>
              </w:rPr>
              <w:t xml:space="preserve">що судова влада ЄС повинна перевіряти законність усіх актів ЄС у світлі </w:t>
            </w:r>
            <w:r>
              <w:rPr>
                <w:color w:val="000000" w:themeColor="text1"/>
                <w:lang w:val="ru-RU"/>
              </w:rPr>
              <w:t xml:space="preserve">дотримання </w:t>
            </w:r>
            <w:r w:rsidRPr="00D85753">
              <w:rPr>
                <w:color w:val="000000" w:themeColor="text1"/>
                <w:lang w:val="ru-RU"/>
              </w:rPr>
              <w:t>основоположних прав. У зв'язку з цим, хоча Рада</w:t>
            </w:r>
            <w:r>
              <w:rPr>
                <w:color w:val="000000" w:themeColor="text1"/>
                <w:lang w:val="ru-RU"/>
              </w:rPr>
              <w:t xml:space="preserve"> ЄС</w:t>
            </w:r>
            <w:r w:rsidRPr="00D85753">
              <w:rPr>
                <w:color w:val="000000" w:themeColor="text1"/>
                <w:lang w:val="ru-RU"/>
              </w:rPr>
              <w:t xml:space="preserve"> може засновувати прийняття або продовження обмежувальних заходів на рішенні третьої держави, вона повинна сама перевірити, чи були дотримані, зокрема, права на захист і право на ефективний судовий захист на момент прийняття рішення</w:t>
            </w:r>
            <w:r>
              <w:rPr>
                <w:rStyle w:val="af1"/>
                <w:color w:val="000000" w:themeColor="text1"/>
                <w:lang w:val="ru-RU"/>
              </w:rPr>
              <w:footnoteReference w:id="22"/>
            </w:r>
            <w:r w:rsidRPr="00D85753">
              <w:rPr>
                <w:color w:val="000000" w:themeColor="text1"/>
                <w:lang w:val="ru-RU"/>
              </w:rPr>
              <w:t>.</w:t>
            </w:r>
          </w:p>
          <w:p w14:paraId="54E9B4DA" w14:textId="77777777" w:rsidR="00594A56" w:rsidRDefault="00594A56" w:rsidP="00DF00C7">
            <w:pPr>
              <w:spacing w:line="360" w:lineRule="auto"/>
              <w:ind w:firstLine="669"/>
              <w:rPr>
                <w:color w:val="000000" w:themeColor="text1"/>
              </w:rPr>
            </w:pPr>
            <w:r w:rsidRPr="00107CD0">
              <w:rPr>
                <w:color w:val="000000" w:themeColor="text1"/>
              </w:rPr>
              <w:t xml:space="preserve">Попри все, законотворча </w:t>
            </w:r>
            <w:r>
              <w:rPr>
                <w:color w:val="000000" w:themeColor="text1"/>
              </w:rPr>
              <w:t xml:space="preserve"> та судова </w:t>
            </w:r>
            <w:r w:rsidRPr="00107CD0">
              <w:rPr>
                <w:color w:val="000000" w:themeColor="text1"/>
              </w:rPr>
              <w:t>практика ЄС йде шляхом усунення недоліків публічно-правового регулювання</w:t>
            </w:r>
            <w:r>
              <w:rPr>
                <w:color w:val="000000" w:themeColor="text1"/>
              </w:rPr>
              <w:t xml:space="preserve"> на кшталт заміни політичними санкціями усталених механізмів кримінально-правового регулювання, чи коректив кримінально-правових профілактичних норм, що порушують принцип рівності та фундаментальні права людини. Базуючись на інформації щодо недотримання права на захист та справедливий суд підсанкційних осіб, </w:t>
            </w:r>
            <w:r w:rsidRPr="00CA26E6">
              <w:rPr>
                <w:color w:val="000000" w:themeColor="text1"/>
              </w:rPr>
              <w:t>імплементація Регламенту (ЄС) № 208/2014 щодо обмежувальних заходів, спрямованих проти певних фізичних, юридичних осіб та органів у зв'язку з ситуацією в Україні</w:t>
            </w:r>
            <w:r>
              <w:rPr>
                <w:color w:val="000000" w:themeColor="text1"/>
              </w:rPr>
              <w:t xml:space="preserve"> була проведена в контексті ліквідації встановлених обмежувальних заходів, які, доречи, раніше Рішеннями Ради ЄС були пролонговані декілька разів</w:t>
            </w:r>
            <w:r>
              <w:rPr>
                <w:rStyle w:val="af1"/>
                <w:color w:val="000000" w:themeColor="text1"/>
              </w:rPr>
              <w:footnoteReference w:id="23"/>
            </w:r>
            <w:r>
              <w:rPr>
                <w:color w:val="000000" w:themeColor="text1"/>
              </w:rPr>
              <w:t xml:space="preserve">. </w:t>
            </w:r>
          </w:p>
          <w:p w14:paraId="24CBFF5D" w14:textId="77777777" w:rsidR="00594A56" w:rsidRPr="00013DFC" w:rsidRDefault="00594A56" w:rsidP="00DF00C7">
            <w:pPr>
              <w:spacing w:line="360" w:lineRule="auto"/>
              <w:ind w:firstLine="669"/>
              <w:rPr>
                <w:color w:val="000000"/>
              </w:rPr>
            </w:pPr>
            <w:r>
              <w:rPr>
                <w:color w:val="000000"/>
              </w:rPr>
              <w:t>У</w:t>
            </w:r>
            <w:r w:rsidRPr="00107CD0">
              <w:rPr>
                <w:color w:val="000000"/>
              </w:rPr>
              <w:t xml:space="preserve"> листопаді 2022 року у рішенні Європейського суду справедливості у справі за позовом Люксембургу щодо законності публічного доступу до реєстрів бенефіціарних власників, який передбачений директивами ЄС щодо протидії відмиванню коштів  Суд ЄС постановив, що надання публічного доступу до ідентифікаційних та персональних даних бенефіціарних власників </w:t>
            </w:r>
            <w:r w:rsidRPr="00107CD0">
              <w:rPr>
                <w:i/>
                <w:iCs/>
                <w:color w:val="000000"/>
              </w:rPr>
              <w:t>порушуватиме право на повагу до приватного та сімейного життя, а також право на захист персональних даних</w:t>
            </w:r>
            <w:r w:rsidRPr="00107CD0">
              <w:rPr>
                <w:color w:val="000000"/>
              </w:rPr>
              <w:t>, які закріплені, відповідно, у статтях 7 та 8 Хартії Європейського Союзу про захист прав людини та основоположних свобод</w:t>
            </w:r>
            <w:r>
              <w:rPr>
                <w:rStyle w:val="af1"/>
                <w:color w:val="000000"/>
              </w:rPr>
              <w:footnoteReference w:id="24"/>
            </w:r>
            <w:r w:rsidRPr="00107CD0">
              <w:rPr>
                <w:color w:val="000000"/>
              </w:rPr>
              <w:t>. Таким чином, Директива 2018/843  щодо використання засобів кримінального права у протидії відмиванню коштів</w:t>
            </w:r>
            <w:r>
              <w:rPr>
                <w:rStyle w:val="af1"/>
                <w:color w:val="000000"/>
              </w:rPr>
              <w:footnoteReference w:id="25"/>
            </w:r>
            <w:r w:rsidRPr="00107CD0">
              <w:rPr>
                <w:color w:val="000000"/>
              </w:rPr>
              <w:t xml:space="preserve"> була визнана недійсною в тій частині, в якій вона вимагала, щоб інформація про бенефіціарних власників компаній була загальнодоступною.</w:t>
            </w:r>
            <w:r w:rsidRPr="00DC77CA">
              <w:rPr>
                <w:color w:val="000000"/>
              </w:rPr>
              <w:t xml:space="preserve"> </w:t>
            </w:r>
            <w:r>
              <w:rPr>
                <w:color w:val="000000"/>
              </w:rPr>
              <w:t>В</w:t>
            </w:r>
            <w:r w:rsidRPr="00107CD0">
              <w:rPr>
                <w:color w:val="000000"/>
              </w:rPr>
              <w:t>ідом</w:t>
            </w:r>
            <w:r>
              <w:rPr>
                <w:color w:val="000000"/>
              </w:rPr>
              <w:t>о</w:t>
            </w:r>
            <w:r w:rsidRPr="00107CD0">
              <w:rPr>
                <w:color w:val="000000"/>
              </w:rPr>
              <w:t>, що після</w:t>
            </w:r>
            <w:r>
              <w:rPr>
                <w:color w:val="000000"/>
              </w:rPr>
              <w:t xml:space="preserve"> цього</w:t>
            </w:r>
            <w:r w:rsidRPr="00107CD0">
              <w:rPr>
                <w:color w:val="000000"/>
              </w:rPr>
              <w:t xml:space="preserve"> рішення Суду ЄС держави ЄС почали закривати державні реєстри бенефіціарних власників компаній,  що може підірвати ефективність заявлених цілей ЄС щодо запобігання відмиванню злочинних коштів</w:t>
            </w:r>
            <w:r>
              <w:rPr>
                <w:color w:val="000000"/>
              </w:rPr>
              <w:t xml:space="preserve">, проте гарантує що </w:t>
            </w:r>
            <w:r w:rsidRPr="00107CD0">
              <w:rPr>
                <w:color w:val="000000"/>
              </w:rPr>
              <w:t>втручання</w:t>
            </w:r>
            <w:r>
              <w:rPr>
                <w:color w:val="000000"/>
              </w:rPr>
              <w:t xml:space="preserve"> у фундаментальні права</w:t>
            </w:r>
            <w:r w:rsidRPr="00107CD0">
              <w:rPr>
                <w:color w:val="000000"/>
              </w:rPr>
              <w:t xml:space="preserve"> </w:t>
            </w:r>
            <w:r>
              <w:rPr>
                <w:color w:val="000000"/>
              </w:rPr>
              <w:t xml:space="preserve"> буде </w:t>
            </w:r>
            <w:r w:rsidRPr="00107CD0">
              <w:rPr>
                <w:color w:val="000000"/>
              </w:rPr>
              <w:t>компенсоване</w:t>
            </w:r>
            <w:r>
              <w:rPr>
                <w:color w:val="000000"/>
              </w:rPr>
              <w:t>.</w:t>
            </w:r>
          </w:p>
          <w:p w14:paraId="41106967" w14:textId="77777777" w:rsidR="00594A56" w:rsidRPr="00107CD0" w:rsidRDefault="00594A56" w:rsidP="00DF00C7">
            <w:pPr>
              <w:spacing w:line="360" w:lineRule="auto"/>
              <w:ind w:firstLine="669"/>
              <w:rPr>
                <w:rFonts w:eastAsiaTheme="minorHAnsi"/>
                <w:color w:val="000000"/>
                <w:lang w:eastAsia="en-US"/>
              </w:rPr>
            </w:pPr>
            <w:r>
              <w:rPr>
                <w:color w:val="000000"/>
              </w:rPr>
              <w:t xml:space="preserve">Стосовно розвитку законодавства кримінально-правового профілю, зазначимо, </w:t>
            </w:r>
            <w:r>
              <w:rPr>
                <w:rFonts w:eastAsiaTheme="minorHAnsi"/>
                <w:color w:val="000000"/>
                <w:lang w:eastAsia="en-US"/>
              </w:rPr>
              <w:t>що с</w:t>
            </w:r>
            <w:r w:rsidRPr="00107CD0">
              <w:rPr>
                <w:rFonts w:eastAsiaTheme="minorHAnsi"/>
                <w:color w:val="000000"/>
                <w:lang w:eastAsia="en-US"/>
              </w:rPr>
              <w:t>учасними дослідниками проблеми загальні принципи криміналізації права ЄС розглядаються  як:</w:t>
            </w:r>
          </w:p>
          <w:p w14:paraId="2DA86D5C" w14:textId="77777777" w:rsidR="00594A56" w:rsidRPr="00107CD0" w:rsidRDefault="00594A56" w:rsidP="00DF00C7">
            <w:pPr>
              <w:spacing w:line="360" w:lineRule="auto"/>
              <w:ind w:firstLine="669"/>
              <w:rPr>
                <w:rFonts w:eastAsiaTheme="minorHAnsi"/>
                <w:i/>
                <w:iCs/>
                <w:color w:val="000000"/>
                <w:lang w:eastAsia="en-US"/>
              </w:rPr>
            </w:pPr>
            <w:r>
              <w:rPr>
                <w:rFonts w:eastAsiaTheme="minorHAnsi"/>
                <w:i/>
                <w:iCs/>
                <w:color w:val="000000"/>
                <w:lang w:eastAsia="en-US"/>
              </w:rPr>
              <w:t>«</w:t>
            </w:r>
            <w:r w:rsidRPr="00107CD0">
              <w:rPr>
                <w:rFonts w:eastAsiaTheme="minorHAnsi"/>
                <w:i/>
                <w:iCs/>
                <w:color w:val="000000"/>
                <w:lang w:eastAsia="en-US"/>
              </w:rPr>
              <w:t>Принципи визначення порогового значення криміналізації  (шкода, охоронювані правові інтереси);</w:t>
            </w:r>
          </w:p>
          <w:p w14:paraId="31782D34" w14:textId="77777777" w:rsidR="00594A56" w:rsidRPr="00107CD0" w:rsidRDefault="00594A56" w:rsidP="00DF00C7">
            <w:pPr>
              <w:spacing w:line="360" w:lineRule="auto"/>
              <w:ind w:firstLine="669"/>
              <w:rPr>
                <w:rFonts w:eastAsiaTheme="minorHAnsi"/>
                <w:i/>
                <w:iCs/>
                <w:color w:val="000000"/>
                <w:lang w:eastAsia="en-US"/>
              </w:rPr>
            </w:pPr>
            <w:r w:rsidRPr="00107CD0">
              <w:rPr>
                <w:rFonts w:eastAsiaTheme="minorHAnsi"/>
                <w:i/>
                <w:iCs/>
                <w:color w:val="000000"/>
                <w:lang w:eastAsia="en-US"/>
              </w:rPr>
              <w:t>Принципи обґрунтування криміналізації (пропорційність, ефективність);</w:t>
            </w:r>
          </w:p>
          <w:p w14:paraId="6A6AE201" w14:textId="77777777" w:rsidR="00594A56" w:rsidRPr="00107CD0" w:rsidRDefault="00594A56" w:rsidP="00DF00C7">
            <w:pPr>
              <w:spacing w:line="360" w:lineRule="auto"/>
              <w:ind w:firstLine="669"/>
              <w:rPr>
                <w:rFonts w:eastAsiaTheme="minorHAnsi"/>
                <w:i/>
                <w:iCs/>
                <w:color w:val="000000"/>
                <w:lang w:eastAsia="en-US"/>
              </w:rPr>
            </w:pPr>
            <w:r w:rsidRPr="00107CD0">
              <w:rPr>
                <w:rFonts w:eastAsiaTheme="minorHAnsi"/>
                <w:i/>
                <w:iCs/>
                <w:color w:val="000000"/>
                <w:lang w:eastAsia="en-US"/>
              </w:rPr>
              <w:t>Принципи розподілу повноважень ЄС у сфері криміналізації  (правова основа компетенції</w:t>
            </w:r>
            <w:r w:rsidRPr="00107CD0">
              <w:rPr>
                <w:rFonts w:eastAsiaTheme="minorHAnsi"/>
                <w:i/>
                <w:iCs/>
                <w:color w:val="000000"/>
                <w:lang w:val="ru-RU" w:eastAsia="en-US"/>
              </w:rPr>
              <w:t>,</w:t>
            </w:r>
            <w:r w:rsidRPr="00107CD0">
              <w:rPr>
                <w:rFonts w:eastAsiaTheme="minorHAnsi"/>
                <w:i/>
                <w:iCs/>
                <w:color w:val="000000"/>
                <w:lang w:eastAsia="en-US"/>
              </w:rPr>
              <w:t xml:space="preserve"> субсидіарність</w:t>
            </w:r>
            <w:r w:rsidRPr="00107CD0">
              <w:rPr>
                <w:rFonts w:eastAsiaTheme="minorHAnsi"/>
                <w:i/>
                <w:iCs/>
                <w:color w:val="000000"/>
                <w:lang w:val="ru-RU" w:eastAsia="en-US"/>
              </w:rPr>
              <w:t>)</w:t>
            </w:r>
            <w:r w:rsidRPr="00107CD0">
              <w:rPr>
                <w:rFonts w:eastAsiaTheme="minorHAnsi"/>
                <w:i/>
                <w:iCs/>
                <w:color w:val="000000"/>
                <w:lang w:eastAsia="en-US"/>
              </w:rPr>
              <w:t>;</w:t>
            </w:r>
          </w:p>
          <w:p w14:paraId="216D3075" w14:textId="77777777" w:rsidR="00594A56" w:rsidRPr="00107CD0" w:rsidRDefault="00594A56" w:rsidP="00DF00C7">
            <w:pPr>
              <w:spacing w:line="360" w:lineRule="auto"/>
              <w:ind w:firstLine="669"/>
              <w:rPr>
                <w:rFonts w:eastAsiaTheme="minorHAnsi"/>
                <w:i/>
                <w:iCs/>
                <w:color w:val="000000"/>
                <w:lang w:eastAsia="en-US"/>
              </w:rPr>
            </w:pPr>
            <w:r w:rsidRPr="00107CD0">
              <w:rPr>
                <w:rFonts w:eastAsiaTheme="minorHAnsi"/>
                <w:i/>
                <w:iCs/>
                <w:color w:val="000000"/>
                <w:lang w:eastAsia="en-US"/>
              </w:rPr>
              <w:t>Принципи побудови складу злочину (внутрішня субсидіарність, нормативність, ефективність доказування та притягнення до відповідальності, ретроспективна пропорційність)</w:t>
            </w:r>
            <w:r>
              <w:rPr>
                <w:rFonts w:eastAsiaTheme="minorHAnsi"/>
                <w:i/>
                <w:iCs/>
                <w:color w:val="000000"/>
                <w:lang w:eastAsia="en-US"/>
              </w:rPr>
              <w:t>»</w:t>
            </w:r>
            <w:r w:rsidRPr="00107CD0">
              <w:rPr>
                <w:rFonts w:eastAsiaTheme="minorHAnsi"/>
                <w:i/>
                <w:iCs/>
                <w:color w:val="000000"/>
                <w:lang w:eastAsia="en-US"/>
              </w:rPr>
              <w:t xml:space="preserve">. </w:t>
            </w:r>
            <w:r>
              <w:rPr>
                <w:rStyle w:val="af1"/>
                <w:rFonts w:eastAsiaTheme="minorHAnsi"/>
                <w:i/>
                <w:iCs/>
                <w:color w:val="000000"/>
                <w:lang w:eastAsia="en-US"/>
              </w:rPr>
              <w:footnoteReference w:id="26"/>
            </w:r>
          </w:p>
          <w:p w14:paraId="74E8C826" w14:textId="77777777" w:rsidR="00594A56" w:rsidRPr="00107CD0" w:rsidRDefault="00594A56" w:rsidP="00DF00C7">
            <w:pPr>
              <w:spacing w:line="360" w:lineRule="auto"/>
              <w:ind w:firstLine="669"/>
              <w:rPr>
                <w:color w:val="000000"/>
              </w:rPr>
            </w:pPr>
            <w:r w:rsidRPr="00107CD0">
              <w:rPr>
                <w:color w:val="000000"/>
              </w:rPr>
              <w:t>Деякі з цих принципів нам чудово відомі, деякі пов’язані із специфікою європейського кримінального права як права федерального рівня, деякі потребують додаткового ретельного аналізу.</w:t>
            </w:r>
            <w:r>
              <w:rPr>
                <w:color w:val="000000"/>
              </w:rPr>
              <w:t xml:space="preserve"> Так, у 2022</w:t>
            </w:r>
            <w:r w:rsidRPr="00107CD0">
              <w:rPr>
                <w:color w:val="000000"/>
              </w:rPr>
              <w:t xml:space="preserve"> році вперше за історію розвитку Європейського кримінального права, маючи прагнення легітимізувати систему  кримінально-адміністративних санкцій проти РФ</w:t>
            </w:r>
            <w:r>
              <w:rPr>
                <w:color w:val="000000"/>
              </w:rPr>
              <w:t xml:space="preserve"> та РБ</w:t>
            </w:r>
            <w:r w:rsidRPr="00107CD0">
              <w:rPr>
                <w:color w:val="000000"/>
              </w:rPr>
              <w:t>, Рада ЄС ухвалила рішення про розширення переліку складів Європейських злочинів, включивши до нього порушення обмежувальних заходів, прийнятих ЄС. Після ухвалення цього рішення 2 грудня 2022 року Європейська Комісія представила пропозицію щодо директиви, яка міститиме пропозиції щодо гармонізації кримінальних злочинів та покарань за порушення обмежувальних заходів ЄС.  Передбачено наступний перелік нових кримінальних правопорушень, які порушують санкції ЄС, а саме:</w:t>
            </w:r>
          </w:p>
          <w:p w14:paraId="21535D3B" w14:textId="77777777" w:rsidR="00594A56" w:rsidRPr="00107CD0" w:rsidRDefault="00594A56" w:rsidP="00DF00C7">
            <w:pPr>
              <w:spacing w:line="360" w:lineRule="auto"/>
              <w:ind w:firstLine="669"/>
              <w:rPr>
                <w:i/>
                <w:iCs/>
                <w:color w:val="000000"/>
              </w:rPr>
            </w:pPr>
            <w:r w:rsidRPr="00107CD0">
              <w:rPr>
                <w:i/>
                <w:iCs/>
                <w:color w:val="000000"/>
              </w:rPr>
              <w:t xml:space="preserve">надання коштів або економічних ресурсів у розпорядження або на користь визначеної особи, юридичної особи або органу; </w:t>
            </w:r>
          </w:p>
          <w:p w14:paraId="162C6AD7" w14:textId="77777777" w:rsidR="00594A56" w:rsidRPr="00107CD0" w:rsidRDefault="00594A56" w:rsidP="00DF00C7">
            <w:pPr>
              <w:spacing w:line="360" w:lineRule="auto"/>
              <w:ind w:firstLine="669"/>
              <w:rPr>
                <w:i/>
                <w:iCs/>
                <w:color w:val="000000"/>
              </w:rPr>
            </w:pPr>
            <w:r w:rsidRPr="00107CD0">
              <w:rPr>
                <w:i/>
                <w:iCs/>
                <w:color w:val="000000"/>
              </w:rPr>
              <w:t>незабезпечення заморожування цих коштів;</w:t>
            </w:r>
          </w:p>
          <w:p w14:paraId="410B7BBE" w14:textId="77777777" w:rsidR="00594A56" w:rsidRPr="00107CD0" w:rsidRDefault="00594A56" w:rsidP="00DF00C7">
            <w:pPr>
              <w:spacing w:line="360" w:lineRule="auto"/>
              <w:ind w:firstLine="669"/>
              <w:rPr>
                <w:i/>
                <w:iCs/>
                <w:color w:val="000000"/>
              </w:rPr>
            </w:pPr>
            <w:r w:rsidRPr="00107CD0">
              <w:rPr>
                <w:i/>
                <w:iCs/>
                <w:color w:val="000000"/>
              </w:rPr>
              <w:t>надання можливості в'їзду визначених санкціями осіб на територію держави-члена або їх транзиту через територію держави-члена;</w:t>
            </w:r>
          </w:p>
          <w:p w14:paraId="7097065B" w14:textId="77777777" w:rsidR="00594A56" w:rsidRPr="00107CD0" w:rsidRDefault="00594A56" w:rsidP="00DF00C7">
            <w:pPr>
              <w:spacing w:line="360" w:lineRule="auto"/>
              <w:ind w:firstLine="669"/>
              <w:rPr>
                <w:i/>
                <w:iCs/>
                <w:color w:val="000000"/>
              </w:rPr>
            </w:pPr>
            <w:r w:rsidRPr="00107CD0">
              <w:rPr>
                <w:i/>
                <w:iCs/>
                <w:color w:val="000000"/>
              </w:rPr>
              <w:t>здійснення операцій з третіми країнами, які заборонені або обмежені обмежувальними заходами ЄС;</w:t>
            </w:r>
          </w:p>
          <w:p w14:paraId="6CDBC532" w14:textId="77777777" w:rsidR="00594A56" w:rsidRPr="00107CD0" w:rsidRDefault="00594A56" w:rsidP="00DF00C7">
            <w:pPr>
              <w:spacing w:line="360" w:lineRule="auto"/>
              <w:ind w:firstLine="669"/>
              <w:rPr>
                <w:color w:val="000000"/>
              </w:rPr>
            </w:pPr>
            <w:r w:rsidRPr="00107CD0">
              <w:rPr>
                <w:i/>
                <w:iCs/>
                <w:color w:val="000000"/>
              </w:rPr>
              <w:t>торгівля товарами або послугами, імпорт, експорт, продаж, купівля, передача, транзит або транспортування яких заборонено або обмежено;</w:t>
            </w:r>
            <w:r w:rsidRPr="00107CD0">
              <w:rPr>
                <w:i/>
                <w:iCs/>
                <w:color w:val="000000"/>
              </w:rPr>
              <w:br/>
              <w:t>здійснення фінансової діяльності, яка заборонена або обмежена; або</w:t>
            </w:r>
            <w:r w:rsidRPr="00107CD0">
              <w:rPr>
                <w:i/>
                <w:iCs/>
                <w:color w:val="000000"/>
              </w:rPr>
              <w:br/>
              <w:t>надання інших послуг, які заборонені або обмежені, таких як юридичні консультаційні послуги, трастові послуги та послуги з податкового консультування</w:t>
            </w:r>
            <w:r>
              <w:rPr>
                <w:rStyle w:val="af1"/>
                <w:i/>
                <w:iCs/>
                <w:color w:val="000000"/>
              </w:rPr>
              <w:footnoteReference w:id="27"/>
            </w:r>
            <w:r w:rsidRPr="00107CD0">
              <w:rPr>
                <w:color w:val="000000"/>
              </w:rPr>
              <w:t>.</w:t>
            </w:r>
          </w:p>
          <w:p w14:paraId="4628FDD5" w14:textId="77777777" w:rsidR="00594A56" w:rsidRPr="00107CD0" w:rsidRDefault="00594A56" w:rsidP="00DF00C7">
            <w:pPr>
              <w:spacing w:line="360" w:lineRule="auto"/>
              <w:ind w:firstLine="669"/>
              <w:rPr>
                <w:color w:val="000000"/>
              </w:rPr>
            </w:pPr>
            <w:r w:rsidRPr="00107CD0">
              <w:rPr>
                <w:color w:val="000000"/>
              </w:rPr>
              <w:t xml:space="preserve">Криміналізовані діяння охоплюватимуть також обхід обмежувальних заходів ЄС: це означає обхід або спробу обходу обмежувальних заходів шляхом приховування коштів або приховування того факту, що особа є кінцевим власником коштів. </w:t>
            </w:r>
          </w:p>
          <w:p w14:paraId="2D9EB929" w14:textId="77777777" w:rsidR="00594A56" w:rsidRPr="00107CD0" w:rsidRDefault="00594A56" w:rsidP="00DF00C7">
            <w:pPr>
              <w:spacing w:line="360" w:lineRule="auto"/>
              <w:ind w:firstLine="669"/>
              <w:rPr>
                <w:color w:val="000000"/>
              </w:rPr>
            </w:pPr>
            <w:r w:rsidRPr="00107CD0">
              <w:rPr>
                <w:color w:val="000000"/>
              </w:rPr>
              <w:t>Встановлено також загальні базові стандарти щодо штрафних санкцій: залежно від правопорушення, фізична особа може бути покарана максимальним покаранням у вигляді позбавлення волі на строк не менше п'яти років; компанії можуть бути покарані штрафом у розмірі не менше 5% від загального світового обороту юридичної особи (компанії) за фінансовий рік, що передував винесенню рішення про накладення штрафних санкцій. Цей проект директиви має бути обговорений та ухвалений Радою ЄС та Європейським Парламентом</w:t>
            </w:r>
            <w:r>
              <w:rPr>
                <w:rStyle w:val="af1"/>
                <w:color w:val="000000"/>
              </w:rPr>
              <w:footnoteReference w:id="28"/>
            </w:r>
            <w:r w:rsidRPr="00107CD0">
              <w:rPr>
                <w:color w:val="000000"/>
              </w:rPr>
              <w:t>. </w:t>
            </w:r>
          </w:p>
          <w:p w14:paraId="3D321922" w14:textId="77777777" w:rsidR="00594A56" w:rsidRPr="00107CD0" w:rsidRDefault="00594A56" w:rsidP="00DF00C7">
            <w:pPr>
              <w:spacing w:line="360" w:lineRule="auto"/>
              <w:ind w:firstLine="669"/>
              <w:rPr>
                <w:color w:val="000000"/>
              </w:rPr>
            </w:pPr>
            <w:r w:rsidRPr="00107CD0">
              <w:rPr>
                <w:color w:val="000000"/>
              </w:rPr>
              <w:t>Загальні міркування більшості Європейських криміналістів</w:t>
            </w:r>
            <w:r>
              <w:rPr>
                <w:color w:val="000000"/>
              </w:rPr>
              <w:t xml:space="preserve"> щодо пеналізації та системи санкцій</w:t>
            </w:r>
            <w:r w:rsidRPr="00107CD0">
              <w:rPr>
                <w:color w:val="000000"/>
              </w:rPr>
              <w:t xml:space="preserve"> пов’язані із  ідеологією рівності кримінально-правового впливу на території ЄС для того, щоб злочинці не могли уникати відповідальності, в країнах, де така відповідальність не була встановлена, чи була суттєво пом’якшена виходячи із національних традицій</w:t>
            </w:r>
            <w:r>
              <w:rPr>
                <w:rStyle w:val="af1"/>
                <w:color w:val="000000"/>
              </w:rPr>
              <w:footnoteReference w:id="29"/>
            </w:r>
            <w:r w:rsidRPr="00107CD0">
              <w:rPr>
                <w:color w:val="000000"/>
              </w:rPr>
              <w:t xml:space="preserve">. </w:t>
            </w:r>
          </w:p>
          <w:p w14:paraId="45FB12E1" w14:textId="77777777" w:rsidR="00594A56" w:rsidRPr="00107CD0" w:rsidRDefault="00594A56" w:rsidP="00DF00C7">
            <w:pPr>
              <w:spacing w:line="360" w:lineRule="auto"/>
              <w:ind w:firstLine="669"/>
              <w:rPr>
                <w:color w:val="000000"/>
              </w:rPr>
            </w:pPr>
            <w:r w:rsidRPr="00107CD0">
              <w:rPr>
                <w:i/>
                <w:iCs/>
                <w:color w:val="000000"/>
              </w:rPr>
              <w:t>Традиційна формула, запроваджена Європейським судом справедливості, вимагає від держав-членів вжиття "ефективних, пропорційних та стримуючих санкцій" і часто називається "мінімальною тріадою"</w:t>
            </w:r>
            <w:r>
              <w:rPr>
                <w:rStyle w:val="af1"/>
                <w:i/>
                <w:iCs/>
                <w:color w:val="000000"/>
              </w:rPr>
              <w:footnoteReference w:id="30"/>
            </w:r>
            <w:r w:rsidRPr="00107CD0">
              <w:rPr>
                <w:color w:val="000000"/>
              </w:rPr>
              <w:t xml:space="preserve">. </w:t>
            </w:r>
          </w:p>
          <w:p w14:paraId="4C10204C" w14:textId="77777777" w:rsidR="00594A56" w:rsidRPr="00107CD0" w:rsidRDefault="00594A56" w:rsidP="00DF00C7">
            <w:pPr>
              <w:spacing w:line="360" w:lineRule="auto"/>
              <w:ind w:firstLine="669"/>
              <w:rPr>
                <w:color w:val="000000"/>
              </w:rPr>
            </w:pPr>
            <w:r>
              <w:rPr>
                <w:color w:val="000000"/>
              </w:rPr>
              <w:t>Проект</w:t>
            </w:r>
            <w:r w:rsidRPr="00107CD0">
              <w:rPr>
                <w:color w:val="000000"/>
              </w:rPr>
              <w:t xml:space="preserve"> Європейської ініціативи з кримінальної політики (ECPI) демонструє, що розумна гармонізація санкцій повинна переважно базуватися на системі відносної порівнянності та внутрішньої узгодженості кожної національної моделі, одночасно надаючи Європейському Союзу можливість класифікувати гармонізовані правопорушення за заздалегідь визначеною кількістю категорій. Ключова ідея так званого "нового підходу" полягає у прагненні до зближення </w:t>
            </w:r>
            <w:r>
              <w:rPr>
                <w:color w:val="000000"/>
              </w:rPr>
              <w:t xml:space="preserve">національних систем призначення та виконання покарання </w:t>
            </w:r>
            <w:r w:rsidRPr="00107CD0">
              <w:rPr>
                <w:color w:val="000000"/>
              </w:rPr>
              <w:t>через визначення категорій правопорушень. Зокрема, наднаціональний інструмент не запроваджуватиме конкретного покарання за конкретне правопорушення, а натомість класифікуватиме конкретні правопорушення у заздалегідь визначеному переліку</w:t>
            </w:r>
            <w:r>
              <w:rPr>
                <w:color w:val="000000"/>
              </w:rPr>
              <w:t>,</w:t>
            </w:r>
            <w:r w:rsidRPr="00107CD0">
              <w:rPr>
                <w:color w:val="000000"/>
              </w:rPr>
              <w:t xml:space="preserve"> відповідно до їхньої тяжкості, а держави-члени матимуть право на власний розсуд визначати "діапазон покарань", які мають застосовуватися до кожного класу правопорушень. </w:t>
            </w:r>
            <w:r>
              <w:rPr>
                <w:color w:val="000000"/>
              </w:rPr>
              <w:t>Саме така методологія використана у новому проекті КК України</w:t>
            </w:r>
            <w:r>
              <w:rPr>
                <w:rStyle w:val="af1"/>
                <w:color w:val="000000"/>
              </w:rPr>
              <w:footnoteReference w:id="31"/>
            </w:r>
            <w:r>
              <w:rPr>
                <w:color w:val="000000"/>
              </w:rPr>
              <w:t xml:space="preserve">. </w:t>
            </w:r>
            <w:r w:rsidRPr="00107CD0">
              <w:rPr>
                <w:color w:val="000000"/>
              </w:rPr>
              <w:t xml:space="preserve">У такий спосіб  вважається що можна досягти справжнього балансу інтересів: </w:t>
            </w:r>
            <w:r w:rsidRPr="00107CD0">
              <w:rPr>
                <w:i/>
                <w:iCs/>
                <w:color w:val="000000"/>
              </w:rPr>
              <w:t>ЄС може визначати ступінь тяжкості гармонізованих правопорушень, класифікуючи їх за категоріями, а держави-члени лише "наповнюють" ці категорії санкціями, звичними для їхніх національних систем, забезпечуючи таким чином узгодженість власного правопорядку</w:t>
            </w:r>
            <w:r>
              <w:rPr>
                <w:rStyle w:val="af1"/>
                <w:i/>
                <w:iCs/>
                <w:color w:val="000000"/>
              </w:rPr>
              <w:footnoteReference w:id="32"/>
            </w:r>
            <w:r w:rsidRPr="00107CD0">
              <w:rPr>
                <w:color w:val="000000"/>
              </w:rPr>
              <w:t>.</w:t>
            </w:r>
            <w:r w:rsidRPr="00924861">
              <w:rPr>
                <w:color w:val="000000"/>
              </w:rPr>
              <w:t xml:space="preserve"> </w:t>
            </w:r>
            <w:r w:rsidRPr="00107CD0">
              <w:rPr>
                <w:color w:val="000000"/>
              </w:rPr>
              <w:t xml:space="preserve"> </w:t>
            </w:r>
          </w:p>
          <w:p w14:paraId="21B3E64B" w14:textId="77777777" w:rsidR="00594A56" w:rsidRDefault="00594A56" w:rsidP="00DF00C7">
            <w:pPr>
              <w:spacing w:line="360" w:lineRule="auto"/>
              <w:ind w:firstLine="669"/>
              <w:rPr>
                <w:color w:val="000000"/>
                <w:lang w:val="ru-RU"/>
              </w:rPr>
            </w:pPr>
            <w:r w:rsidRPr="00107CD0">
              <w:rPr>
                <w:color w:val="000000"/>
              </w:rPr>
              <w:t xml:space="preserve">Існують й певні протиріччя, пов’язані із системою дисбалансів економічного розвитку та культури відбування покарання в окремих країнах. Як справедливо зазначив К.Думпулакіс: </w:t>
            </w:r>
            <w:r>
              <w:rPr>
                <w:color w:val="000000"/>
              </w:rPr>
              <w:t>«З</w:t>
            </w:r>
            <w:r w:rsidRPr="00107CD0">
              <w:rPr>
                <w:color w:val="000000"/>
              </w:rPr>
              <w:t xml:space="preserve"> точки зору наближення кримінальних покарань, умови утримання під вартою також є вирішальною змінною. Простіше кажучи, незважаючи на те, що тривалість вироку може бути однаковою в кількісному вираженні, виконання вироку і пов'язані з ним страждання ув'язнення надзвичайно залежать від умов утримання під вартою. Припущення тут просте: відбування п'яти років позбавлення волі в установі, яка поважає основні права і гарантує високі стандарти, суттєво відрізняється від відбування тих самих років в установі, яка не забезпечує справедливі та прийнятні умови тримання під вартою. У цьому сенсі зближення кримінальних санкцій в ЄС, а особливо зближення санкцій, які передбачають позбавлення волі, зупиняється за воротами в'язниці</w:t>
            </w:r>
            <w:r>
              <w:rPr>
                <w:color w:val="000000"/>
              </w:rPr>
              <w:t>»</w:t>
            </w:r>
            <w:r>
              <w:rPr>
                <w:rStyle w:val="af1"/>
                <w:color w:val="000000"/>
              </w:rPr>
              <w:footnoteReference w:id="33"/>
            </w:r>
            <w:r w:rsidRPr="00107CD0">
              <w:rPr>
                <w:color w:val="000000"/>
                <w:lang w:val="ru-RU"/>
              </w:rPr>
              <w:t>.</w:t>
            </w:r>
          </w:p>
          <w:p w14:paraId="0D968731" w14:textId="77777777" w:rsidR="00594A56" w:rsidRPr="00353B8A" w:rsidRDefault="00594A56" w:rsidP="00DF00C7">
            <w:pPr>
              <w:spacing w:line="360" w:lineRule="auto"/>
              <w:ind w:firstLine="669"/>
              <w:rPr>
                <w:color w:val="000000"/>
              </w:rPr>
            </w:pPr>
            <w:r w:rsidRPr="00107CD0">
              <w:t>Безпека держави</w:t>
            </w:r>
            <w:r>
              <w:t xml:space="preserve"> у сучасних умовах</w:t>
            </w:r>
            <w:r w:rsidRPr="00107CD0">
              <w:t xml:space="preserve"> залежить від </w:t>
            </w:r>
            <w:r>
              <w:t xml:space="preserve">її политичного </w:t>
            </w:r>
            <w:r w:rsidRPr="00107CD0">
              <w:t xml:space="preserve">вектору розвитку, ідеології суспільства, абсолютизації прав людини та встановлення гармонічної (пропорційної та законної) відповідальності за їх порушення. </w:t>
            </w:r>
            <w:r w:rsidRPr="00A721B3">
              <w:rPr>
                <w:color w:val="000000"/>
              </w:rPr>
              <w:t xml:space="preserve">Апроксимацію рекомендованих acquis communautaire кримінальних правопорушень  з урахуванням судової практики ЄС, законопроектних робот та процедур відповідальності за невиконання приписів </w:t>
            </w:r>
            <w:r w:rsidRPr="00A721B3">
              <w:rPr>
                <w:color w:val="000000"/>
                <w:lang w:val="en-US"/>
              </w:rPr>
              <w:t>acquis</w:t>
            </w:r>
            <w:r>
              <w:rPr>
                <w:color w:val="000000"/>
              </w:rPr>
              <w:t>,</w:t>
            </w:r>
            <w:r w:rsidRPr="00A721B3">
              <w:rPr>
                <w:color w:val="000000"/>
              </w:rPr>
              <w:t xml:space="preserve"> справа нелегка.</w:t>
            </w:r>
            <w:r>
              <w:rPr>
                <w:color w:val="000000"/>
              </w:rPr>
              <w:t xml:space="preserve"> Більш десятка Директив прямо повʼязані із реалізацією відповідальності у напрямку узгодженості  криміналізації та пеналізації діянь із загальноєвропейськими стандартами, значна кількість документів присвячена питанню захисту прав потерпілих від кримінальних правопорушень, що потребують конкретного одноманітного вирішення у матеріальному та процесуальному праві окремих Європейських країн.</w:t>
            </w:r>
          </w:p>
          <w:p w14:paraId="62CD2243" w14:textId="77777777" w:rsidR="00594A56" w:rsidRDefault="00594A56" w:rsidP="00DF00C7">
            <w:pPr>
              <w:spacing w:line="360" w:lineRule="auto"/>
              <w:ind w:firstLine="669"/>
              <w:rPr>
                <w:color w:val="000000"/>
              </w:rPr>
            </w:pPr>
            <w:r>
              <w:rPr>
                <w:color w:val="000000"/>
              </w:rPr>
              <w:t xml:space="preserve">Існують окремі питання у галузі регуляції ЄС питань миграційної кризи, диджіталізації, захисту природного середовища, досягнення принципів сталого розвитку, гендерної рівності, права на приватність, що прямо корелюють із кримінальним правом. Нагальним для ЄС стає розгляд питань криміналізації економічних зловживань у  так званих «ланцюгах постачання», коли бізнес держав ЄС  та транснаціональних корпорацій викристовує аутсорсінг та експлуатацію праці у країнах, що знаходяться  у низькому економічному станію </w:t>
            </w:r>
          </w:p>
          <w:p w14:paraId="72A85EC5" w14:textId="77777777" w:rsidR="00594A56" w:rsidRPr="00A721B3" w:rsidRDefault="00594A56" w:rsidP="00DF00C7">
            <w:pPr>
              <w:spacing w:line="360" w:lineRule="auto"/>
              <w:ind w:firstLine="669"/>
              <w:rPr>
                <w:i/>
                <w:iCs/>
                <w:color w:val="000000"/>
              </w:rPr>
            </w:pPr>
            <w:r w:rsidRPr="00A721B3">
              <w:rPr>
                <w:color w:val="000000"/>
              </w:rPr>
              <w:t>З точки зору директора інституту Європейського та міжнародного кримінального права, Адана Нієто, о</w:t>
            </w:r>
            <w:r>
              <w:t xml:space="preserve">сновними перешкодами на шляху піднесення до </w:t>
            </w:r>
            <w:r>
              <w:rPr>
                <w:lang w:val="en-US"/>
              </w:rPr>
              <w:t>aquis</w:t>
            </w:r>
            <w:r w:rsidRPr="00390501">
              <w:t xml:space="preserve"> </w:t>
            </w:r>
            <w:r>
              <w:t>з точки зору правової визначеності та передбачуваності у кримінально-правовій площині</w:t>
            </w:r>
            <w:r w:rsidRPr="00776942">
              <w:t>,</w:t>
            </w:r>
            <w:r>
              <w:t xml:space="preserve"> безумовно, будуть виступати юрисдикційні конфлікти. Моделі криміналізації, засновані на приматі ієрархічності </w:t>
            </w:r>
            <w:r>
              <w:rPr>
                <w:lang w:val="en-US"/>
              </w:rPr>
              <w:t>aquis</w:t>
            </w:r>
            <w:r w:rsidRPr="00390501">
              <w:t xml:space="preserve"> </w:t>
            </w:r>
            <w:r>
              <w:t>та національного законодавства, чи на моделі окремих договірних зобовʼязань за кожною директивою, не завжди спрацьовують. Існує третій, безпековий підхід, за яким держава задля убезпечення особистої та державної безпеки, взмозі</w:t>
            </w:r>
            <w:r w:rsidRPr="00776942">
              <w:t xml:space="preserve"> </w:t>
            </w:r>
            <w:r>
              <w:t>за рахунок більш ретельного контролю з боку громадянського суспільства та себе самої, встановлювати більш жорсткі обмежувальні заходи</w:t>
            </w:r>
            <w:r w:rsidRPr="00776942">
              <w:t>,</w:t>
            </w:r>
            <w:r>
              <w:t xml:space="preserve"> ніж передбачені європейським законодавством</w:t>
            </w:r>
            <w:r>
              <w:rPr>
                <w:rStyle w:val="af1"/>
              </w:rPr>
              <w:footnoteReference w:id="34"/>
            </w:r>
            <w:r w:rsidRPr="00776942">
              <w:t xml:space="preserve"> . </w:t>
            </w:r>
            <w:r>
              <w:t xml:space="preserve"> Проте належний шлях вибирати нам самим.</w:t>
            </w:r>
          </w:p>
          <w:p w14:paraId="4048A420" w14:textId="77777777" w:rsidR="00594A56" w:rsidRPr="00BE0F06" w:rsidRDefault="00594A56" w:rsidP="00DF00C7">
            <w:pPr>
              <w:spacing w:line="360" w:lineRule="auto"/>
              <w:ind w:firstLine="669"/>
              <w:rPr>
                <w:color w:val="000000"/>
              </w:rPr>
            </w:pPr>
            <w:r w:rsidRPr="00BE0F06">
              <w:rPr>
                <w:i/>
                <w:iCs/>
                <w:color w:val="000000"/>
              </w:rPr>
              <w:t>Підсумуючи</w:t>
            </w:r>
            <w:r w:rsidRPr="00FE02A1">
              <w:rPr>
                <w:i/>
                <w:iCs/>
                <w:color w:val="000000"/>
                <w:lang w:val="ru-RU"/>
              </w:rPr>
              <w:t>:</w:t>
            </w:r>
            <w:r w:rsidRPr="00865C4B">
              <w:rPr>
                <w:i/>
                <w:iCs/>
                <w:color w:val="000000"/>
              </w:rPr>
              <w:t xml:space="preserve"> піднесення до Європейського кримінального законодавства включає імплементацію Україною положень</w:t>
            </w:r>
            <w:r w:rsidRPr="00BE0F06">
              <w:rPr>
                <w:i/>
                <w:iCs/>
                <w:color w:val="000000"/>
              </w:rPr>
              <w:t xml:space="preserve"> </w:t>
            </w:r>
            <w:r w:rsidRPr="00865C4B">
              <w:rPr>
                <w:i/>
                <w:iCs/>
                <w:color w:val="000000"/>
              </w:rPr>
              <w:t>європейських кримінально-правових норм</w:t>
            </w:r>
            <w:r>
              <w:rPr>
                <w:i/>
                <w:iCs/>
                <w:color w:val="000000"/>
              </w:rPr>
              <w:t>,</w:t>
            </w:r>
            <w:r w:rsidRPr="00865C4B">
              <w:rPr>
                <w:i/>
                <w:iCs/>
                <w:color w:val="000000"/>
              </w:rPr>
              <w:t xml:space="preserve"> обов’язкових</w:t>
            </w:r>
            <w:r>
              <w:rPr>
                <w:i/>
                <w:iCs/>
                <w:color w:val="000000"/>
              </w:rPr>
              <w:t xml:space="preserve"> для імплементації</w:t>
            </w:r>
            <w:r w:rsidRPr="00865C4B">
              <w:rPr>
                <w:i/>
                <w:iCs/>
                <w:color w:val="000000"/>
              </w:rPr>
              <w:t xml:space="preserve"> за ст. 83 (1) Лісабонського договору, апроксимацію рекомендованих acquis communautaire кримінальних правопорушень з урахуванням судової практики ЄС, законопроектних робот та процедур відповідальності за невиконання приписів </w:t>
            </w:r>
            <w:r w:rsidRPr="00865C4B">
              <w:rPr>
                <w:i/>
                <w:iCs/>
                <w:color w:val="000000"/>
                <w:lang w:val="en-US"/>
              </w:rPr>
              <w:t>acquis</w:t>
            </w:r>
            <w:r w:rsidRPr="00865C4B">
              <w:rPr>
                <w:i/>
                <w:iCs/>
                <w:color w:val="000000"/>
              </w:rPr>
              <w:t>.</w:t>
            </w:r>
          </w:p>
          <w:p w14:paraId="3DCD4381" w14:textId="77777777" w:rsidR="00594A56" w:rsidRDefault="00594A56" w:rsidP="00DF00C7">
            <w:pPr>
              <w:spacing w:line="360" w:lineRule="auto"/>
              <w:ind w:firstLine="669"/>
              <w:rPr>
                <w:i/>
                <w:iCs/>
              </w:rPr>
            </w:pPr>
            <w:r w:rsidRPr="00107CD0">
              <w:rPr>
                <w:i/>
                <w:iCs/>
              </w:rPr>
              <w:t xml:space="preserve">Рівність, юридична визначеність, пропорційність, передбачуваність, субсидіарність, законність як принципи кримінального права та соціально-правові підґрунтя </w:t>
            </w:r>
            <w:r>
              <w:rPr>
                <w:i/>
                <w:iCs/>
              </w:rPr>
              <w:t>кримінальної політики</w:t>
            </w:r>
            <w:r w:rsidRPr="00107CD0">
              <w:rPr>
                <w:i/>
                <w:iCs/>
              </w:rPr>
              <w:t xml:space="preserve"> повинні розглядатися виключно у векторі примата прав людини та безпеки жертви кримінального правопорушення</w:t>
            </w:r>
            <w:r w:rsidRPr="00107CD0">
              <w:t xml:space="preserve">, </w:t>
            </w:r>
            <w:r w:rsidRPr="0034783E">
              <w:rPr>
                <w:i/>
                <w:iCs/>
              </w:rPr>
              <w:t>компліментарності примусу та гідного поводження, компенсації, реституції та реабілітації, сатисфакції, та гарантій неповторення спричинення шкоди жертвам кримінальних правопорушень з урахуванням суспільних інтересів та вимог  чемної профілактики правопорушень, суспільної та державної безпеки.</w:t>
            </w:r>
          </w:p>
          <w:p w14:paraId="06A38A94" w14:textId="77777777" w:rsidR="00594A56" w:rsidRDefault="00594A56" w:rsidP="00DF00C7">
            <w:pPr>
              <w:spacing w:line="360" w:lineRule="auto"/>
              <w:ind w:firstLine="669"/>
            </w:pPr>
            <w:r>
              <w:t xml:space="preserve">Цей перелік умов повинен кореспондувати відповідній політиці держави. І саме у конфлікті політично визначеної доцільності зловживання владою та  кримінальним правом повинна вигравати абсолютна законність та права людини. </w:t>
            </w:r>
          </w:p>
          <w:p w14:paraId="0B0644AE" w14:textId="091AB08A" w:rsidR="0043501A" w:rsidRPr="00E47D2C" w:rsidRDefault="0043501A" w:rsidP="00DF00C7">
            <w:pPr>
              <w:spacing w:line="360" w:lineRule="auto"/>
              <w:ind w:firstLine="669"/>
            </w:pPr>
            <w:r w:rsidRPr="00852120">
              <w:t xml:space="preserve"> </w:t>
            </w:r>
            <w:r w:rsidR="00594A56">
              <w:t xml:space="preserve">Водночас </w:t>
            </w:r>
            <w:r w:rsidRPr="00852120">
              <w:t xml:space="preserve"> пов'язані із кримінальним правом у вигляді узгодження санкцій за особливо тяжкі злочини дисциплінарні практики розповсюджуються серед усієї системи норм публічного права.</w:t>
            </w:r>
            <w:r w:rsidRPr="00852120">
              <w:rPr>
                <w:rStyle w:val="af1"/>
              </w:rPr>
              <w:footnoteReference w:id="35"/>
            </w:r>
            <w:r w:rsidRPr="00852120">
              <w:t xml:space="preserve"> </w:t>
            </w:r>
          </w:p>
          <w:p w14:paraId="0A8571B3" w14:textId="6F894733" w:rsidR="0043501A" w:rsidRPr="00852120" w:rsidRDefault="0043501A" w:rsidP="00DF00C7">
            <w:pPr>
              <w:spacing w:line="360" w:lineRule="auto"/>
              <w:ind w:firstLine="669"/>
            </w:pPr>
            <w:r w:rsidRPr="00852120">
              <w:t>Це й є центральним дискурсом (моделлю</w:t>
            </w:r>
            <w:r w:rsidR="00BA46F6" w:rsidRPr="00852120">
              <w:t>)</w:t>
            </w:r>
            <w:r w:rsidRPr="00852120">
              <w:t xml:space="preserve"> пеналізації відносин на різних рівнях взаємодії. </w:t>
            </w:r>
            <w:r w:rsidR="00BA46F6" w:rsidRPr="00852120">
              <w:t xml:space="preserve"> Виникає моральний ліміт адекватності кримінально-правової заборони, тобто ідея, як і наскільки характеристики окремих кримінально-правових норм та інститутів інтерпретуються суспільством у кримінально-правовій доктрині, наскільки сама доктрина та діюче законодавство відповідають ступеню розвитку суспільства та його морально-психологічному стану. Саме суспільне розуміння злочину та злочинного є певною п</w:t>
            </w:r>
            <w:r w:rsidR="001D2A6A">
              <w:t>е</w:t>
            </w:r>
            <w:r w:rsidR="00BA46F6" w:rsidRPr="00852120">
              <w:t>редтечею криміналізації чи укритої або прихованої декриміналізації діяння, оскільки частота розповсюдженості правопорушення та його моральна дозволеність для пересічних громадян роблять неефективною любу кримінальну заборону. В остаточному вигляді справа буде йти про розповсюдженість злочинної поведінки, як такої що дозволяється більшістю суспільства, та веде до тотального колапсу інститутів влади та громадянського суспільства.</w:t>
            </w:r>
          </w:p>
          <w:p w14:paraId="3C679321" w14:textId="77777777" w:rsidR="0043501A" w:rsidRPr="00852120" w:rsidRDefault="0043501A" w:rsidP="00DF00C7">
            <w:pPr>
              <w:spacing w:line="360" w:lineRule="auto"/>
              <w:ind w:firstLine="669"/>
            </w:pPr>
            <w:r w:rsidRPr="00852120">
              <w:t>Відома й наша точка зору, що кримінальна відповідальність є взаємною сукупністю кореспондуючих прав і обов'язків держави, правопорушника, жертви та третіх осіб при вчиненні злочину.</w:t>
            </w:r>
          </w:p>
          <w:p w14:paraId="6C842E2E" w14:textId="77777777" w:rsidR="0043501A" w:rsidRPr="00852120" w:rsidRDefault="0043501A" w:rsidP="00DF00C7">
            <w:pPr>
              <w:spacing w:line="360" w:lineRule="auto"/>
              <w:ind w:firstLine="669"/>
            </w:pPr>
            <w:r w:rsidRPr="00852120">
              <w:t xml:space="preserve">Кореспондуючі права зазначають, що потрібно будувати кримінальні норми з метою ефективної модифікації забороненої поведінки людини лише поважаючи потреби всіх акторів. Взаємні зобов'язання означають зобов'язання держави “Ultima Ratio Regis” використовувати різні види примусу до різних дисциплінарних практик. </w:t>
            </w:r>
          </w:p>
          <w:p w14:paraId="25EC88B5" w14:textId="77777777" w:rsidR="0043501A" w:rsidRPr="00852120" w:rsidRDefault="0043501A" w:rsidP="00DF00C7">
            <w:pPr>
              <w:spacing w:line="360" w:lineRule="auto"/>
              <w:ind w:firstLine="669"/>
            </w:pPr>
            <w:r w:rsidRPr="00852120">
              <w:t xml:space="preserve">Ця диверсифікація складається з двох моментів. Негативні (розмивання кримінально-правової сутності норм в суспільстві). Позитивні (зосередження на захисті прав і свобод людей, що  пов'язані із дисциплінарними практиками держави та суспільства). </w:t>
            </w:r>
          </w:p>
          <w:p w14:paraId="3FA200CF" w14:textId="41CFD6EF" w:rsidR="0043501A" w:rsidRPr="00852120" w:rsidRDefault="0043501A" w:rsidP="00DF00C7">
            <w:pPr>
              <w:ind w:firstLine="669"/>
            </w:pPr>
          </w:p>
        </w:tc>
      </w:tr>
      <w:tr w:rsidR="0035042F" w:rsidRPr="00852120" w14:paraId="101CDBD6" w14:textId="77777777" w:rsidTr="00ED6F4C">
        <w:trPr>
          <w:trHeight w:val="320"/>
        </w:trPr>
        <w:tc>
          <w:tcPr>
            <w:tcW w:w="10207" w:type="dxa"/>
            <w:vAlign w:val="bottom"/>
          </w:tcPr>
          <w:p w14:paraId="0BCEE561" w14:textId="551796E1" w:rsidR="0035042F" w:rsidRPr="00852120" w:rsidRDefault="0035042F" w:rsidP="00DF00C7">
            <w:pPr>
              <w:pStyle w:val="1"/>
              <w:numPr>
                <w:ilvl w:val="0"/>
                <w:numId w:val="22"/>
              </w:numPr>
              <w:ind w:firstLine="669"/>
              <w:rPr>
                <w:rFonts w:cs="Times New Roman"/>
              </w:rPr>
            </w:pPr>
            <w:bookmarkStart w:id="5" w:name="_Toc147652529"/>
            <w:r w:rsidRPr="00852120">
              <w:rPr>
                <w:rFonts w:cs="Times New Roman"/>
              </w:rPr>
              <w:lastRenderedPageBreak/>
              <w:t>Витоки кримінального права: цивілізаційний підхід</w:t>
            </w:r>
            <w:bookmarkEnd w:id="5"/>
          </w:p>
          <w:p w14:paraId="552F6AD4" w14:textId="172232B1" w:rsidR="00BA46F6" w:rsidRPr="00852120" w:rsidRDefault="00BA46F6" w:rsidP="00DF00C7">
            <w:pPr>
              <w:pStyle w:val="1"/>
              <w:ind w:firstLine="669"/>
              <w:rPr>
                <w:rFonts w:cs="Times New Roman"/>
              </w:rPr>
            </w:pPr>
          </w:p>
          <w:p w14:paraId="5D796091" w14:textId="77777777" w:rsidR="00BA46F6" w:rsidRPr="00852120" w:rsidRDefault="00BA46F6" w:rsidP="00DF00C7">
            <w:pPr>
              <w:spacing w:line="360" w:lineRule="auto"/>
              <w:ind w:firstLine="669"/>
            </w:pPr>
          </w:p>
          <w:p w14:paraId="3CC0D288" w14:textId="63405834" w:rsidR="00BA46F6" w:rsidRPr="00852120" w:rsidRDefault="00BA46F6" w:rsidP="00DF00C7">
            <w:pPr>
              <w:spacing w:line="360" w:lineRule="auto"/>
              <w:ind w:firstLine="669"/>
            </w:pPr>
            <w:r w:rsidRPr="00852120">
              <w:t xml:space="preserve"> З нашої точки зору система кримінально-правових заборон є оптимальним гарантом конституційних принципів (негативна конституція країни), який  має тенденцію до поширення та ускладнення. Водночас, спрощення структури  кримінально-правових заборон веде до зниження якості правового регулювання. Але якщо ідеологічна позиція правлячої верхівки знаходить своє відображення у моральних установках громадян, - норма спрацьовує, в остаточному разі ми зустрічаємося із характеристиками надмірної криміналізації. Протилежністю цьому виступає саме поширеність аномії, масове нехтування правом, зловживання правом та правовий нігілізм. При чому девіації акумулюються до моменту їхньої нейтралізації сукупністю соціальних факторів (неефективність поведінки перш за все). Зростання девіантної поведінки поруч із зловживаннями правом є, на жаль, нормою у сучасному суспільстві. Патологічним стає послідовне виконання правових заборон. Поруч з цим, культурна чи правова нейтралізація заборони та </w:t>
            </w:r>
            <w:r w:rsidR="001D2A6A" w:rsidRPr="00852120">
              <w:t>акультурація</w:t>
            </w:r>
            <w:r w:rsidRPr="00852120">
              <w:t xml:space="preserve"> девіації веде до зниження тиску кримінальності у суспільстві.</w:t>
            </w:r>
          </w:p>
          <w:p w14:paraId="4C597FA0" w14:textId="77777777" w:rsidR="00BA46F6" w:rsidRPr="00852120" w:rsidRDefault="00BA46F6" w:rsidP="00DF00C7">
            <w:pPr>
              <w:spacing w:line="360" w:lineRule="auto"/>
              <w:ind w:firstLine="669"/>
              <w:rPr>
                <w:bCs/>
                <w:color w:val="000000"/>
              </w:rPr>
            </w:pPr>
            <w:r w:rsidRPr="00852120">
              <w:rPr>
                <w:bCs/>
                <w:color w:val="000000"/>
              </w:rPr>
              <w:t>Дія соціальних та природничих процесів, які впливають на кримінальне право, загалом пов’язана із його динамічними характеристиками.</w:t>
            </w:r>
          </w:p>
          <w:p w14:paraId="01BD79CE" w14:textId="7C157012" w:rsidR="00BA46F6" w:rsidRPr="00852120" w:rsidRDefault="00BA46F6" w:rsidP="00DF00C7">
            <w:pPr>
              <w:spacing w:line="360" w:lineRule="auto"/>
              <w:ind w:firstLine="669"/>
            </w:pPr>
            <w:r w:rsidRPr="00852120">
              <w:t xml:space="preserve">Реалізація охоронних та профілактичних кримінально-правових відносин наполягає на необхідності диференціації обсягу державного примусу в залежності від характеристик суб’єктів  такого впливу (особи, соціальні спільноти, держава), відповідності ступеня впливу характеристикам особи винного; її кримінальності; ступеню тяжкості скоєного злочину; потребам потерпілого, третіх осіб, держави, міжнародної спільноти. Справа йде не тільки щодо встановлення ідеалів соціальної справедливості у процесі реалізації кримінальної відповідальності. Структурно-функціональний аналіз кримінального права вимагає від сучасних дослідників зосередження не тільки на проблематиці догматичного аналізу норми (суто кримінально-правовий підхід), чи аксіологічної оцінки існування та буття норми (кримінологічний або соціологічний підхід), але й інтегративного   динамічного аналізу сутності та буття норми в загалом. В цьому сенсі вкрай важливим має бути питання аналізу місця та ролі каральної та профілактичної сутності кримінального права у царині протидії злочинності.  </w:t>
            </w:r>
          </w:p>
          <w:p w14:paraId="706CFD0C" w14:textId="3BB038AD" w:rsidR="009A5948" w:rsidRPr="00852120" w:rsidRDefault="009A5948" w:rsidP="00DF00C7">
            <w:pPr>
              <w:spacing w:line="360" w:lineRule="auto"/>
              <w:ind w:firstLine="669"/>
            </w:pPr>
            <w:r w:rsidRPr="00852120">
              <w:t>Кримінально-правові норми в країнах з перехідною економікою мають бути побудовані, проаналізовані і інтерпретовані з точки зору: міжнародних товариств, урядів, місцевих експертів, пересічних громадян, правоохоронців та суддів, жертв злочинів та правопорушників. Ми стверджуємо, що такий комплексний цілісний підхід, заснований на взаємному визнанні всіх прав та обов'язків сторін повинен дати позитивні результати у процесі побудови нового закону. Таким чином, нове кримінальне законодавство та пенологічна практика формуються на основі мультидисциплінарної матриці з урахуванням норм Європейського кримінального права</w:t>
            </w:r>
            <w:r w:rsidRPr="00852120">
              <w:rPr>
                <w:rStyle w:val="af1"/>
              </w:rPr>
              <w:footnoteReference w:id="36"/>
            </w:r>
            <w:r w:rsidRPr="00852120">
              <w:t xml:space="preserve"> та права прав людини</w:t>
            </w:r>
            <w:r w:rsidRPr="00852120">
              <w:rPr>
                <w:rStyle w:val="af1"/>
              </w:rPr>
              <w:footnoteReference w:id="37"/>
            </w:r>
            <w:r w:rsidRPr="00852120">
              <w:t xml:space="preserve">. </w:t>
            </w:r>
          </w:p>
          <w:p w14:paraId="2034BB55" w14:textId="7ED6F9B0" w:rsidR="009A5948" w:rsidRDefault="009A5948" w:rsidP="00DF00C7">
            <w:pPr>
              <w:spacing w:line="360" w:lineRule="auto"/>
              <w:ind w:firstLine="669"/>
            </w:pPr>
            <w:r w:rsidRPr="00852120">
              <w:t>Так, Рада Європи прийняла значну кількість рекомендацій, спрямованих на криміналізацію окремих злочинів та процесуальні аспекти протидії ним.</w:t>
            </w:r>
            <w:r w:rsidRPr="00852120">
              <w:rPr>
                <w:rStyle w:val="af1"/>
              </w:rPr>
              <w:footnoteReference w:id="38"/>
            </w:r>
            <w:r w:rsidRPr="00852120">
              <w:t xml:space="preserve"> Проте питання гармонізації національних правових систем та апроксимації міжнародних нормативних актів вирішуються недостатньо ефективно чи не вирішуються загалом. Навіть остаточне завершення процесу приєднання до європейської системи протидії злочинності, підписання, ратифікація, приєднання, визнання міжнародних договорів не виправдують новацій. До того ж, розвитку, згідно з останніми тенденціями держави Європейського союзу прагнуть досягнути лише базового рівня гармонізації у частині криміналізації транскордонних злочинів та у частині підтримки взаємного визнання судових рішень. </w:t>
            </w:r>
            <w:r w:rsidR="00594A56">
              <w:rPr>
                <w:color w:val="000000" w:themeColor="text1"/>
              </w:rPr>
              <w:t xml:space="preserve">Розглядаючи питання формулювання  </w:t>
            </w:r>
            <w:r w:rsidR="00594A56" w:rsidRPr="00C52D4E">
              <w:rPr>
                <w:color w:val="000000" w:themeColor="text1"/>
              </w:rPr>
              <w:t>подальшої гармонізації кримінального та кримінального процесуального законодавства України зі стандартами Європейського Союзу</w:t>
            </w:r>
            <w:r w:rsidR="00594A56">
              <w:rPr>
                <w:rStyle w:val="af1"/>
                <w:color w:val="000000" w:themeColor="text1"/>
              </w:rPr>
              <w:footnoteReference w:id="39"/>
            </w:r>
            <w:r w:rsidR="00594A56" w:rsidRPr="00C52D4E">
              <w:rPr>
                <w:color w:val="000000" w:themeColor="text1"/>
              </w:rPr>
              <w:t xml:space="preserve"> </w:t>
            </w:r>
            <w:r w:rsidR="00594A56">
              <w:rPr>
                <w:color w:val="000000" w:themeColor="text1"/>
              </w:rPr>
              <w:t>, зазначимо</w:t>
            </w:r>
            <w:r w:rsidR="00594A56" w:rsidRPr="00C52D4E">
              <w:rPr>
                <w:color w:val="000000" w:themeColor="text1"/>
              </w:rPr>
              <w:t xml:space="preserve">, що </w:t>
            </w:r>
            <w:r w:rsidR="00594A56">
              <w:rPr>
                <w:color w:val="000000" w:themeColor="text1"/>
              </w:rPr>
              <w:t xml:space="preserve">така діяльність  </w:t>
            </w:r>
            <w:r w:rsidR="00594A56" w:rsidRPr="00A71D01">
              <w:rPr>
                <w:color w:val="000000" w:themeColor="text1"/>
              </w:rPr>
              <w:t xml:space="preserve">здійснюється за допомогою </w:t>
            </w:r>
            <w:r w:rsidR="00594A56">
              <w:rPr>
                <w:color w:val="000000" w:themeColor="text1"/>
              </w:rPr>
              <w:t>оптимального застосування Д</w:t>
            </w:r>
            <w:r w:rsidR="00594A56" w:rsidRPr="00A71D01">
              <w:rPr>
                <w:color w:val="000000" w:themeColor="text1"/>
              </w:rPr>
              <w:t>иректив</w:t>
            </w:r>
            <w:r w:rsidR="00594A56">
              <w:rPr>
                <w:color w:val="000000" w:themeColor="text1"/>
              </w:rPr>
              <w:t xml:space="preserve"> та Регламентів</w:t>
            </w:r>
            <w:r w:rsidR="00594A56" w:rsidRPr="00A71D01">
              <w:rPr>
                <w:color w:val="000000" w:themeColor="text1"/>
              </w:rPr>
              <w:t xml:space="preserve"> ЄС. Директиви</w:t>
            </w:r>
            <w:r w:rsidR="00594A56">
              <w:rPr>
                <w:color w:val="000000" w:themeColor="text1"/>
              </w:rPr>
              <w:t xml:space="preserve"> та Регламенти</w:t>
            </w:r>
            <w:r w:rsidR="00594A56" w:rsidRPr="00A71D01">
              <w:rPr>
                <w:color w:val="000000" w:themeColor="text1"/>
              </w:rPr>
              <w:t xml:space="preserve"> вимагають імплементації </w:t>
            </w:r>
            <w:r w:rsidR="00594A56">
              <w:rPr>
                <w:color w:val="000000" w:themeColor="text1"/>
              </w:rPr>
              <w:t xml:space="preserve">відповідних новацій </w:t>
            </w:r>
            <w:r w:rsidR="00594A56" w:rsidRPr="00A71D01">
              <w:rPr>
                <w:color w:val="000000" w:themeColor="text1"/>
              </w:rPr>
              <w:t xml:space="preserve">на національному рівні в усіх державах-членах протягом визначеного періоду, але </w:t>
            </w:r>
            <w:r w:rsidR="00594A56">
              <w:rPr>
                <w:color w:val="000000" w:themeColor="text1"/>
              </w:rPr>
              <w:t xml:space="preserve">згідно принципу субсидіарності та пропорційності, </w:t>
            </w:r>
            <w:r w:rsidR="00594A56" w:rsidRPr="00A71D01">
              <w:rPr>
                <w:color w:val="000000" w:themeColor="text1"/>
              </w:rPr>
              <w:t>залишають на розсуд держав-членів форму імплементації</w:t>
            </w:r>
            <w:r w:rsidR="00594A56">
              <w:rPr>
                <w:color w:val="000000" w:themeColor="text1"/>
              </w:rPr>
              <w:t xml:space="preserve"> та </w:t>
            </w:r>
            <w:r w:rsidR="00594A56" w:rsidRPr="00A71D01">
              <w:rPr>
                <w:color w:val="000000" w:themeColor="text1"/>
              </w:rPr>
              <w:t>метод</w:t>
            </w:r>
            <w:r w:rsidR="00594A56">
              <w:rPr>
                <w:color w:val="000000" w:themeColor="text1"/>
              </w:rPr>
              <w:t xml:space="preserve"> застосування державного примусу за невиконання приписів</w:t>
            </w:r>
            <w:r w:rsidR="00594A56" w:rsidRPr="00A71D01">
              <w:rPr>
                <w:color w:val="000000" w:themeColor="text1"/>
              </w:rPr>
              <w:t>.</w:t>
            </w:r>
            <w:r w:rsidR="00594A56">
              <w:rPr>
                <w:color w:val="000000" w:themeColor="text1"/>
              </w:rPr>
              <w:t xml:space="preserve"> </w:t>
            </w:r>
            <w:r w:rsidR="00594A56" w:rsidRPr="005A754C">
              <w:rPr>
                <w:color w:val="000000" w:themeColor="text1"/>
              </w:rPr>
              <w:t>“Важливо розрізняти вимоги директив щодо мінімальної та максимальної (або повної) гармонізації.</w:t>
            </w:r>
            <w:r w:rsidR="00594A56">
              <w:rPr>
                <w:color w:val="000000" w:themeColor="text1"/>
              </w:rPr>
              <w:t xml:space="preserve"> </w:t>
            </w:r>
            <w:r w:rsidR="00594A56" w:rsidRPr="005A754C">
              <w:rPr>
                <w:color w:val="000000" w:themeColor="text1"/>
              </w:rPr>
              <w:t>У випадку мінімальної гармонізації директива встановлює мінімальні стандарти, часто на знак визнання того факту, що правові системи деяких держав-членів вже встановили вищі стандарти. У цьому випадку держави-члени мають право встановлювати вищі стандарти, ніж ті, що встановлені в директиві.</w:t>
            </w:r>
            <w:r w:rsidR="00594A56" w:rsidRPr="005A754C">
              <w:rPr>
                <w:color w:val="000000" w:themeColor="text1"/>
                <w:lang w:val="ru-RU"/>
              </w:rPr>
              <w:t xml:space="preserve"> </w:t>
            </w:r>
            <w:r w:rsidR="00594A56" w:rsidRPr="005A754C">
              <w:rPr>
                <w:color w:val="000000" w:themeColor="text1"/>
              </w:rPr>
              <w:t>У випадку максимальної гармонізації держави-члени повинні запровадити правила з мінімальними та максимальними стандартами, встановленими в директиві”</w:t>
            </w:r>
            <w:r w:rsidR="00594A56">
              <w:rPr>
                <w:rStyle w:val="af1"/>
                <w:color w:val="000000" w:themeColor="text1"/>
              </w:rPr>
              <w:footnoteReference w:id="40"/>
            </w:r>
            <w:r w:rsidR="00594A56" w:rsidRPr="005A754C">
              <w:rPr>
                <w:color w:val="000000" w:themeColor="text1"/>
              </w:rPr>
              <w:t xml:space="preserve">. </w:t>
            </w:r>
            <w:r w:rsidRPr="00852120">
              <w:t>Доречи існує також окремий вплив транснаціональних норм корпоративної поведінки недержавних акторів (lex mercatori, lex medici, lex sportive) на динаміку криміналізації у національних юрисдикціях. Транскордонний характер дій МВФ, ВОЗ, ФІФА, що забезпечують системний вплив означених норм на законодавство окремих держав, не потребує доказів. Але саме процеси інтерпретації кримінальних заборон згідно вимогам транснаціональних структур потребують кримінологічного аналізу з точки зору відповідності останніх юрисдикційним процесам та суверенітету країни. Інакше примат міждержавних наративів веде до послаблення державного примусу. Відповідно, кримінальне право розчиняється в процесах транзиції та обмежень суверенітету національних політико-юридичних форм</w:t>
            </w:r>
          </w:p>
          <w:p w14:paraId="45F4AB5D" w14:textId="7B2D14BA" w:rsidR="00594A56" w:rsidRPr="00B147FC" w:rsidRDefault="00594A56" w:rsidP="00DF00C7">
            <w:pPr>
              <w:spacing w:line="360" w:lineRule="auto"/>
              <w:ind w:firstLine="669"/>
              <w:rPr>
                <w:color w:val="000000" w:themeColor="text1"/>
              </w:rPr>
            </w:pPr>
            <w:r>
              <w:t xml:space="preserve">Повторюємо, </w:t>
            </w:r>
            <w:r w:rsidRPr="00C52D4E">
              <w:rPr>
                <w:color w:val="000000" w:themeColor="text1"/>
              </w:rPr>
              <w:t>групи злочинів, що підлягають апроксимації</w:t>
            </w:r>
            <w:r>
              <w:rPr>
                <w:color w:val="000000" w:themeColor="text1"/>
              </w:rPr>
              <w:t xml:space="preserve"> у процесі приведення Національного законодавства України до європейських стандартів</w:t>
            </w:r>
            <w:r w:rsidRPr="00C52D4E">
              <w:rPr>
                <w:color w:val="000000" w:themeColor="text1"/>
              </w:rPr>
              <w:t>,  є наступними:  тероризм, торгівля людьми та сексуальна експлуатація жінок і дітей, незаконний обіг наркотиків, незаконна торгівля зброєю, відмивання грошей, корупція, підробка платіжних засобів, комп'ютерні злочини та організована злочинність</w:t>
            </w:r>
            <w:r>
              <w:rPr>
                <w:rStyle w:val="af1"/>
                <w:color w:val="000000" w:themeColor="text1"/>
              </w:rPr>
              <w:footnoteReference w:id="41"/>
            </w:r>
            <w:r w:rsidRPr="00C52D4E">
              <w:rPr>
                <w:color w:val="000000" w:themeColor="text1"/>
              </w:rPr>
              <w:t xml:space="preserve"> </w:t>
            </w:r>
            <w:r w:rsidRPr="00B147FC">
              <w:rPr>
                <w:color w:val="000000" w:themeColor="text1"/>
              </w:rPr>
              <w:t xml:space="preserve">. </w:t>
            </w:r>
          </w:p>
          <w:p w14:paraId="565ED5BE" w14:textId="77777777" w:rsidR="00594A56" w:rsidRDefault="00594A56" w:rsidP="00DF00C7">
            <w:pPr>
              <w:spacing w:line="360" w:lineRule="auto"/>
              <w:ind w:firstLine="669"/>
              <w:rPr>
                <w:color w:val="000000" w:themeColor="text1"/>
                <w:lang w:val="ru-RU"/>
              </w:rPr>
            </w:pPr>
            <w:r>
              <w:rPr>
                <w:color w:val="000000" w:themeColor="text1"/>
              </w:rPr>
              <w:t>У  більш розвинутому переліку це</w:t>
            </w:r>
            <w:r w:rsidRPr="00F408EB">
              <w:rPr>
                <w:color w:val="000000" w:themeColor="text1"/>
                <w:lang w:val="ru-RU"/>
              </w:rPr>
              <w:t xml:space="preserve">: </w:t>
            </w:r>
          </w:p>
          <w:p w14:paraId="0F3AB464" w14:textId="77777777" w:rsidR="00594A56" w:rsidRPr="00DB4C92" w:rsidRDefault="00594A56" w:rsidP="00DF00C7">
            <w:pPr>
              <w:spacing w:line="360" w:lineRule="auto"/>
              <w:ind w:firstLine="669"/>
              <w:jc w:val="left"/>
              <w:rPr>
                <w:color w:val="000000" w:themeColor="text1"/>
              </w:rPr>
            </w:pPr>
            <w:r>
              <w:rPr>
                <w:color w:val="000000" w:themeColor="text1"/>
              </w:rPr>
              <w:t>(</w:t>
            </w:r>
            <w:r w:rsidRPr="00DB4C92">
              <w:rPr>
                <w:color w:val="000000" w:themeColor="text1"/>
              </w:rPr>
              <w:t>a</w:t>
            </w:r>
            <w:r>
              <w:rPr>
                <w:color w:val="000000" w:themeColor="text1"/>
              </w:rPr>
              <w:t xml:space="preserve">) </w:t>
            </w:r>
            <w:r w:rsidRPr="00DB4C92">
              <w:rPr>
                <w:color w:val="000000" w:themeColor="text1"/>
              </w:rPr>
              <w:t>участь у злочинній організації, як визначено в Рамковому рішенні Ради 2008/841/JHA ;</w:t>
            </w:r>
          </w:p>
          <w:p w14:paraId="5A27160D" w14:textId="77777777" w:rsidR="00594A56" w:rsidRDefault="00594A56" w:rsidP="00DF00C7">
            <w:pPr>
              <w:spacing w:line="360" w:lineRule="auto"/>
              <w:ind w:firstLine="669"/>
              <w:jc w:val="left"/>
              <w:rPr>
                <w:color w:val="000000" w:themeColor="text1"/>
              </w:rPr>
            </w:pPr>
            <w:r w:rsidRPr="00DB4C92">
              <w:rPr>
                <w:color w:val="000000" w:themeColor="text1"/>
              </w:rPr>
              <w:t>(b) тероризм, як визначено в Директиві (ЄС) 2017/541 Європейського Парламенту та Ради;</w:t>
            </w:r>
            <w:r w:rsidRPr="00DB4C92">
              <w:rPr>
                <w:color w:val="000000" w:themeColor="text1"/>
              </w:rPr>
              <w:br/>
              <w:t>(c) торгівля людьми, як визначено в Директиві 2011/36/ЄС Європейського Парламенту та Ради;</w:t>
            </w:r>
            <w:r w:rsidRPr="00DB4C92">
              <w:rPr>
                <w:color w:val="000000" w:themeColor="text1"/>
              </w:rPr>
              <w:br/>
              <w:t xml:space="preserve">(d) сексуальна експлуатація дітей та дитяча порнографія, як визначено в Директиві 2011/93/ЄС Європейського Парламенту та Ради  </w:t>
            </w:r>
            <w:r w:rsidRPr="00DB4C92">
              <w:rPr>
                <w:color w:val="000000" w:themeColor="text1"/>
              </w:rPr>
              <w:br/>
              <w:t>(e) незаконний обіг наркотичних засобів та психотропних речовин, як визначено в Рамковому рішенні Ради 2004/757/JHA;</w:t>
            </w:r>
            <w:r w:rsidRPr="00DB4C92">
              <w:rPr>
                <w:color w:val="000000" w:themeColor="text1"/>
              </w:rPr>
              <w:br/>
              <w:t>(f) корупція, як визначено в Конвенції, розробленій на основі статті K.3(2)(c) Договору про Європейський Союз про боротьбу з корупцією за участю посадових осіб Європейських Співтовариств або посадових осіб держав-членів Європейського Союзу  та в Рамковому рішенні Ради 2003/568/JHA;</w:t>
            </w:r>
            <w:r w:rsidRPr="00DB4C92">
              <w:rPr>
                <w:color w:val="000000" w:themeColor="text1"/>
              </w:rPr>
              <w:br/>
              <w:t>(g) відмивання грошей, як визначено в Директиві (ЄС) 2018/1673 Європейського Парламенту та Ради;</w:t>
            </w:r>
            <w:r w:rsidRPr="00DB4C92">
              <w:rPr>
                <w:color w:val="000000" w:themeColor="text1"/>
              </w:rPr>
              <w:br/>
              <w:t>(h) підробка платіжних засобів, як визначено в Директиві (ЄС) 2019/713 Європейського Парламенту та Ради;</w:t>
            </w:r>
            <w:r w:rsidRPr="00DB4C92">
              <w:rPr>
                <w:color w:val="000000" w:themeColor="text1"/>
              </w:rPr>
              <w:br/>
              <w:t>(i) підробка валюти, включаючи євро, як визначено в Директиві 2014/62/ЄС Європейського Парламенту та Ради;</w:t>
            </w:r>
            <w:r w:rsidRPr="00DB4C92">
              <w:rPr>
                <w:color w:val="000000" w:themeColor="text1"/>
              </w:rPr>
              <w:br/>
              <w:t>(j) комп'ютерні злочини, як визначено в Директиві 2013/40/ЄС Європейського Парламенту та Ради;</w:t>
            </w:r>
            <w:r w:rsidRPr="00DB4C92">
              <w:rPr>
                <w:color w:val="000000" w:themeColor="text1"/>
              </w:rPr>
              <w:br/>
              <w:t>(k) незаконний обіг зброї, боєприпасів та вибухових речовин, як визначено у Протоколі проти незаконного виготовлення та обігу вогнепальної зброї, її складових частин і компонентів, а також боєприпасів до неї, що доповнює Конвенцію ООН проти транснаціональної організованої злочинності;</w:t>
            </w:r>
            <w:r w:rsidRPr="00DB4C92">
              <w:rPr>
                <w:color w:val="000000" w:themeColor="text1"/>
              </w:rPr>
              <w:br/>
              <w:t>(l) шахрайство, включаючи шахрайство та інші кримінальні правопорушення, що впливають на фінансові інтереси Союзу, як визначено в Директиві (ЄС) 2017/1371 Європейського Парламенту та Ради;</w:t>
            </w:r>
            <w:r w:rsidRPr="00DB4C92">
              <w:rPr>
                <w:color w:val="000000" w:themeColor="text1"/>
              </w:rPr>
              <w:br/>
              <w:t>(m) екологічні злочини, включаючи незаконну торгівлю видами тварин, що перебувають під загрозою зникнення, та видами і сортами рослин, що перебувають під загрозою зникнення, як визначено в Директиві 2008/99/ЄС Європейського Парламенту та Ради, а також злочини, пов'язані із забрудненням з суден, як визначено в Директиві 2005/35/ЄС із поправками, внесеними Директивою 2009/123/ЄС;</w:t>
            </w:r>
            <w:r w:rsidRPr="00DB4C92">
              <w:rPr>
                <w:color w:val="000000" w:themeColor="text1"/>
              </w:rPr>
              <w:br/>
              <w:t xml:space="preserve">(n) сприяння несанкціонованому в'їзду та проживанню, як визначено в Рамковому рішенні Ради 2002/946/JHA та Директиві Ради 2002/90/ЄС </w:t>
            </w:r>
            <w:r w:rsidRPr="0019751E">
              <w:rPr>
                <w:color w:val="000000" w:themeColor="text1"/>
              </w:rPr>
              <w:t xml:space="preserve">.  </w:t>
            </w:r>
          </w:p>
          <w:p w14:paraId="2885D3A1" w14:textId="77777777" w:rsidR="00594A56" w:rsidRDefault="00594A56" w:rsidP="00DF00C7">
            <w:pPr>
              <w:spacing w:line="360" w:lineRule="auto"/>
              <w:ind w:firstLine="669"/>
              <w:rPr>
                <w:color w:val="000000" w:themeColor="text1"/>
              </w:rPr>
            </w:pPr>
            <w:r>
              <w:rPr>
                <w:color w:val="000000" w:themeColor="text1"/>
              </w:rPr>
              <w:t>До того ж існує певна кількість інших видів злочинів, гармонізація яких, пов</w:t>
            </w:r>
            <w:r w:rsidRPr="00DB4C92">
              <w:rPr>
                <w:color w:val="000000" w:themeColor="text1"/>
              </w:rPr>
              <w:t>’</w:t>
            </w:r>
            <w:r>
              <w:rPr>
                <w:color w:val="000000" w:themeColor="text1"/>
              </w:rPr>
              <w:t xml:space="preserve">язується із «загальноєвропейськими» через «подвійну превенцію» чи гармонізацію санкцій. </w:t>
            </w:r>
          </w:p>
          <w:p w14:paraId="31149856" w14:textId="77777777" w:rsidR="00594A56" w:rsidRPr="00F408EB" w:rsidRDefault="00594A56" w:rsidP="00DF00C7">
            <w:pPr>
              <w:spacing w:line="360" w:lineRule="auto"/>
              <w:ind w:firstLine="669"/>
              <w:rPr>
                <w:color w:val="000000" w:themeColor="text1"/>
              </w:rPr>
            </w:pPr>
            <w:r>
              <w:rPr>
                <w:color w:val="000000" w:themeColor="text1"/>
              </w:rPr>
              <w:t>Цей невичерпний перелік</w:t>
            </w:r>
            <w:r w:rsidRPr="00F408EB">
              <w:rPr>
                <w:color w:val="000000" w:themeColor="text1"/>
              </w:rPr>
              <w:t xml:space="preserve"> </w:t>
            </w:r>
            <w:r>
              <w:rPr>
                <w:color w:val="000000" w:themeColor="text1"/>
              </w:rPr>
              <w:t>на сьогодні включає</w:t>
            </w:r>
            <w:r w:rsidRPr="00F408EB">
              <w:rPr>
                <w:color w:val="000000" w:themeColor="text1"/>
              </w:rPr>
              <w:t xml:space="preserve"> </w:t>
            </w:r>
            <w:r>
              <w:rPr>
                <w:color w:val="000000" w:themeColor="text1"/>
              </w:rPr>
              <w:t>такі склади як</w:t>
            </w:r>
            <w:r w:rsidRPr="00F408EB">
              <w:rPr>
                <w:color w:val="000000" w:themeColor="text1"/>
              </w:rPr>
              <w:t>:</w:t>
            </w:r>
          </w:p>
          <w:p w14:paraId="7E24F4B4" w14:textId="77777777" w:rsidR="00594A56" w:rsidRPr="00F408EB" w:rsidRDefault="00594A56" w:rsidP="00DF00C7">
            <w:pPr>
              <w:spacing w:line="360" w:lineRule="auto"/>
              <w:ind w:firstLine="669"/>
              <w:jc w:val="left"/>
              <w:rPr>
                <w:color w:val="000000" w:themeColor="text1"/>
              </w:rPr>
            </w:pPr>
            <w:r w:rsidRPr="00F408EB">
              <w:rPr>
                <w:color w:val="000000" w:themeColor="text1"/>
              </w:rPr>
              <w:t>(</w:t>
            </w:r>
            <w:r w:rsidRPr="00F408EB">
              <w:rPr>
                <w:color w:val="000000" w:themeColor="text1"/>
                <w:lang w:val="en-US"/>
              </w:rPr>
              <w:t>a</w:t>
            </w:r>
            <w:r w:rsidRPr="00F408EB">
              <w:rPr>
                <w:color w:val="000000" w:themeColor="text1"/>
              </w:rPr>
              <w:t>)підробка та піратство продукції;</w:t>
            </w:r>
            <w:r w:rsidRPr="00F408EB">
              <w:rPr>
                <w:color w:val="000000" w:themeColor="text1"/>
              </w:rPr>
              <w:br/>
              <w:t>(</w:t>
            </w:r>
            <w:r w:rsidRPr="00F408EB">
              <w:rPr>
                <w:color w:val="000000" w:themeColor="text1"/>
                <w:lang w:val="en-US"/>
              </w:rPr>
              <w:t>b</w:t>
            </w:r>
            <w:r w:rsidRPr="00F408EB">
              <w:rPr>
                <w:color w:val="000000" w:themeColor="text1"/>
              </w:rPr>
              <w:t>) незаконний обіг культурних цінностей, зокрема антикваріату та творів мистецтва;</w:t>
            </w:r>
            <w:r w:rsidRPr="00F408EB">
              <w:rPr>
                <w:color w:val="000000" w:themeColor="text1"/>
              </w:rPr>
              <w:br/>
              <w:t>(</w:t>
            </w:r>
            <w:r w:rsidRPr="00F408EB">
              <w:rPr>
                <w:color w:val="000000" w:themeColor="text1"/>
                <w:lang w:val="en-US"/>
              </w:rPr>
              <w:t>c</w:t>
            </w:r>
            <w:r w:rsidRPr="00F408EB">
              <w:rPr>
                <w:color w:val="000000" w:themeColor="text1"/>
              </w:rPr>
              <w:t>) підробка адміністративних документів та їх незаконний обіг</w:t>
            </w:r>
            <w:r w:rsidRPr="00F408EB">
              <w:rPr>
                <w:color w:val="000000" w:themeColor="text1"/>
              </w:rPr>
              <w:br/>
              <w:t>(</w:t>
            </w:r>
            <w:r w:rsidRPr="00F408EB">
              <w:rPr>
                <w:color w:val="000000" w:themeColor="text1"/>
                <w:lang w:val="en-US"/>
              </w:rPr>
              <w:t>d</w:t>
            </w:r>
            <w:r w:rsidRPr="00F408EB">
              <w:rPr>
                <w:color w:val="000000" w:themeColor="text1"/>
              </w:rPr>
              <w:t>) вбивство або нанесення тяжких тілесних ушкоджень;</w:t>
            </w:r>
            <w:r w:rsidRPr="00F408EB">
              <w:rPr>
                <w:color w:val="000000" w:themeColor="text1"/>
              </w:rPr>
              <w:br/>
              <w:t>(</w:t>
            </w:r>
            <w:r w:rsidRPr="00F408EB">
              <w:rPr>
                <w:color w:val="000000" w:themeColor="text1"/>
                <w:lang w:val="en-US"/>
              </w:rPr>
              <w:t>e</w:t>
            </w:r>
            <w:r w:rsidRPr="00F408EB">
              <w:rPr>
                <w:color w:val="000000" w:themeColor="text1"/>
              </w:rPr>
              <w:t>) незаконна торгівля людськими органами та тканинами</w:t>
            </w:r>
            <w:r w:rsidRPr="00F408EB">
              <w:rPr>
                <w:color w:val="000000" w:themeColor="text1"/>
              </w:rPr>
              <w:br/>
              <w:t>(</w:t>
            </w:r>
            <w:r w:rsidRPr="00F408EB">
              <w:rPr>
                <w:color w:val="000000" w:themeColor="text1"/>
                <w:lang w:val="en-US"/>
              </w:rPr>
              <w:t>f</w:t>
            </w:r>
            <w:r w:rsidRPr="00F408EB">
              <w:rPr>
                <w:color w:val="000000" w:themeColor="text1"/>
              </w:rPr>
              <w:t>) викрадення, незаконне позбавлення волі або захоплення заручників</w:t>
            </w:r>
            <w:r w:rsidRPr="00F408EB">
              <w:rPr>
                <w:color w:val="000000" w:themeColor="text1"/>
              </w:rPr>
              <w:br/>
              <w:t>(</w:t>
            </w:r>
            <w:r w:rsidRPr="00F408EB">
              <w:rPr>
                <w:color w:val="000000" w:themeColor="text1"/>
                <w:lang w:val="en-US"/>
              </w:rPr>
              <w:t>g</w:t>
            </w:r>
            <w:r w:rsidRPr="00F408EB">
              <w:rPr>
                <w:color w:val="000000" w:themeColor="text1"/>
              </w:rPr>
              <w:t>) організоване або збройне пограбування;</w:t>
            </w:r>
            <w:r w:rsidRPr="00F408EB">
              <w:rPr>
                <w:color w:val="000000" w:themeColor="text1"/>
              </w:rPr>
              <w:br/>
              <w:t>(</w:t>
            </w:r>
            <w:r w:rsidRPr="00F408EB">
              <w:rPr>
                <w:color w:val="000000" w:themeColor="text1"/>
                <w:lang w:val="en-US"/>
              </w:rPr>
              <w:t>h</w:t>
            </w:r>
            <w:r w:rsidRPr="00F408EB">
              <w:rPr>
                <w:color w:val="000000" w:themeColor="text1"/>
              </w:rPr>
              <w:t>) рекет та вимагання;</w:t>
            </w:r>
            <w:r w:rsidRPr="00F408EB">
              <w:rPr>
                <w:color w:val="000000" w:themeColor="text1"/>
              </w:rPr>
              <w:br/>
              <w:t>(</w:t>
            </w:r>
            <w:r w:rsidRPr="00F408EB">
              <w:rPr>
                <w:color w:val="000000" w:themeColor="text1"/>
                <w:lang w:val="en-US"/>
              </w:rPr>
              <w:t>i</w:t>
            </w:r>
            <w:r w:rsidRPr="00F408EB">
              <w:rPr>
                <w:color w:val="000000" w:themeColor="text1"/>
              </w:rPr>
              <w:t>) торгівля викраденими транспортними засобами;</w:t>
            </w:r>
            <w:r w:rsidRPr="00F408EB">
              <w:rPr>
                <w:color w:val="000000" w:themeColor="text1"/>
              </w:rPr>
              <w:br/>
              <w:t>(</w:t>
            </w:r>
            <w:r w:rsidRPr="00F408EB">
              <w:rPr>
                <w:color w:val="000000" w:themeColor="text1"/>
                <w:lang w:val="en-US"/>
              </w:rPr>
              <w:t>j</w:t>
            </w:r>
            <w:r w:rsidRPr="00F408EB">
              <w:rPr>
                <w:color w:val="000000" w:themeColor="text1"/>
              </w:rPr>
              <w:t>) податкові злочини, пов'язані з прямими та непрямими податками і визначені національним законодавством держав-членів, які караються позбавленням волі або арештом на строк не менше одного року;</w:t>
            </w:r>
          </w:p>
          <w:p w14:paraId="6ACC98F2" w14:textId="77777777" w:rsidR="00594A56" w:rsidRPr="00F408EB" w:rsidRDefault="00594A56" w:rsidP="00DF00C7">
            <w:pPr>
              <w:spacing w:line="360" w:lineRule="auto"/>
              <w:ind w:firstLine="669"/>
              <w:jc w:val="left"/>
              <w:rPr>
                <w:color w:val="000000" w:themeColor="text1"/>
                <w:lang w:val="ru-RU"/>
              </w:rPr>
            </w:pPr>
            <w:r w:rsidRPr="00F408EB">
              <w:rPr>
                <w:color w:val="000000" w:themeColor="text1"/>
                <w:lang w:val="ru-RU"/>
              </w:rPr>
              <w:t>(</w:t>
            </w:r>
            <w:r>
              <w:rPr>
                <w:color w:val="000000" w:themeColor="text1"/>
                <w:lang w:val="en-US"/>
              </w:rPr>
              <w:t>k</w:t>
            </w:r>
            <w:r w:rsidRPr="00F408EB">
              <w:rPr>
                <w:color w:val="000000" w:themeColor="text1"/>
                <w:lang w:val="ru-RU"/>
              </w:rPr>
              <w:t>) зловживання на ринку, інсайдерські операції та маніпулювання ринком;</w:t>
            </w:r>
            <w:r w:rsidRPr="00F408EB">
              <w:rPr>
                <w:color w:val="000000" w:themeColor="text1"/>
              </w:rPr>
              <w:br/>
            </w:r>
            <w:r w:rsidRPr="00F408EB">
              <w:rPr>
                <w:color w:val="000000" w:themeColor="text1"/>
                <w:lang w:val="ru-RU"/>
              </w:rPr>
              <w:t>(</w:t>
            </w:r>
            <w:r>
              <w:rPr>
                <w:color w:val="000000" w:themeColor="text1"/>
                <w:lang w:val="en-US"/>
              </w:rPr>
              <w:t>l</w:t>
            </w:r>
            <w:r w:rsidRPr="00F408EB">
              <w:rPr>
                <w:color w:val="000000" w:themeColor="text1"/>
                <w:lang w:val="ru-RU"/>
              </w:rPr>
              <w:t>)порушення обмежувальних заходів Союзу, визначених у Директиві Європейського Парламенту та</w:t>
            </w:r>
            <w:proofErr w:type="gramStart"/>
            <w:r w:rsidRPr="00F408EB">
              <w:rPr>
                <w:color w:val="000000" w:themeColor="text1"/>
                <w:lang w:val="ru-RU"/>
              </w:rPr>
              <w:t xml:space="preserve"> Р</w:t>
            </w:r>
            <w:proofErr w:type="gramEnd"/>
            <w:r w:rsidRPr="00F408EB">
              <w:rPr>
                <w:color w:val="000000" w:themeColor="text1"/>
                <w:lang w:val="ru-RU"/>
              </w:rPr>
              <w:t>ади.</w:t>
            </w:r>
          </w:p>
          <w:p w14:paraId="22037D07" w14:textId="246B5406" w:rsidR="009A5948" w:rsidRPr="00852120" w:rsidRDefault="009A5948" w:rsidP="00DF00C7">
            <w:pPr>
              <w:spacing w:line="360" w:lineRule="auto"/>
              <w:ind w:firstLine="669"/>
            </w:pPr>
            <w:r w:rsidRPr="00852120">
              <w:t xml:space="preserve">Поруч з цим, </w:t>
            </w:r>
            <w:r w:rsidR="00594A56">
              <w:t xml:space="preserve"> заважаючи на </w:t>
            </w:r>
            <w:r w:rsidR="00325CC3">
              <w:t xml:space="preserve">глобалізаційні процеси, </w:t>
            </w:r>
            <w:r w:rsidRPr="00852120">
              <w:t xml:space="preserve">саме у царині кримінального права все частіше бачиться процес фрагментації, коли примат віддається саме національним, а не міждержавним стандартам. </w:t>
            </w:r>
          </w:p>
          <w:p w14:paraId="7AE04484" w14:textId="77777777" w:rsidR="009A5948" w:rsidRPr="00852120" w:rsidRDefault="009A5948" w:rsidP="00DF00C7">
            <w:pPr>
              <w:spacing w:line="360" w:lineRule="auto"/>
              <w:ind w:firstLine="669"/>
            </w:pPr>
            <w:r w:rsidRPr="00852120">
              <w:rPr>
                <w:i/>
              </w:rPr>
              <w:t>Держава має право карати свого громадянина</w:t>
            </w:r>
            <w:r w:rsidRPr="00852120">
              <w:t xml:space="preserve">. Тільки держава. Це аксіома транзиції: від законів таліона до демократичної системи управління. Заважаючи на традиційне для конституціоналістів розуміння примата міжнародних договорів у порівнянні з національним законом, кримінальний закон має певний ступінь захищеності. Як правило, конвенційні норми, чи право прав людини застосовуються у кримінально-правовому сенсі лише коли стають частиною національного законодавства, будучи імплементованими, чи апроксімованими у національний кримінальний закон. До того ж, європейські держави прагнуть досягнути базового рівня гармонізації та апроксимації законодавства лише у частині криміналізації транскордонних злочинів та підтримки взаємного визнання судових рішень. Причин такого ставлення декілька. </w:t>
            </w:r>
          </w:p>
          <w:p w14:paraId="08B16708" w14:textId="77777777" w:rsidR="009A5948" w:rsidRPr="00852120" w:rsidRDefault="009A5948" w:rsidP="00DF00C7">
            <w:pPr>
              <w:spacing w:line="360" w:lineRule="auto"/>
              <w:ind w:firstLine="669"/>
              <w:rPr>
                <w:iCs/>
              </w:rPr>
            </w:pPr>
            <w:r w:rsidRPr="00852120">
              <w:t xml:space="preserve">Професор Маті Ютсен казав свого часу, що, по-перше, ми зіштовхуємося із неможливістю отримання нової якості дефініцій злочинів на транснаціональному рівні, оскільки національні правові системи різняться одна від одної. </w:t>
            </w:r>
            <w:r w:rsidRPr="00852120">
              <w:rPr>
                <w:iCs/>
              </w:rPr>
              <w:t xml:space="preserve">Відсутність єдиного конституційного акту на рівні міждержавної спільноти не дає можливості формування кримінального права sui generis, оскільки саме невирішення питань організації влади не дає можливості для вибору адекватних засобів її захисту. Питання ж поширення стандартів Європейської конвенції з прав людини носять надюрисдикційний характер. </w:t>
            </w:r>
          </w:p>
          <w:p w14:paraId="18CA40C0" w14:textId="77777777" w:rsidR="009A5948" w:rsidRPr="00852120" w:rsidRDefault="009A5948" w:rsidP="00DF00C7">
            <w:pPr>
              <w:spacing w:line="360" w:lineRule="auto"/>
              <w:ind w:firstLine="669"/>
            </w:pPr>
            <w:r w:rsidRPr="00852120">
              <w:t xml:space="preserve">По-друге, аргументи щодо забезпечення єдиного рівня правосуддя шляхом створення єдиної системи кримінальних та кримінально-процесуальних норм, єдиної європейської правової культури також не витримують критики. Справа у тому, що ставлення населення та правозастосувачів к праву різниться не тільки у кордонах окремих держав, але й у конкретних комунах та общинах, що завідомо не надасть планованого ефекту процесу апроксимації. </w:t>
            </w:r>
          </w:p>
          <w:p w14:paraId="2222CAFC" w14:textId="77777777" w:rsidR="009A5948" w:rsidRPr="00852120" w:rsidRDefault="009A5948" w:rsidP="00DF00C7">
            <w:pPr>
              <w:spacing w:line="360" w:lineRule="auto"/>
              <w:ind w:firstLine="669"/>
            </w:pPr>
            <w:r w:rsidRPr="00852120">
              <w:t xml:space="preserve">Далі. Аргументи щодо ідеологічного значення піднесення питань протидії злочинності до міжнародного рівня також носять невиважений характер, оскільки більшість «ядерних» злочинів вже давно криміналізоване. </w:t>
            </w:r>
          </w:p>
          <w:p w14:paraId="2BD1F918" w14:textId="137C7F83" w:rsidR="009A5948" w:rsidRPr="00852120" w:rsidRDefault="009A5948" w:rsidP="00DF00C7">
            <w:pPr>
              <w:spacing w:line="360" w:lineRule="auto"/>
              <w:ind w:firstLine="669"/>
            </w:pPr>
            <w:r w:rsidRPr="00852120">
              <w:t xml:space="preserve">Застосування єдиної системи санкцій також не має свого сенсу, оскільки застосування покарань залежить від правової культури та характеристики законодавства суб'єктів, наприклад, федерації, де питання покарання залежать від стану та традицій суспільного розвитку регіонів. Доказів же орієнтування злочинців на скоєння злочинів у країнах із низьким рівнем жорсткості санкцій не існує. У цьому сенсі вкрай важливим має бути питання вирішення адекватного розуміння </w:t>
            </w:r>
            <w:r w:rsidRPr="00852120">
              <w:rPr>
                <w:i/>
              </w:rPr>
              <w:t>кримінально-правової заборони як необхідного для політичного істеблішменту інструменту забезпечення суспільної і національної безпеки</w:t>
            </w:r>
            <w:r w:rsidRPr="00852120">
              <w:t xml:space="preserve">, гаранту суспільного спокою, підкріпленого примусовою силою держави регулятора антисоціальної активності громадян у конкретних просторово-часових та історичних межах. Саме </w:t>
            </w:r>
            <w:r w:rsidRPr="00852120">
              <w:rPr>
                <w:i/>
              </w:rPr>
              <w:t>обмеженість кримінальної заборони просторовими рамками</w:t>
            </w:r>
            <w:r w:rsidR="00325CC3">
              <w:rPr>
                <w:i/>
              </w:rPr>
              <w:t xml:space="preserve"> та принципом субсідіарності</w:t>
            </w:r>
            <w:r w:rsidRPr="00852120">
              <w:rPr>
                <w:i/>
              </w:rPr>
              <w:t xml:space="preserve"> не надає можливості забезпечення ефективності процесу апроксимації та гармонізації національного кримінального законодавства та утворення штучного супранаціонального кримінального права. </w:t>
            </w:r>
            <w:r w:rsidRPr="00852120">
              <w:t xml:space="preserve"> </w:t>
            </w:r>
          </w:p>
          <w:p w14:paraId="314DD580" w14:textId="77777777" w:rsidR="009A5948" w:rsidRPr="00852120" w:rsidRDefault="009A5948" w:rsidP="00DF00C7">
            <w:pPr>
              <w:spacing w:line="360" w:lineRule="auto"/>
              <w:ind w:firstLine="669"/>
            </w:pPr>
            <w:r w:rsidRPr="00852120">
              <w:t xml:space="preserve">Ліміт кари пов'язано саме із станом розвитку політичної та правової ідеології у державі, ступенем дозволу застосування кари як з боку держави, так і мовчазним дозволом суспільства на застосування примусу відносно окремих його членів. </w:t>
            </w:r>
          </w:p>
          <w:p w14:paraId="120469CB" w14:textId="7196AF52" w:rsidR="009A5948" w:rsidRDefault="009A5948" w:rsidP="00DF00C7">
            <w:pPr>
              <w:spacing w:line="360" w:lineRule="auto"/>
              <w:ind w:firstLine="669"/>
              <w:rPr>
                <w:iCs/>
              </w:rPr>
            </w:pPr>
            <w:r w:rsidRPr="00852120">
              <w:rPr>
                <w:iCs/>
              </w:rPr>
              <w:t>При чому кримінально-правовий примус (покарання та інші заходи кримінально-правового впливу) та кримінально-правовий компроміс (примирення, реституція та компенсація), знаходячись у формальній суперечності, забезпечують ефективне обмеження каральної влади держави. Що ж стосується наднаціональних структур, то можливе вирішення питань союзної кооперації у кримінальних справах (Європейський ордер на арешт, тощо) не надає стимулу для формулювання єдиної каральної політики — мова у даному випадку йде про невідворотність відповідальності, а не про єдність кари</w:t>
            </w:r>
            <w:r w:rsidRPr="00852120">
              <w:rPr>
                <w:i/>
              </w:rPr>
              <w:t>.</w:t>
            </w:r>
            <w:r w:rsidRPr="00852120">
              <w:rPr>
                <w:vertAlign w:val="superscript"/>
              </w:rPr>
              <w:footnoteReference w:id="42"/>
            </w:r>
            <w:r w:rsidR="00325CC3">
              <w:rPr>
                <w:iCs/>
              </w:rPr>
              <w:t xml:space="preserve"> Поруч з цим, у розвитку процесів оптимізації кримінально-правового примусу існують деякі </w:t>
            </w:r>
            <w:r w:rsidR="00CC65A7">
              <w:rPr>
                <w:iCs/>
              </w:rPr>
              <w:t>новели</w:t>
            </w:r>
            <w:r w:rsidR="00325CC3">
              <w:rPr>
                <w:iCs/>
              </w:rPr>
              <w:t>.</w:t>
            </w:r>
          </w:p>
          <w:p w14:paraId="29EB931F" w14:textId="1741925F" w:rsidR="00325CC3" w:rsidRPr="00B147FC" w:rsidRDefault="00325CC3" w:rsidP="00DF00C7">
            <w:pPr>
              <w:pStyle w:val="af4"/>
              <w:spacing w:line="360" w:lineRule="auto"/>
              <w:ind w:left="0" w:firstLine="669"/>
              <w:rPr>
                <w:color w:val="000000" w:themeColor="text1"/>
              </w:rPr>
            </w:pPr>
            <w:r>
              <w:rPr>
                <w:color w:val="000000"/>
              </w:rPr>
              <w:t xml:space="preserve">Так, у Європейської стратегії у галузі кримінальної юстиції </w:t>
            </w:r>
            <w:r>
              <w:rPr>
                <w:rStyle w:val="af1"/>
                <w:color w:val="000000"/>
              </w:rPr>
              <w:footnoteReference w:id="43"/>
            </w:r>
            <w:r>
              <w:rPr>
                <w:color w:val="000000"/>
              </w:rPr>
              <w:t xml:space="preserve"> </w:t>
            </w:r>
            <w:r w:rsidRPr="00B147FC">
              <w:rPr>
                <w:color w:val="000000"/>
              </w:rPr>
              <w:t>передбачається розгляд питань про боротьбу зі сімейним насильством, злочинами проти довкілля, корупційними правопорушеннями, а також про співробітництво у сфері правосуддя шляхом взаємного визнання та захисту прав жертв злочинів.</w:t>
            </w:r>
          </w:p>
          <w:p w14:paraId="757AE7C7" w14:textId="77777777" w:rsidR="00325CC3" w:rsidRDefault="00325CC3" w:rsidP="00DF00C7">
            <w:pPr>
              <w:pStyle w:val="af4"/>
              <w:spacing w:line="360" w:lineRule="auto"/>
              <w:ind w:left="0" w:firstLine="669"/>
              <w:rPr>
                <w:color w:val="000000"/>
              </w:rPr>
            </w:pPr>
            <w:r>
              <w:rPr>
                <w:color w:val="000000"/>
              </w:rPr>
              <w:t xml:space="preserve">Не усі ці склади, що пропонуються відповідають національному підходу. Так, наприклад, запропонований у 2023 році склад екоциду </w:t>
            </w:r>
            <w:r w:rsidRPr="00C532AB">
              <w:rPr>
                <w:color w:val="000000"/>
              </w:rPr>
              <w:t>означає незаконні або безглузді дії, вчинені з усвідомленням того, що існує значна ймовірність заподіяння цими діями серйозної, широкомасштабної або довготривалої шкоди навколишньому середовищу.</w:t>
            </w:r>
            <w:r>
              <w:rPr>
                <w:color w:val="000000"/>
              </w:rPr>
              <w:t xml:space="preserve"> </w:t>
            </w:r>
          </w:p>
          <w:p w14:paraId="5B9CA757" w14:textId="6EA8FAFC" w:rsidR="00325CC3" w:rsidRDefault="00325CC3" w:rsidP="00DF00C7">
            <w:pPr>
              <w:pStyle w:val="af4"/>
              <w:spacing w:line="360" w:lineRule="auto"/>
              <w:ind w:left="0" w:firstLine="669"/>
              <w:rPr>
                <w:color w:val="000000"/>
              </w:rPr>
            </w:pPr>
            <w:r>
              <w:rPr>
                <w:color w:val="000000"/>
              </w:rPr>
              <w:t>При чому «б</w:t>
            </w:r>
            <w:r w:rsidRPr="00C532AB">
              <w:rPr>
                <w:color w:val="000000"/>
              </w:rPr>
              <w:t>езглуздий</w:t>
            </w:r>
            <w:r>
              <w:rPr>
                <w:color w:val="000000"/>
              </w:rPr>
              <w:t>»</w:t>
            </w:r>
            <w:r w:rsidRPr="00C532AB">
              <w:rPr>
                <w:color w:val="000000"/>
              </w:rPr>
              <w:t xml:space="preserve"> означає бездумне ігнорування шкоди, яка була б явно надмірною порівняно з очікуваними соціальними та економічними вигодами; "</w:t>
            </w:r>
            <w:r>
              <w:rPr>
                <w:color w:val="000000"/>
              </w:rPr>
              <w:t>с</w:t>
            </w:r>
            <w:r w:rsidRPr="00C532AB">
              <w:rPr>
                <w:color w:val="000000"/>
              </w:rPr>
              <w:t>ерйозна" означає шкоду, яка передбачає дуже серйозні негативні зміни, порушення або шкоду будь-якому елементу довкілля, включаючи серйозний вплив на життя людей або природні, культурні чи економічні ресурси;</w:t>
            </w:r>
            <w:r w:rsidRPr="00C532AB">
              <w:rPr>
                <w:color w:val="000000"/>
              </w:rPr>
              <w:br/>
              <w:t>"</w:t>
            </w:r>
            <w:r>
              <w:rPr>
                <w:color w:val="000000"/>
              </w:rPr>
              <w:t>ш</w:t>
            </w:r>
            <w:r w:rsidRPr="00C532AB">
              <w:rPr>
                <w:color w:val="000000"/>
              </w:rPr>
              <w:t>ирокомасштабна" означає шкоду, яка виходить за межі обмеженої географічної території, перетинає державні кордони, або якої зазнає ціла екосистема чи вид, або велика кількість людей;</w:t>
            </w:r>
            <w:r>
              <w:rPr>
                <w:color w:val="000000"/>
              </w:rPr>
              <w:t xml:space="preserve"> </w:t>
            </w:r>
            <w:r w:rsidRPr="00C532AB">
              <w:rPr>
                <w:color w:val="000000"/>
              </w:rPr>
              <w:t>"</w:t>
            </w:r>
            <w:r>
              <w:rPr>
                <w:color w:val="000000"/>
              </w:rPr>
              <w:t>д</w:t>
            </w:r>
            <w:r w:rsidRPr="00C532AB">
              <w:rPr>
                <w:color w:val="000000"/>
              </w:rPr>
              <w:t xml:space="preserve">овготривала" - шкода, яка є незворотною або не може бути відшкодована шляхом природного відновлення протягом розумного періоду </w:t>
            </w:r>
            <w:r w:rsidR="00CC65A7" w:rsidRPr="00C532AB">
              <w:rPr>
                <w:color w:val="000000"/>
              </w:rPr>
              <w:t xml:space="preserve">часу; </w:t>
            </w:r>
            <w:r w:rsidR="00CC65A7">
              <w:rPr>
                <w:color w:val="000000"/>
              </w:rPr>
              <w:t>«</w:t>
            </w:r>
            <w:r w:rsidR="00CC65A7" w:rsidRPr="00C532AB">
              <w:rPr>
                <w:color w:val="000000"/>
              </w:rPr>
              <w:t>навколишнє</w:t>
            </w:r>
            <w:r w:rsidRPr="00C532AB">
              <w:rPr>
                <w:color w:val="000000"/>
              </w:rPr>
              <w:t xml:space="preserve"> середовище" означає Землю, її біосферу, кріосферу, літосферу, гідросферу та атмосферу, а також космічний простір.</w:t>
            </w:r>
            <w:r>
              <w:rPr>
                <w:rStyle w:val="af1"/>
                <w:color w:val="000000"/>
              </w:rPr>
              <w:footnoteReference w:id="44"/>
            </w:r>
            <w:r>
              <w:rPr>
                <w:color w:val="000000"/>
              </w:rPr>
              <w:t xml:space="preserve"> </w:t>
            </w:r>
          </w:p>
          <w:p w14:paraId="4D77D158" w14:textId="220E0F47" w:rsidR="00325CC3" w:rsidRPr="00B147FC" w:rsidRDefault="00325CC3" w:rsidP="00DF00C7">
            <w:pPr>
              <w:pStyle w:val="af4"/>
              <w:spacing w:line="360" w:lineRule="auto"/>
              <w:ind w:left="0" w:firstLine="669"/>
              <w:rPr>
                <w:color w:val="000000" w:themeColor="text1"/>
              </w:rPr>
            </w:pPr>
            <w:r>
              <w:rPr>
                <w:color w:val="000000"/>
              </w:rPr>
              <w:t>Відверто кажучи, є певні відмінності від складу кримінального правопорушення, передбаченого с</w:t>
            </w:r>
            <w:r w:rsidRPr="00C532AB">
              <w:rPr>
                <w:color w:val="000000"/>
              </w:rPr>
              <w:t xml:space="preserve">т.441 КК </w:t>
            </w:r>
            <w:r>
              <w:rPr>
                <w:color w:val="000000"/>
              </w:rPr>
              <w:t xml:space="preserve">України </w:t>
            </w:r>
            <w:r w:rsidRPr="00C532AB">
              <w:rPr>
                <w:color w:val="000000"/>
              </w:rPr>
              <w:t>- Масове знищення рослинного або тваринного світу, отруєння атмосфери або водних ресурсів, а також вчинення інших ді</w:t>
            </w:r>
            <w:r>
              <w:rPr>
                <w:color w:val="000000"/>
              </w:rPr>
              <w:t xml:space="preserve">й… </w:t>
            </w:r>
          </w:p>
          <w:p w14:paraId="08A708F2" w14:textId="77777777" w:rsidR="00325CC3" w:rsidRDefault="00325CC3" w:rsidP="00DF00C7">
            <w:pPr>
              <w:spacing w:line="360" w:lineRule="auto"/>
              <w:ind w:firstLine="669"/>
              <w:rPr>
                <w:color w:val="000000"/>
              </w:rPr>
            </w:pPr>
            <w:r>
              <w:rPr>
                <w:color w:val="000000"/>
              </w:rPr>
              <w:t>Отже як у доктринальному так і у суто легістському сенсі у фахівців кримінального права України є багато перспектив</w:t>
            </w:r>
            <w:r w:rsidRPr="009A5659">
              <w:rPr>
                <w:color w:val="000000"/>
              </w:rPr>
              <w:t xml:space="preserve"> </w:t>
            </w:r>
            <w:r>
              <w:rPr>
                <w:color w:val="000000"/>
              </w:rPr>
              <w:t>конкретної праці щодо послідовного створення належної Дорожньої карти гармонізації кримінального законодавства України</w:t>
            </w:r>
            <w:r w:rsidRPr="006C3511">
              <w:rPr>
                <w:color w:val="000000"/>
                <w:lang w:val="ru-RU"/>
              </w:rPr>
              <w:t xml:space="preserve"> </w:t>
            </w:r>
            <w:r>
              <w:rPr>
                <w:color w:val="000000"/>
              </w:rPr>
              <w:t>із правом ЄС.</w:t>
            </w:r>
          </w:p>
          <w:p w14:paraId="0B0ED594" w14:textId="417DB589" w:rsidR="00325CC3" w:rsidRPr="00B147FC" w:rsidRDefault="00325CC3" w:rsidP="00DF00C7">
            <w:pPr>
              <w:spacing w:line="360" w:lineRule="auto"/>
              <w:ind w:firstLine="669"/>
              <w:rPr>
                <w:color w:val="000000"/>
              </w:rPr>
            </w:pPr>
            <w:r>
              <w:rPr>
                <w:color w:val="000000"/>
              </w:rPr>
              <w:t>Окремими викликами для формулювання нової кримінально-правової доктрини України виступають також Документи Комітету Міністрів Ради Європи</w:t>
            </w:r>
            <w:r>
              <w:rPr>
                <w:rStyle w:val="af1"/>
                <w:color w:val="000000"/>
              </w:rPr>
              <w:footnoteReference w:id="45"/>
            </w:r>
            <w:r>
              <w:rPr>
                <w:color w:val="000000"/>
              </w:rPr>
              <w:t>, чи затверджені та надані для підписання нові міжнародні Конвенції</w:t>
            </w:r>
            <w:r w:rsidRPr="00325CC3">
              <w:rPr>
                <w:color w:val="000000"/>
              </w:rPr>
              <w:t xml:space="preserve">. </w:t>
            </w:r>
            <w:r>
              <w:rPr>
                <w:color w:val="000000"/>
              </w:rPr>
              <w:t>Цікавість</w:t>
            </w:r>
            <w:r w:rsidR="00DF00C7">
              <w:rPr>
                <w:color w:val="000000"/>
              </w:rPr>
              <w:t xml:space="preserve"> </w:t>
            </w:r>
            <w:r w:rsidR="00CC65A7">
              <w:rPr>
                <w:color w:val="000000"/>
              </w:rPr>
              <w:t>прийнятої</w:t>
            </w:r>
            <w:r w:rsidR="00DF00C7">
              <w:rPr>
                <w:color w:val="000000"/>
              </w:rPr>
              <w:t xml:space="preserve"> у </w:t>
            </w:r>
            <w:r w:rsidR="00CC65A7">
              <w:rPr>
                <w:color w:val="000000"/>
              </w:rPr>
              <w:t>травні</w:t>
            </w:r>
            <w:r w:rsidR="00DF00C7">
              <w:rPr>
                <w:color w:val="000000"/>
              </w:rPr>
              <w:t xml:space="preserve"> 2023 року</w:t>
            </w:r>
            <w:r>
              <w:rPr>
                <w:color w:val="000000"/>
              </w:rPr>
              <w:t xml:space="preserve"> Люблянсько-Гаазької </w:t>
            </w:r>
            <w:r w:rsidR="00CC65A7">
              <w:rPr>
                <w:color w:val="000000"/>
              </w:rPr>
              <w:t>конвенції</w:t>
            </w:r>
            <w:r>
              <w:rPr>
                <w:rStyle w:val="af1"/>
                <w:color w:val="000000"/>
              </w:rPr>
              <w:footnoteReference w:id="46"/>
            </w:r>
            <w:r>
              <w:rPr>
                <w:color w:val="000000"/>
              </w:rPr>
              <w:t>, наприклад, у тому що вона може вступити в силу на білатеральній основі, коли дві держави, ратифікувавши останню, визнають та приймають її вимоги до виконання у частині криміналізації (точніше, - гармонізації відповідних злочинів проти миру та безпеки людства, проти людяності та військових злочинів).</w:t>
            </w:r>
            <w:r w:rsidR="00DF00C7">
              <w:rPr>
                <w:color w:val="000000"/>
              </w:rPr>
              <w:t xml:space="preserve"> Доречи, ми повністю підтримуємо віктимно-орієнтований підхід у розвитку цих документів, де права і свободи, безпека жертви кримінального правопорушення, а не </w:t>
            </w:r>
            <w:r w:rsidR="00CC65A7">
              <w:rPr>
                <w:color w:val="000000"/>
              </w:rPr>
              <w:t>інтереси</w:t>
            </w:r>
            <w:r w:rsidR="00DF00C7">
              <w:rPr>
                <w:color w:val="000000"/>
              </w:rPr>
              <w:t xml:space="preserve"> суспільства, чи міжнародної спільноти являються центральними елементами сучасної кримінальної політики</w:t>
            </w:r>
            <w:r w:rsidR="00DF00C7">
              <w:rPr>
                <w:rStyle w:val="af1"/>
                <w:color w:val="000000"/>
              </w:rPr>
              <w:footnoteReference w:id="47"/>
            </w:r>
          </w:p>
          <w:p w14:paraId="3B37DE3F" w14:textId="77777777" w:rsidR="0007224B" w:rsidRPr="00852120" w:rsidRDefault="0007224B" w:rsidP="00DF00C7">
            <w:pPr>
              <w:spacing w:line="360" w:lineRule="auto"/>
              <w:ind w:firstLine="669"/>
              <w:rPr>
                <w:i/>
              </w:rPr>
            </w:pPr>
          </w:p>
          <w:p w14:paraId="61A8499C" w14:textId="24E11794" w:rsidR="009A5948" w:rsidRPr="00852120" w:rsidRDefault="009A5948" w:rsidP="00DF00C7">
            <w:pPr>
              <w:pStyle w:val="af4"/>
              <w:ind w:left="896" w:firstLine="669"/>
            </w:pPr>
          </w:p>
        </w:tc>
      </w:tr>
      <w:tr w:rsidR="0035042F" w:rsidRPr="00852120" w14:paraId="167E9A14" w14:textId="77777777" w:rsidTr="00ED6F4C">
        <w:trPr>
          <w:trHeight w:val="320"/>
        </w:trPr>
        <w:tc>
          <w:tcPr>
            <w:tcW w:w="10207" w:type="dxa"/>
            <w:vAlign w:val="bottom"/>
          </w:tcPr>
          <w:p w14:paraId="3E2A6560" w14:textId="7B46B90A" w:rsidR="0035042F" w:rsidRPr="00852120" w:rsidRDefault="00DF00C7" w:rsidP="00DF00C7">
            <w:pPr>
              <w:pStyle w:val="1"/>
              <w:numPr>
                <w:ilvl w:val="0"/>
                <w:numId w:val="22"/>
              </w:numPr>
              <w:ind w:firstLine="669"/>
              <w:rPr>
                <w:rFonts w:cs="Times New Roman"/>
              </w:rPr>
            </w:pPr>
            <w:r>
              <w:rPr>
                <w:rFonts w:cs="Times New Roman"/>
              </w:rPr>
              <w:t xml:space="preserve"> </w:t>
            </w:r>
            <w:bookmarkStart w:id="6" w:name="_Toc147652530"/>
            <w:r w:rsidR="0035042F" w:rsidRPr="00852120">
              <w:rPr>
                <w:rFonts w:cs="Times New Roman"/>
              </w:rPr>
              <w:t>Школи кримінального права: від класицизму до постмодерну</w:t>
            </w:r>
            <w:bookmarkEnd w:id="6"/>
          </w:p>
          <w:p w14:paraId="53B313F0" w14:textId="77777777" w:rsidR="009A5948" w:rsidRPr="00852120" w:rsidRDefault="009A5948" w:rsidP="00DF00C7">
            <w:pPr>
              <w:pStyle w:val="af4"/>
              <w:ind w:left="896" w:firstLine="669"/>
            </w:pPr>
          </w:p>
          <w:p w14:paraId="15915B57" w14:textId="77777777" w:rsidR="000E0247" w:rsidRPr="00852120" w:rsidRDefault="000E0247" w:rsidP="00DF00C7">
            <w:pPr>
              <w:spacing w:line="360" w:lineRule="auto"/>
              <w:ind w:firstLine="669"/>
            </w:pPr>
            <w:r w:rsidRPr="00852120">
              <w:t xml:space="preserve">Сучасне кримінальне право розглядається як необхідний інструмент забезпечення суспільної і національної безпеки, гарант суспільного спокою,  який специфічними засобами регулює антисоціальну активність суб’єктів  злочину. При чому у більшості воно базується на сукупності  деідеологізованих ідей, втілених у відповідній культурним традиціям кодифікації.   </w:t>
            </w:r>
          </w:p>
          <w:p w14:paraId="0469CEEF" w14:textId="436CBDE5" w:rsidR="000E0247" w:rsidRPr="00852120" w:rsidRDefault="000E0247" w:rsidP="00DF00C7">
            <w:pPr>
              <w:spacing w:line="360" w:lineRule="auto"/>
              <w:ind w:firstLine="669"/>
            </w:pPr>
            <w:r w:rsidRPr="00852120">
              <w:t xml:space="preserve">Такі ідеї виходять із констатації відповідності кримінального права моральним уявленням про добро і зло, справедливість і рівність, спорідненої із презумпцією адекватного усвідомлення кримінально-правової заборони громадянами. При чому ця констатація не обмежується виключно рамками суто кримінального </w:t>
            </w:r>
            <w:r w:rsidR="001D2A6A" w:rsidRPr="00852120">
              <w:t>законодавства</w:t>
            </w:r>
            <w:r w:rsidRPr="00852120">
              <w:t xml:space="preserve">. </w:t>
            </w:r>
          </w:p>
          <w:p w14:paraId="6A344E62" w14:textId="77777777" w:rsidR="000E0247" w:rsidRPr="00852120" w:rsidRDefault="000E0247" w:rsidP="00DF00C7">
            <w:pPr>
              <w:spacing w:line="360" w:lineRule="auto"/>
              <w:ind w:firstLine="669"/>
            </w:pPr>
            <w:r w:rsidRPr="00852120">
              <w:t xml:space="preserve">Славетні слова Ч. Беккаріа про те, що є три джерела моральних та політичних принципів, які лежать в основі поведінки людей: Боже одкровення, Закони природи та Суспільні договори, все більше пов’язують із необхідністю послідовних та динамічних змін у кримінально-правовій доктрин та політиці сьогодення. Це зумовлено тим, що суспільство стає дедалі складнішим. Разом із ним складнішають право і кримінальне право зокрема. Кримінальне право зіштовхується із все новими і новими  життєвими реаліями. Погляди на кримінальний примус з боку фахівців  або людей, які відчули на собі дію кримінального права чи пересічного  населення не стоять на місці. Кримінальне право має прийняти ці виклики. Проте ренесанс неокласичної ідеології поглядів на розподіл влади, характеристики та цілеспрямованість дії кримінального права, особливості визначення підґрунтя сучасних кримінально-політичних ідей на злочин та покарання вочевидь займають все більше місце у дослідженнях сучасних науковців. </w:t>
            </w:r>
          </w:p>
          <w:p w14:paraId="73B00234" w14:textId="6EC20318" w:rsidR="000E0247" w:rsidRPr="00852120" w:rsidRDefault="000E0247" w:rsidP="00DF00C7">
            <w:pPr>
              <w:spacing w:line="360" w:lineRule="auto"/>
              <w:ind w:firstLine="669"/>
            </w:pPr>
            <w:r w:rsidRPr="00852120">
              <w:t xml:space="preserve"> Саме тому все частіше у кримінально-правових дослідженнях мова йде про необхідність осмислення духовних та природничих засад кримінальної політики (О.</w:t>
            </w:r>
            <w:r w:rsidR="001D2A6A">
              <w:t> </w:t>
            </w:r>
            <w:r w:rsidRPr="00852120">
              <w:t>М. Костенко, П.</w:t>
            </w:r>
            <w:r w:rsidR="001D2A6A">
              <w:t xml:space="preserve"> </w:t>
            </w:r>
            <w:r w:rsidRPr="00852120">
              <w:t>Л. Фріс, Н.</w:t>
            </w:r>
            <w:r w:rsidR="001D2A6A">
              <w:t xml:space="preserve"> </w:t>
            </w:r>
            <w:r w:rsidRPr="00852120">
              <w:t>А. Савінова), перехід до  визнання певних конструктів суспільної моралі як першоджерел правозастосування у кримінальних правовідносинах (В.</w:t>
            </w:r>
            <w:r w:rsidR="001D2A6A">
              <w:t xml:space="preserve"> </w:t>
            </w:r>
            <w:r w:rsidRPr="00852120">
              <w:t>С. Ковальский, А.</w:t>
            </w:r>
            <w:r w:rsidR="001D2A6A">
              <w:t xml:space="preserve"> </w:t>
            </w:r>
            <w:r w:rsidRPr="00852120">
              <w:t>С. Оцяця, К.</w:t>
            </w:r>
            <w:r w:rsidR="001D2A6A">
              <w:t xml:space="preserve"> </w:t>
            </w:r>
            <w:r w:rsidRPr="00852120">
              <w:t>С. Бухтіярова), значення динамічних змін у суспільних відносинах для визначення потенційної та реальної кримінальної відповідальності (Ю.</w:t>
            </w:r>
            <w:r w:rsidR="001D2A6A">
              <w:t xml:space="preserve"> </w:t>
            </w:r>
            <w:r w:rsidRPr="00852120">
              <w:t>С. Баулін, В.</w:t>
            </w:r>
            <w:r w:rsidR="001D2A6A">
              <w:t xml:space="preserve"> </w:t>
            </w:r>
            <w:r w:rsidRPr="00852120">
              <w:t>К Грищук), гармонічне поєднання публічних і приватних начал у кримінально-правовому регулюванні (Сабіно Касезе, В.</w:t>
            </w:r>
            <w:r w:rsidR="001D2A6A">
              <w:t> </w:t>
            </w:r>
            <w:r w:rsidRPr="00852120">
              <w:t>О. Туляков, О.</w:t>
            </w:r>
            <w:r w:rsidR="001D2A6A">
              <w:t xml:space="preserve"> </w:t>
            </w:r>
            <w:r w:rsidRPr="00852120">
              <w:t>М. Поліщук).</w:t>
            </w:r>
          </w:p>
          <w:p w14:paraId="425187B7" w14:textId="2C1C3C46" w:rsidR="000E0247" w:rsidRPr="00852120" w:rsidRDefault="000E0247" w:rsidP="00DF00C7">
            <w:pPr>
              <w:spacing w:line="360" w:lineRule="auto"/>
              <w:ind w:firstLine="669"/>
            </w:pPr>
            <w:r w:rsidRPr="00852120">
              <w:t xml:space="preserve">Це </w:t>
            </w:r>
            <w:r w:rsidR="001D2A6A" w:rsidRPr="00852120">
              <w:t>наштовхує</w:t>
            </w:r>
            <w:r w:rsidRPr="00852120">
              <w:t xml:space="preserve"> не тільки на подальше розв’язання питань адитивності кримінально-правового регулювання (М.</w:t>
            </w:r>
            <w:r w:rsidR="001D2A6A">
              <w:t xml:space="preserve"> </w:t>
            </w:r>
            <w:r w:rsidRPr="00852120">
              <w:t>І. Панов), але й на розуміння сутності відтворення духовних, природничих та соціальних  законів розвитку суспільства у кримінально-правовій доктрині та законодавстві.</w:t>
            </w:r>
          </w:p>
          <w:p w14:paraId="1C087D54" w14:textId="77777777" w:rsidR="00293251" w:rsidRPr="00852120" w:rsidRDefault="00293251" w:rsidP="00DF00C7">
            <w:pPr>
              <w:spacing w:line="360" w:lineRule="auto"/>
              <w:ind w:firstLine="669"/>
            </w:pPr>
            <w:r w:rsidRPr="00852120">
              <w:t>У більшості досліджень дія права розглядається як сукупність форм реалізації його юридичних властивостей як у статиці, що визначається його юридичним змістом, так і в динаміці, яка пов’язана із процесом виникнення, формування, та реалізації відповідного правила поведінки. Соціальні та природні процеси, які пов’язані із формуванням кримінально-правових заборон реалізуються у динамічних характеристиках сучасних кримінальних правовідносин.</w:t>
            </w:r>
          </w:p>
          <w:p w14:paraId="0CBCD2EA" w14:textId="77777777" w:rsidR="00293251" w:rsidRPr="00852120" w:rsidRDefault="00293251" w:rsidP="00DF00C7">
            <w:pPr>
              <w:spacing w:line="360" w:lineRule="auto"/>
              <w:ind w:firstLine="669"/>
            </w:pPr>
            <w:r w:rsidRPr="00852120">
              <w:t xml:space="preserve"> Динамічні аспекти дії кримінально-правової заборони розглядаються виключно у сенсі аналізу правореалізації: питань кваліфікації злочинів, призначення покарання, тощо. </w:t>
            </w:r>
          </w:p>
          <w:p w14:paraId="42F414DA" w14:textId="722F84B8" w:rsidR="00293251" w:rsidRPr="00852120" w:rsidRDefault="00293251" w:rsidP="00DF00C7">
            <w:pPr>
              <w:spacing w:line="360" w:lineRule="auto"/>
              <w:ind w:firstLine="669"/>
            </w:pPr>
            <w:r w:rsidRPr="00852120">
              <w:t xml:space="preserve">Поруч з цим, характеристики динаміки кримінального права набагато ширші. </w:t>
            </w:r>
          </w:p>
          <w:p w14:paraId="2E5ED5BB" w14:textId="28D0D1BA" w:rsidR="00293251" w:rsidRPr="00852120" w:rsidRDefault="00293251" w:rsidP="00DF00C7">
            <w:pPr>
              <w:spacing w:line="360" w:lineRule="auto"/>
              <w:ind w:firstLine="669"/>
            </w:pPr>
            <w:r w:rsidRPr="00852120">
              <w:t>Раніше ми вже наголошували на тому, що діада “злочинність - кримінальна віктимність” являє собою самоорганізовану надсистему, в якій зазначені відкриті гомеостатичні системи, обмінюються одна з одною речовиною, інформацією та енергією на речовинному, енергетичному і інформативно-регулятивному рівнях. У рамках традиційних інститутів кримінології таке розуміння буде означати необхідність аналізу і стимулювання соціально-активної поведінки потенційних потерпілих від злочину, організації справедливого поводження з жертвами злочинів як способу зміни системних взаємозв'язків і організації більш ефективного контролю над злочинністю.</w:t>
            </w:r>
          </w:p>
          <w:p w14:paraId="1C6DF193" w14:textId="77777777" w:rsidR="009A5948" w:rsidRPr="00852120" w:rsidRDefault="009A5948" w:rsidP="00DF00C7">
            <w:pPr>
              <w:spacing w:line="360" w:lineRule="auto"/>
              <w:ind w:firstLine="669"/>
              <w:rPr>
                <w:color w:val="000000"/>
              </w:rPr>
            </w:pPr>
            <w:r w:rsidRPr="00852120">
              <w:rPr>
                <w:color w:val="000000"/>
              </w:rPr>
              <w:t>У контексті ідеології сталого розвитку та осягнення щастя, що має глобальний характер, не може існувати єдиної моделі розвитку вчення про злочин та покарання, проте у кримінально-правових розвідках повинна бути єдина методологічна основа, побудована на приматі природних прав людини. «Проблема культурного релятивізму, – писав Ф. Фукуяма, – змушує нас знову подумати, чи не поквапилися ми, відкидаючи думку, що права людини засновані на природі людини: існування єдиної природи людини, спільної для всіх народів світу, дає – хоча б теоретично – загальну основу для побудови універсальних прав людини. Однак віра в натуралістичну оману так глибоко вкоренилася в сучасній західній думці, що відродження заявки про природні права стає серйозним завданням»</w:t>
            </w:r>
            <w:r w:rsidRPr="00852120">
              <w:rPr>
                <w:color w:val="000000"/>
                <w:vertAlign w:val="superscript"/>
              </w:rPr>
              <w:footnoteReference w:id="48"/>
            </w:r>
            <w:r w:rsidRPr="00852120">
              <w:rPr>
                <w:color w:val="000000"/>
              </w:rPr>
              <w:t xml:space="preserve"> . </w:t>
            </w:r>
          </w:p>
          <w:p w14:paraId="40D94BC6" w14:textId="77777777" w:rsidR="009A5948" w:rsidRPr="00852120" w:rsidRDefault="009A5948" w:rsidP="00DF00C7">
            <w:pPr>
              <w:spacing w:line="360" w:lineRule="auto"/>
              <w:ind w:firstLine="669"/>
              <w:rPr>
                <w:color w:val="000000"/>
              </w:rPr>
            </w:pPr>
            <w:r w:rsidRPr="00852120">
              <w:rPr>
                <w:color w:val="000000"/>
              </w:rPr>
              <w:t xml:space="preserve">Звідси універсальність захисту природних прав є науковою парадигмою, що розвивається в атмосфері ідеологічних оцінок кожної держави (мирової чи регіональної спільноти) на рівні політичної, професійної та загальної нормосвідомості. </w:t>
            </w:r>
          </w:p>
          <w:p w14:paraId="6B3CCDAF" w14:textId="77777777" w:rsidR="009A5948" w:rsidRPr="00852120" w:rsidRDefault="009A5948" w:rsidP="00DF00C7">
            <w:pPr>
              <w:spacing w:line="360" w:lineRule="auto"/>
              <w:ind w:firstLine="669"/>
              <w:rPr>
                <w:color w:val="000000"/>
              </w:rPr>
            </w:pPr>
            <w:r w:rsidRPr="00852120">
              <w:rPr>
                <w:color w:val="000000"/>
              </w:rPr>
              <w:t xml:space="preserve">Формуванню сучасної концепції національного кримінального права передує ідея побудови загальної основи формування парадигм універсальності кримінального права (захист природних прав та безпека носіїв) у контексті права на безпеку та безпеки права. </w:t>
            </w:r>
          </w:p>
          <w:p w14:paraId="16AB9BDA" w14:textId="77777777" w:rsidR="009A5948" w:rsidRPr="00852120" w:rsidRDefault="009A5948" w:rsidP="00DF00C7">
            <w:pPr>
              <w:spacing w:line="360" w:lineRule="auto"/>
              <w:ind w:firstLine="669"/>
              <w:rPr>
                <w:color w:val="000000"/>
              </w:rPr>
            </w:pPr>
            <w:r w:rsidRPr="00852120">
              <w:rPr>
                <w:color w:val="000000"/>
              </w:rPr>
              <w:t xml:space="preserve">Відповідно в системі кримінально-правового впливу сучасності право держави на покарання винної особи кореспондує праву порушника бути покараним, а заборона небажаної поведінки – праву на вчинення кримінального правопорушення як форми протидії незаконній у сенсі природних прав людини криміналізації. Виникає просте запитання: чому у сучасних кримінально-правових дослідженнях так багато уваги приділяється аналізу питань криміналізації відповідних явищ і процесів, застосуванню новітніх (альтернативних) покарань і заходів впливу і так мало уваги приділяється аналізу ефективності відповідних покарань чи прогнозу ефективності норми? </w:t>
            </w:r>
          </w:p>
          <w:p w14:paraId="5086B59D" w14:textId="77777777" w:rsidR="009A5948" w:rsidRPr="00852120" w:rsidRDefault="009A5948" w:rsidP="00DF00C7">
            <w:pPr>
              <w:spacing w:line="360" w:lineRule="auto"/>
              <w:ind w:firstLine="669"/>
              <w:rPr>
                <w:color w:val="000000"/>
              </w:rPr>
            </w:pPr>
            <w:r w:rsidRPr="00852120">
              <w:rPr>
                <w:color w:val="000000"/>
              </w:rPr>
              <w:t xml:space="preserve">Можливо тому, що еклектика кримінального права виконує позитивну функцію формування державного образу регулювання чогось sui generis, але не формування сенсу кримінального права? </w:t>
            </w:r>
          </w:p>
          <w:p w14:paraId="5AF22372" w14:textId="6955DE24" w:rsidR="009A5948" w:rsidRPr="00852120" w:rsidRDefault="009A5948" w:rsidP="00DF00C7">
            <w:pPr>
              <w:spacing w:line="360" w:lineRule="auto"/>
              <w:ind w:firstLine="669"/>
              <w:rPr>
                <w:color w:val="000000"/>
              </w:rPr>
            </w:pPr>
            <w:r w:rsidRPr="00852120">
              <w:rPr>
                <w:color w:val="000000"/>
              </w:rPr>
              <w:t xml:space="preserve">Кримінально-правові сенси загалом засновані на приматі природних прав на щастя та надію – на щастя жити у безпеці та протест проти правових дисфункцій/зловживань та на надію справедливої і легітимної кари, реституцію та ресоціалізацію у разі порушення закону. Гуманістична спрямованість правових позицій ЄСПЛ надає цьому процесу динамічного характеру. </w:t>
            </w:r>
          </w:p>
          <w:p w14:paraId="65974C07" w14:textId="77777777" w:rsidR="0007224B" w:rsidRPr="00852120" w:rsidRDefault="0007224B" w:rsidP="00DF00C7">
            <w:pPr>
              <w:spacing w:line="360" w:lineRule="auto"/>
              <w:ind w:firstLine="669"/>
            </w:pPr>
            <w:r w:rsidRPr="00852120">
              <w:t>Серед тих які потребують свого негайного тлумачення та вирішення можна назвати такі проблеми (що згодом повинні інтерпретуватися в окремих інститутах чи нормах Загальної частини КК) як:</w:t>
            </w:r>
          </w:p>
          <w:p w14:paraId="784C8CF2" w14:textId="77777777" w:rsidR="0007224B" w:rsidRPr="00852120" w:rsidRDefault="0007224B" w:rsidP="00DF00C7">
            <w:pPr>
              <w:numPr>
                <w:ilvl w:val="0"/>
                <w:numId w:val="23"/>
              </w:numPr>
              <w:tabs>
                <w:tab w:val="clear" w:pos="1428"/>
              </w:tabs>
              <w:spacing w:line="360" w:lineRule="auto"/>
              <w:ind w:left="0" w:firstLine="669"/>
            </w:pPr>
            <w:r w:rsidRPr="00852120">
              <w:t>кримінальна відповідальність та правовідносини. Справа йде не тільки о необхідності введення поняття кримінальної відповідальності саме у Кримінальний кодекс ( модель, підтримана законодавцем Беларусі). Поруч з цим негайного вирішення як на конституційному так і на галузевому рівні потребує потреба нормативного визначення суб’єктів кримінально правових відносин. Держава в особі її органів, що повинні захистити безпеку громадян, та у разі неможливості, - знайти та покарати злочинця, та повністю або частково компенсувати шкоду потерпілим; злочинець, потерпілий від злочину, треті особи та їх роль у механізмі кримінально-правового регулювання (звільнення від кримінальної відповідальності у зв’язку із передачею на поруки, звільнення від кримінальної відповідальності за ч.4 ст.212 КК), - усі ці особи, їх правовий стан та кримінально-правові обов’язки повинні знайти своє відображення у новій Загальній частині КК. Слід також не тільки в доктрині, але й на інституціональному рівні більш чітко визначити порядок і межі, загальні засади притягнення до кримінальної відповідальності, непритягнення до кримінальної відповідальності, звільнення від кримінальної відповідальності, звільнення від покарання та його застосування, виключення кримінальної відповідальності та інших кримінально-правових заходів.</w:t>
            </w:r>
          </w:p>
          <w:p w14:paraId="2BC8090A" w14:textId="77777777" w:rsidR="0007224B" w:rsidRPr="00852120" w:rsidRDefault="0007224B" w:rsidP="00DF00C7">
            <w:pPr>
              <w:numPr>
                <w:ilvl w:val="0"/>
                <w:numId w:val="23"/>
              </w:numPr>
              <w:tabs>
                <w:tab w:val="clear" w:pos="1428"/>
              </w:tabs>
              <w:spacing w:line="360" w:lineRule="auto"/>
              <w:ind w:left="0" w:firstLine="669"/>
            </w:pPr>
            <w:r w:rsidRPr="00852120">
              <w:t>Кримінальність суб’єкта злочину. Усталена кримінальна діяльність свідчить не тільки про кримінальну небезпеку особистості но й про ворожий для держави та суспільства стан особистості. Саме це потребує (як це, наприклад зроблено у кримінальному законодавстві Сан Маріно) відокремлення суб’єктів злочинів з підвищеною кримінальністю, неосудних, малолітніх у окрему категорію осіб – суб’єктів кримінально-правового впливу,  з можливістю призначення останнім  заходів безпеки чи заходів соціального захисту;</w:t>
            </w:r>
          </w:p>
          <w:p w14:paraId="340F987B" w14:textId="77777777" w:rsidR="0007224B" w:rsidRPr="00852120" w:rsidRDefault="0007224B" w:rsidP="00DF00C7">
            <w:pPr>
              <w:numPr>
                <w:ilvl w:val="0"/>
                <w:numId w:val="23"/>
              </w:numPr>
              <w:tabs>
                <w:tab w:val="clear" w:pos="1428"/>
              </w:tabs>
              <w:spacing w:line="360" w:lineRule="auto"/>
              <w:ind w:left="0" w:firstLine="669"/>
            </w:pPr>
            <w:r w:rsidRPr="00852120">
              <w:t>Кримінально-правові заходи. Поруч з покаранням в діючому законодавстві де факто існують 4 групи заходів: безпеки, соціального захисту, компенсації, кримінально-правового заохочення. Заходи безпеки (спеціальна конфіскація, знищення майна, примусове лікування обмежено осудних, примусові заходи виховного характеру, що застосовуються до неповнолітніх), заходи соціального захисту (примусові заходи медичного характеру, що застосуються до неосудних осіб, примусові заходи виховного характеру що застосовуються до малолітніх), заходи компенсації та реституції (потерпілим, в особливих випадках, - третім особам та державі), засоби кримінально-правового заохочення застосовуються як підстави та форми реалізації окремих видів звільнення від кримінальної відповідальності та покарання, та як підстави пом’якшення покарання. Проте особливості структури діючого кодексу, на жаль ці питання залишають тільки для тлумачення науковців.</w:t>
            </w:r>
          </w:p>
          <w:p w14:paraId="555963F9" w14:textId="77777777" w:rsidR="0007224B" w:rsidRPr="00852120" w:rsidRDefault="0007224B" w:rsidP="00DF00C7">
            <w:pPr>
              <w:spacing w:line="360" w:lineRule="auto"/>
              <w:ind w:firstLine="669"/>
            </w:pPr>
            <w:r w:rsidRPr="00852120">
              <w:t xml:space="preserve">Окремим питанням стає характеристика потерпілого від злочину (як це зроблено, наприклад, у Італійському кримінальному законодавстві). Слід зазначити, і наші дослідження це підтверджують, що потерпілий у його широкому розумінні (фізична особа, юридична особа, соціальна спільнота, держава) стає центральною фігурою у зорієнтованому на втілення потреб у безпеці особистості громадянському суспільстві. Це вимагає не тільки зміни пріоритетів, але й  зміни доктринальних та нормативних характеристик, які стосуються міста та ролі потерпілого від злочину у кримінальному праві. Це стосується поширення справ приватного обвинувачення, фіксації потерпілого в кримінальному праві, його місця та ролі в процесі призначення та звільнення від покарання, звільнення та непритягнення до кримінальної відповідальності, звільнення від відбування покарання, призначення заходів безпеки, кваліфікації злочину. </w:t>
            </w:r>
          </w:p>
          <w:p w14:paraId="1E380151" w14:textId="77777777" w:rsidR="0007224B" w:rsidRPr="00852120" w:rsidRDefault="0007224B" w:rsidP="00DF00C7">
            <w:pPr>
              <w:spacing w:line="360" w:lineRule="auto"/>
              <w:ind w:firstLine="669"/>
              <w:rPr>
                <w:color w:val="000000"/>
              </w:rPr>
            </w:pPr>
          </w:p>
          <w:p w14:paraId="39ABFFBC" w14:textId="79E4A5A1" w:rsidR="0035042F" w:rsidRPr="00852120" w:rsidRDefault="0035042F" w:rsidP="00DF00C7">
            <w:pPr>
              <w:pStyle w:val="af4"/>
              <w:ind w:left="896" w:firstLine="669"/>
            </w:pPr>
            <w:r w:rsidRPr="00852120">
              <w:t xml:space="preserve"> </w:t>
            </w:r>
          </w:p>
        </w:tc>
      </w:tr>
      <w:tr w:rsidR="0035042F" w:rsidRPr="00852120" w14:paraId="20912736" w14:textId="77777777" w:rsidTr="00ED6F4C">
        <w:trPr>
          <w:trHeight w:val="320"/>
        </w:trPr>
        <w:tc>
          <w:tcPr>
            <w:tcW w:w="10207" w:type="dxa"/>
            <w:vAlign w:val="bottom"/>
          </w:tcPr>
          <w:p w14:paraId="11E9AF62" w14:textId="4A8B2ED7" w:rsidR="0035042F" w:rsidRPr="00852120" w:rsidRDefault="0035042F" w:rsidP="00DF00C7">
            <w:pPr>
              <w:pStyle w:val="1"/>
              <w:numPr>
                <w:ilvl w:val="0"/>
                <w:numId w:val="22"/>
              </w:numPr>
              <w:ind w:firstLine="669"/>
              <w:rPr>
                <w:rFonts w:cs="Times New Roman"/>
              </w:rPr>
            </w:pPr>
            <w:bookmarkStart w:id="7" w:name="_Toc147652531"/>
            <w:r w:rsidRPr="00852120">
              <w:rPr>
                <w:rFonts w:cs="Times New Roman"/>
              </w:rPr>
              <w:t>Принцип законності в динаміці змін доктрини та судової практики</w:t>
            </w:r>
            <w:bookmarkEnd w:id="7"/>
          </w:p>
          <w:p w14:paraId="712BC0B8" w14:textId="77777777" w:rsidR="0035042F" w:rsidRPr="00852120" w:rsidRDefault="0035042F" w:rsidP="00DF00C7">
            <w:pPr>
              <w:pStyle w:val="af4"/>
              <w:widowControl w:val="0"/>
              <w:autoSpaceDE w:val="0"/>
              <w:autoSpaceDN w:val="0"/>
              <w:ind w:left="896" w:right="1036" w:firstLine="669"/>
              <w:jc w:val="left"/>
            </w:pPr>
          </w:p>
          <w:p w14:paraId="75EF2D32" w14:textId="77777777" w:rsidR="00293251" w:rsidRPr="00852120" w:rsidRDefault="00293251" w:rsidP="00DF00C7">
            <w:pPr>
              <w:tabs>
                <w:tab w:val="left" w:pos="0"/>
              </w:tabs>
              <w:spacing w:line="360" w:lineRule="auto"/>
              <w:ind w:firstLine="669"/>
            </w:pPr>
            <w:r w:rsidRPr="00852120">
              <w:t>Реалізація охоронних та профілактичних кримінально-правових відносин наполягає на необхідності аналізу постійної диференціації обсягу державного примусу в залежності від:</w:t>
            </w:r>
          </w:p>
          <w:p w14:paraId="73A5DF62" w14:textId="77777777" w:rsidR="00293251" w:rsidRPr="00852120" w:rsidRDefault="00293251" w:rsidP="00DF00C7">
            <w:pPr>
              <w:tabs>
                <w:tab w:val="left" w:pos="0"/>
              </w:tabs>
              <w:spacing w:line="360" w:lineRule="auto"/>
              <w:ind w:firstLine="669"/>
            </w:pPr>
            <w:r w:rsidRPr="00852120">
              <w:t>1.</w:t>
            </w:r>
            <w:r w:rsidRPr="00852120">
              <w:tab/>
              <w:t xml:space="preserve">Характеристик суб’єктів  такого впливу (особи, соціальні спільноти, держава), </w:t>
            </w:r>
          </w:p>
          <w:p w14:paraId="3D779522" w14:textId="77777777" w:rsidR="00293251" w:rsidRPr="00852120" w:rsidRDefault="00293251" w:rsidP="00DF00C7">
            <w:pPr>
              <w:tabs>
                <w:tab w:val="left" w:pos="0"/>
              </w:tabs>
              <w:spacing w:line="360" w:lineRule="auto"/>
              <w:ind w:firstLine="669"/>
            </w:pPr>
            <w:r w:rsidRPr="00852120">
              <w:t>2.</w:t>
            </w:r>
            <w:r w:rsidRPr="00852120">
              <w:tab/>
              <w:t xml:space="preserve">Відповідності ступеня впливу характеристикам особи винного; її кримінальності; </w:t>
            </w:r>
          </w:p>
          <w:p w14:paraId="2FA10DCC" w14:textId="77777777" w:rsidR="00293251" w:rsidRPr="00852120" w:rsidRDefault="00293251" w:rsidP="00DF00C7">
            <w:pPr>
              <w:tabs>
                <w:tab w:val="left" w:pos="0"/>
              </w:tabs>
              <w:spacing w:line="360" w:lineRule="auto"/>
              <w:ind w:firstLine="669"/>
            </w:pPr>
            <w:r w:rsidRPr="00852120">
              <w:t>3.</w:t>
            </w:r>
            <w:r w:rsidRPr="00852120">
              <w:tab/>
              <w:t xml:space="preserve">Ступеню тяжкості скоєного злочину; </w:t>
            </w:r>
          </w:p>
          <w:p w14:paraId="509B19C9" w14:textId="77777777" w:rsidR="00293251" w:rsidRPr="00852120" w:rsidRDefault="00293251" w:rsidP="00DF00C7">
            <w:pPr>
              <w:tabs>
                <w:tab w:val="left" w:pos="0"/>
              </w:tabs>
              <w:spacing w:line="360" w:lineRule="auto"/>
              <w:ind w:firstLine="669"/>
            </w:pPr>
            <w:r w:rsidRPr="00852120">
              <w:t>4.</w:t>
            </w:r>
            <w:r w:rsidRPr="00852120">
              <w:tab/>
              <w:t xml:space="preserve">Потреб потерпілого, третіх осіб, держави, міжнародної спільноти. </w:t>
            </w:r>
          </w:p>
          <w:p w14:paraId="69390337" w14:textId="77777777" w:rsidR="00293251" w:rsidRPr="00852120" w:rsidRDefault="00293251" w:rsidP="00DF00C7">
            <w:pPr>
              <w:tabs>
                <w:tab w:val="left" w:pos="0"/>
              </w:tabs>
              <w:spacing w:line="360" w:lineRule="auto"/>
              <w:ind w:firstLine="669"/>
            </w:pPr>
            <w:r w:rsidRPr="00852120">
              <w:t xml:space="preserve">Це можливо як шляхом аналізу використання старих кримінально-правових заборон до нових ситуацій (інтерпретація кримінально-правової норми), так і шляхом розробки пропозицій та прецедентів щодо послідовних змін правової системи, інноваційного відтворення права (прийняття нової редакції, криміналізація діяння, пеналізація заборони). </w:t>
            </w:r>
          </w:p>
          <w:p w14:paraId="4B3D54F5" w14:textId="77777777" w:rsidR="00293251" w:rsidRPr="00852120" w:rsidRDefault="00293251" w:rsidP="00DF00C7">
            <w:pPr>
              <w:tabs>
                <w:tab w:val="left" w:pos="0"/>
              </w:tabs>
              <w:spacing w:line="360" w:lineRule="auto"/>
              <w:ind w:firstLine="669"/>
            </w:pPr>
            <w:r w:rsidRPr="00852120">
              <w:t xml:space="preserve">При чому порівняння різних режимів кримінально правового впливу, попередження злочинності та суспільної інтеграції у їхньому динамічному взаємозв’язку надають можливість з'ясувати найбільш  ефективні утилітарні практики обмеження злочинності. </w:t>
            </w:r>
          </w:p>
          <w:p w14:paraId="0AF11E23" w14:textId="77777777" w:rsidR="00293251" w:rsidRPr="00852120" w:rsidRDefault="00293251" w:rsidP="00DF00C7">
            <w:pPr>
              <w:tabs>
                <w:tab w:val="left" w:pos="0"/>
              </w:tabs>
              <w:spacing w:line="360" w:lineRule="auto"/>
              <w:ind w:firstLine="669"/>
            </w:pPr>
            <w:r w:rsidRPr="00852120">
              <w:t xml:space="preserve">Відома позиція про те, що кримінальна заборона сьогодення, яка реалізується у правозастосуванні, знаходиться в постійному розвитку, стабільна заборона минулого, що пов’язана із позитивним кримінальним правом, також знаходиться у розвитку. </w:t>
            </w:r>
          </w:p>
          <w:p w14:paraId="5F1DE41A" w14:textId="77777777" w:rsidR="00293251" w:rsidRPr="00852120" w:rsidRDefault="00293251" w:rsidP="00DF00C7">
            <w:pPr>
              <w:tabs>
                <w:tab w:val="left" w:pos="0"/>
              </w:tabs>
              <w:spacing w:line="360" w:lineRule="auto"/>
              <w:ind w:firstLine="669"/>
            </w:pPr>
            <w:r w:rsidRPr="00852120">
              <w:t>У першому випадку мова йде про необхідність постійної корекції законодавства та практики його застосування відносно нових заборон (комп’ютерні злочини, наприклад), нових колізійних ситуацій, які обумовлено політичними процесами, прийняттям та ратифікацією відповідних міжнародних договорів та конвенцій, рішеннями Європейського суду з прав людини, тощо.</w:t>
            </w:r>
          </w:p>
          <w:p w14:paraId="0F29ADCE" w14:textId="04BD4D98" w:rsidR="000E0247" w:rsidRPr="00852120" w:rsidRDefault="00293251" w:rsidP="00DF00C7">
            <w:pPr>
              <w:tabs>
                <w:tab w:val="left" w:pos="0"/>
              </w:tabs>
              <w:spacing w:line="360" w:lineRule="auto"/>
              <w:ind w:firstLine="669"/>
            </w:pPr>
            <w:r w:rsidRPr="00852120">
              <w:t xml:space="preserve">У другому, - про інтерпретаційні процеси у достатньо інерційному кримінальному законодавстві, які дозволяють використовуючи аналогію права sui generis (призначення заходів безпеки та соціального захисту в КК, звужене чи поширене тлумачення кримінально-правової норми Верховним Судом) розповсюджувати дію старих норм на нові види відносин. </w:t>
            </w:r>
            <w:r w:rsidR="000E0247" w:rsidRPr="00852120">
              <w:t>Останнім часом у науці кримінального права та практиці ЄСПЛ все більше фахівців звертають увагу на той факт, що стрижневим питанням сьогодення при застосуванні інституту призначення покарання</w:t>
            </w:r>
            <w:r w:rsidR="000E0247" w:rsidRPr="00852120">
              <w:rPr>
                <w:vertAlign w:val="superscript"/>
              </w:rPr>
              <w:footnoteReference w:id="49"/>
            </w:r>
            <w:r w:rsidR="000E0247" w:rsidRPr="00852120">
              <w:t xml:space="preserve"> є проблема якості та ефективності кримінального закону.</w:t>
            </w:r>
            <w:r w:rsidR="000E0247" w:rsidRPr="00852120">
              <w:rPr>
                <w:vertAlign w:val="superscript"/>
              </w:rPr>
              <w:footnoteReference w:id="50"/>
            </w:r>
            <w:r w:rsidR="000E0247" w:rsidRPr="00852120">
              <w:t xml:space="preserve"> Найбільш ефективний спосіб забезпечення якості та передбачуваності кримінального закону пов’язаний із конкретизацію елементів кримінального правопорушення таким чином, щоб при найвищому рівні абстракції можливо було б передбачити кримінальну відповідальність при оцінці обставин справи як з боку суду, так і з боку правопорушника.</w:t>
            </w:r>
            <w:r w:rsidR="000E0247" w:rsidRPr="00852120">
              <w:rPr>
                <w:rStyle w:val="af1"/>
              </w:rPr>
              <w:footnoteReference w:id="51"/>
            </w:r>
            <w:r w:rsidR="000E0247" w:rsidRPr="00852120">
              <w:t xml:space="preserve"> </w:t>
            </w:r>
          </w:p>
          <w:p w14:paraId="4CFD6804" w14:textId="77777777" w:rsidR="000E0247" w:rsidRPr="00852120" w:rsidRDefault="000E0247" w:rsidP="00DF00C7">
            <w:pPr>
              <w:tabs>
                <w:tab w:val="left" w:pos="0"/>
              </w:tabs>
              <w:spacing w:line="360" w:lineRule="auto"/>
              <w:ind w:firstLine="669"/>
              <w:rPr>
                <w:iCs/>
              </w:rPr>
            </w:pPr>
            <w:r w:rsidRPr="00852120">
              <w:t>Європейським судом з прав людини підтримується точка зору, щодо того, що обмеження прав і свобод людини і громадянина є допустимими, лише у випадках, коли вони здійснені згідно з чинним законодавством і відповідають правилу «збереження основного змісту прав і свобод» Так у справі Захаров проти Росії Велика палата встановила, що російське законодавство не відповідає вимозі «якості закону» і не здатне зберегти «втручання» у рамках того, що є «необхідним у демократичному суспільстві» Відповідно, було порушено статтю 8 Конвенції</w:t>
            </w:r>
            <w:r w:rsidRPr="00852120">
              <w:rPr>
                <w:rStyle w:val="af1"/>
              </w:rPr>
              <w:footnoteReference w:id="52"/>
            </w:r>
            <w:r w:rsidRPr="00852120">
              <w:t xml:space="preserve">. Вважається, що розвинутий у цій пілотній справі </w:t>
            </w:r>
            <w:r w:rsidRPr="00852120">
              <w:rPr>
                <w:iCs/>
              </w:rPr>
              <w:t>тест на пропорційність може бути побудований двома різними способами: строго вертикально, коли пропорційність залежить від послідовного виконання однієї юридичної вимоги за іншою (доречність, необхідність, балансування), та гнучко горизонтально, коли традиційні вимоги (доречність і необхідність) враховуються як фактори для загальної оцінки (балансування).</w:t>
            </w:r>
            <w:r w:rsidRPr="00852120">
              <w:rPr>
                <w:rStyle w:val="af1"/>
                <w:iCs/>
              </w:rPr>
              <w:footnoteReference w:id="53"/>
            </w:r>
          </w:p>
          <w:p w14:paraId="308C336D" w14:textId="77777777" w:rsidR="000E0247" w:rsidRPr="00852120" w:rsidRDefault="000E0247" w:rsidP="00DF00C7">
            <w:pPr>
              <w:tabs>
                <w:tab w:val="left" w:pos="0"/>
              </w:tabs>
              <w:spacing w:line="360" w:lineRule="auto"/>
              <w:ind w:firstLine="669"/>
              <w:rPr>
                <w:iCs/>
                <w:spacing w:val="-4"/>
              </w:rPr>
            </w:pPr>
            <w:r w:rsidRPr="00852120">
              <w:rPr>
                <w:iCs/>
                <w:spacing w:val="-4"/>
              </w:rPr>
              <w:t>Призначення справедливого, обґрунтованого і законного покарання можливо тільки за умови здійснення такого на основі теорії призначення кримінального покарання (пеналізаційної функції права), яка як й теорія кваліфікації злочинів повинна стати фундаментальною основою одного з найважливіших інститутів кримінального права. Створення подібної теорії вимагає, перш за все, всебічного наукового осмислення самої суті досліджуваного процесу, його методології, а також існуючого кримінально-правового інституту призначення покарання. У цьому сенсі досить важливу роль може виконати сучасна проблематика компаративного вивчення характеристик індивідуалізації покарання</w:t>
            </w:r>
            <w:r w:rsidRPr="00852120">
              <w:rPr>
                <w:rStyle w:val="af1"/>
                <w:iCs/>
                <w:spacing w:val="-4"/>
              </w:rPr>
              <w:footnoteReference w:id="54"/>
            </w:r>
            <w:r w:rsidRPr="00852120">
              <w:rPr>
                <w:iCs/>
                <w:spacing w:val="-4"/>
              </w:rPr>
              <w:t>.</w:t>
            </w:r>
          </w:p>
          <w:p w14:paraId="0D9DAB80" w14:textId="77777777" w:rsidR="000E0247" w:rsidRPr="00852120" w:rsidRDefault="000E0247" w:rsidP="00DF00C7">
            <w:pPr>
              <w:tabs>
                <w:tab w:val="left" w:pos="0"/>
              </w:tabs>
              <w:spacing w:line="360" w:lineRule="auto"/>
              <w:ind w:firstLine="669"/>
            </w:pPr>
            <w:r w:rsidRPr="00852120">
              <w:t>Тому завдання аналізу соціальної обумовленості та  ефективності кримінального закону стає все більш гострим внаслідок необхідності глибинного пізнання процесів пеналізації, закономірностей контролю над злочинністю, прогнозування ефективності превентивних заходів. До того ж відбувається віртуалізація правової норми, за якої формальна наявність заборони нейтралізується необов'язковістю або неможливістю (матеріальною або процесуальною) його виконання</w:t>
            </w:r>
            <w:r w:rsidRPr="00852120">
              <w:rPr>
                <w:rStyle w:val="af1"/>
              </w:rPr>
              <w:footnoteReference w:id="55"/>
            </w:r>
            <w:r w:rsidRPr="00852120">
              <w:t xml:space="preserve"> . </w:t>
            </w:r>
          </w:p>
          <w:p w14:paraId="74C90B3D" w14:textId="77777777" w:rsidR="000E0247" w:rsidRPr="00852120" w:rsidRDefault="000E0247" w:rsidP="00DF00C7">
            <w:pPr>
              <w:tabs>
                <w:tab w:val="left" w:pos="0"/>
              </w:tabs>
              <w:spacing w:line="360" w:lineRule="auto"/>
              <w:ind w:firstLine="669"/>
            </w:pPr>
            <w:r w:rsidRPr="00852120">
              <w:t>В ідеалі застосування кримінально-правової норми є її незастосуванням. Але саме ця остаточність заходів кримінального-правового примусу, їх адитивність, зорієнтованість на правозастосувачів та їх правосвідомість, а не на пересічних громадян, поруч з іншими системними недоліками публічно-правового регулювання, призвели до формування значної кількості суперечливих явищ та процесів, які у сумі дають можливість говорити про припинення розвитку кримінально-правової доктрини, знаходження кримінального законодавства та правозастосування у стані системної кризи.</w:t>
            </w:r>
            <w:r w:rsidRPr="00852120">
              <w:rPr>
                <w:rStyle w:val="af1"/>
              </w:rPr>
              <w:footnoteReference w:id="56"/>
            </w:r>
            <w:r w:rsidRPr="00852120">
              <w:t xml:space="preserve"> </w:t>
            </w:r>
          </w:p>
          <w:p w14:paraId="5FC116C6" w14:textId="78EA0E30" w:rsidR="000E0247" w:rsidRPr="00852120" w:rsidRDefault="000E0247" w:rsidP="00DF00C7">
            <w:pPr>
              <w:tabs>
                <w:tab w:val="left" w:pos="0"/>
              </w:tabs>
              <w:spacing w:line="360" w:lineRule="auto"/>
              <w:ind w:firstLine="669"/>
            </w:pPr>
            <w:r w:rsidRPr="00852120">
              <w:t xml:space="preserve">Усе це зумовлює нагальну потребу у науковому та професійно-практичному осмисленні закономірностей </w:t>
            </w:r>
            <w:r w:rsidR="00ED250F" w:rsidRPr="00852120">
              <w:t xml:space="preserve">кримінальної </w:t>
            </w:r>
            <w:r w:rsidR="001D2A6A" w:rsidRPr="00852120">
              <w:t>політики</w:t>
            </w:r>
            <w:r w:rsidRPr="00852120">
              <w:t>.</w:t>
            </w:r>
          </w:p>
          <w:p w14:paraId="0D938E43" w14:textId="4CE760DF" w:rsidR="000E0247" w:rsidRPr="00852120" w:rsidRDefault="000E0247" w:rsidP="00DF00C7">
            <w:pPr>
              <w:tabs>
                <w:tab w:val="left" w:pos="0"/>
              </w:tabs>
              <w:spacing w:line="360" w:lineRule="auto"/>
              <w:ind w:firstLine="669"/>
              <w:rPr>
                <w:iCs/>
                <w:spacing w:val="-4"/>
              </w:rPr>
            </w:pPr>
            <w:r w:rsidRPr="00852120">
              <w:rPr>
                <w:iCs/>
                <w:spacing w:val="-4"/>
              </w:rPr>
              <w:t xml:space="preserve">Поняття </w:t>
            </w:r>
            <w:r w:rsidR="00293251" w:rsidRPr="00852120">
              <w:rPr>
                <w:iCs/>
                <w:spacing w:val="-4"/>
              </w:rPr>
              <w:t xml:space="preserve"> </w:t>
            </w:r>
            <w:r w:rsidR="00ED250F" w:rsidRPr="00852120">
              <w:rPr>
                <w:iCs/>
                <w:spacing w:val="-4"/>
              </w:rPr>
              <w:t>кримінального</w:t>
            </w:r>
            <w:r w:rsidR="00293251" w:rsidRPr="00852120">
              <w:rPr>
                <w:iCs/>
                <w:spacing w:val="-4"/>
              </w:rPr>
              <w:t xml:space="preserve"> закону та </w:t>
            </w:r>
            <w:r w:rsidRPr="00852120">
              <w:rPr>
                <w:iCs/>
                <w:spacing w:val="-4"/>
              </w:rPr>
              <w:t xml:space="preserve">покарання, </w:t>
            </w:r>
            <w:r w:rsidR="00293251" w:rsidRPr="00852120">
              <w:rPr>
                <w:iCs/>
                <w:spacing w:val="-4"/>
              </w:rPr>
              <w:t>що застосовуються</w:t>
            </w:r>
            <w:r w:rsidRPr="00852120">
              <w:rPr>
                <w:iCs/>
                <w:spacing w:val="-4"/>
              </w:rPr>
              <w:t xml:space="preserve"> в пункті 1 статті 7 Конвенції є автономним</w:t>
            </w:r>
            <w:r w:rsidR="00ED250F" w:rsidRPr="00852120">
              <w:rPr>
                <w:iCs/>
                <w:spacing w:val="-4"/>
              </w:rPr>
              <w:t>и</w:t>
            </w:r>
            <w:r w:rsidRPr="00852120">
              <w:rPr>
                <w:iCs/>
                <w:spacing w:val="-4"/>
              </w:rPr>
              <w:t xml:space="preserve"> у сфері </w:t>
            </w:r>
            <w:r w:rsidR="00ED250F" w:rsidRPr="00852120">
              <w:rPr>
                <w:iCs/>
                <w:spacing w:val="-4"/>
              </w:rPr>
              <w:t>право</w:t>
            </w:r>
            <w:r w:rsidRPr="00852120">
              <w:rPr>
                <w:iCs/>
                <w:spacing w:val="-4"/>
              </w:rPr>
              <w:t xml:space="preserve">застосування. </w:t>
            </w:r>
          </w:p>
          <w:p w14:paraId="70C55C21" w14:textId="77777777" w:rsidR="000E0247" w:rsidRPr="00852120" w:rsidRDefault="000E0247" w:rsidP="00DF00C7">
            <w:pPr>
              <w:tabs>
                <w:tab w:val="left" w:pos="0"/>
              </w:tabs>
              <w:spacing w:line="360" w:lineRule="auto"/>
              <w:ind w:firstLine="669"/>
              <w:rPr>
                <w:i/>
                <w:spacing w:val="-4"/>
              </w:rPr>
            </w:pPr>
            <w:r w:rsidRPr="00852120">
              <w:rPr>
                <w:iCs/>
                <w:spacing w:val="-4"/>
              </w:rPr>
              <w:t xml:space="preserve">Так в рамках практики ЄСПЛ його зміст найбільш повно розкрито в практиці з застосування ст. 7 Конвенції. У рішенні по справі Wеlch v UK сформульовані  основні критерії, з урахуванням яких ЄСПЛ на власний розсуд визначає, </w:t>
            </w:r>
            <w:r w:rsidRPr="00852120">
              <w:rPr>
                <w:i/>
                <w:spacing w:val="-4"/>
              </w:rPr>
              <w:t xml:space="preserve">які заходи впливу на особу є покаранням, в розумінні Конвенції до них належать такі: чи відповідний захід застосовується за вчинення кримінального правопорушення; природа та цілі застосування відповідного заходу; оцінка відповідного заходу національним законодавством; процедура призначення відповідного заходу впливу; суворість впливу. </w:t>
            </w:r>
          </w:p>
          <w:p w14:paraId="5E6C5C3E" w14:textId="77777777" w:rsidR="000E0247" w:rsidRPr="00852120" w:rsidRDefault="000E0247" w:rsidP="00DF00C7">
            <w:pPr>
              <w:tabs>
                <w:tab w:val="left" w:pos="0"/>
              </w:tabs>
              <w:spacing w:line="360" w:lineRule="auto"/>
              <w:ind w:firstLine="669"/>
              <w:rPr>
                <w:iCs/>
                <w:spacing w:val="-4"/>
              </w:rPr>
            </w:pPr>
            <w:r w:rsidRPr="00852120">
              <w:rPr>
                <w:iCs/>
                <w:spacing w:val="-4"/>
              </w:rPr>
              <w:t xml:space="preserve">Доречи у практиці з застосування ст.  4 Протоколу №  7 Конвенції у справі Hааrvіg v. Nоrwаy ЄСПЛ застосував значно ширше коло критеріїв, вказавши окрім названих, ще  на мету, природу та порядок призначення відповідного покарання </w:t>
            </w:r>
            <w:r w:rsidRPr="00852120">
              <w:rPr>
                <w:rStyle w:val="af1"/>
                <w:iCs/>
                <w:spacing w:val="-4"/>
              </w:rPr>
              <w:footnoteReference w:id="57"/>
            </w:r>
            <w:r w:rsidRPr="00852120">
              <w:rPr>
                <w:iCs/>
                <w:spacing w:val="-4"/>
              </w:rPr>
              <w:t xml:space="preserve">. </w:t>
            </w:r>
          </w:p>
          <w:p w14:paraId="7E1B92E8" w14:textId="77777777" w:rsidR="000E0247" w:rsidRPr="00852120" w:rsidRDefault="000E0247" w:rsidP="00DF00C7">
            <w:pPr>
              <w:tabs>
                <w:tab w:val="left" w:pos="0"/>
              </w:tabs>
              <w:spacing w:line="360" w:lineRule="auto"/>
              <w:ind w:firstLine="669"/>
              <w:rPr>
                <w:iCs/>
                <w:spacing w:val="-4"/>
              </w:rPr>
            </w:pPr>
            <w:r w:rsidRPr="00852120">
              <w:rPr>
                <w:iCs/>
                <w:spacing w:val="-4"/>
              </w:rPr>
              <w:t xml:space="preserve">Автономна концепція поняття «покарання» у практиці ЄСПЛ передбачає, що </w:t>
            </w:r>
            <w:r w:rsidRPr="00852120">
              <w:rPr>
                <w:i/>
                <w:iCs/>
                <w:spacing w:val="-4"/>
              </w:rPr>
              <w:t>покарання переслідує подвійну мету – покарання і стримування від вчинення нових злочинів</w:t>
            </w:r>
            <w:r w:rsidRPr="00852120">
              <w:rPr>
                <w:iCs/>
                <w:spacing w:val="-4"/>
              </w:rPr>
              <w:t xml:space="preserve"> (Еzеh аnd Cоnnоrs v. UK). Хоча це не виключає, що покарання може бути спрямоване на досягнення кількох цілей, поряд з карою та запобіганням це може бути ще й відшкодування. Якщо метою застосування певного заходу примусу є лише захист суспільства від порушника, ЄСПЛ не оцінюватиме його як покарання у розумінні Конвенції. </w:t>
            </w:r>
          </w:p>
          <w:p w14:paraId="02DFCD10" w14:textId="77777777" w:rsidR="000E0247" w:rsidRPr="00852120" w:rsidRDefault="000E0247" w:rsidP="00DF00C7">
            <w:pPr>
              <w:tabs>
                <w:tab w:val="left" w:pos="0"/>
              </w:tabs>
              <w:spacing w:line="360" w:lineRule="auto"/>
              <w:ind w:firstLine="669"/>
              <w:rPr>
                <w:iCs/>
                <w:spacing w:val="-4"/>
              </w:rPr>
            </w:pPr>
            <w:r w:rsidRPr="00852120">
              <w:rPr>
                <w:iCs/>
                <w:spacing w:val="-4"/>
              </w:rPr>
              <w:t xml:space="preserve">Для забезпечення ефективності захисту, забезпеченої відповідно до статті 7 ЄКПЛ, Суд має бути вільним та виходити за рамки стандартної моделі і самостійно оцінювати, чи є конкретною мірою  захід "покарання" за "кримінальне правопорушення". </w:t>
            </w:r>
          </w:p>
          <w:p w14:paraId="5ECA9F2D" w14:textId="77777777" w:rsidR="000E0247" w:rsidRPr="00852120" w:rsidRDefault="000E0247" w:rsidP="00DF00C7">
            <w:pPr>
              <w:tabs>
                <w:tab w:val="left" w:pos="0"/>
              </w:tabs>
              <w:spacing w:line="360" w:lineRule="auto"/>
              <w:ind w:firstLine="669"/>
              <w:rPr>
                <w:iCs/>
                <w:spacing w:val="-4"/>
              </w:rPr>
            </w:pPr>
            <w:r w:rsidRPr="00852120">
              <w:rPr>
                <w:iCs/>
                <w:spacing w:val="-4"/>
              </w:rPr>
              <w:t>Інші фактори можуть вважатися відповідними в цьому відношенні: характер і мета міри (особливо її каральну мету), її класифікація відповідно до національного законодавства, процедури, пов'язані з його прийняттям і виконанням, і ступенем тяжкості (Dеl Ríо Prаdа v. Іспанії</w:t>
            </w:r>
            <w:r w:rsidRPr="00852120">
              <w:rPr>
                <w:rStyle w:val="af1"/>
                <w:iCs/>
                <w:spacing w:val="-4"/>
              </w:rPr>
              <w:footnoteReference w:id="58"/>
            </w:r>
            <w:r w:rsidRPr="00852120">
              <w:rPr>
                <w:iCs/>
                <w:spacing w:val="-4"/>
              </w:rPr>
              <w:t xml:space="preserve">). Проте  ЄСПЛ каже, що жорсткість заходу не є вирішальною сама по собі, оскільки багато дисціплінарних заходів, що мають превентивний характер, можуть мати суттєвий вплив на особу, ЄСПЛ, зокрема, визначив наступні заходи як : </w:t>
            </w:r>
          </w:p>
          <w:p w14:paraId="1E495C51" w14:textId="77777777" w:rsidR="000E0247" w:rsidRPr="00852120" w:rsidRDefault="000E0247" w:rsidP="00DF00C7">
            <w:pPr>
              <w:numPr>
                <w:ilvl w:val="0"/>
                <w:numId w:val="18"/>
              </w:numPr>
              <w:tabs>
                <w:tab w:val="left" w:pos="0"/>
              </w:tabs>
              <w:spacing w:after="200" w:line="360" w:lineRule="auto"/>
              <w:ind w:left="0" w:firstLine="669"/>
              <w:contextualSpacing/>
              <w:rPr>
                <w:iCs/>
                <w:spacing w:val="-4"/>
              </w:rPr>
            </w:pPr>
            <w:r w:rsidRPr="00852120">
              <w:rPr>
                <w:iCs/>
                <w:spacing w:val="-4"/>
              </w:rPr>
              <w:t xml:space="preserve">"штрафи": наказ про конфіскацію у зв'язку з провадженням кримінального правопорушення;  заходи, що передбачають позбавлення волі у якості гарантії сплати штрафу (Jаmіl v. Frаncе, § 32); адміністративний штраф, встановлений у справі будівництва, еквівалентний 100%  цінності неправомірно споруджуваної будівлі (Vаlіcо SLR проти Італії); конфіскація землеволодіння на підставі незаконного будівництва, призначеного кримінальним судом, тощо; </w:t>
            </w:r>
          </w:p>
          <w:p w14:paraId="7F67472B" w14:textId="77777777" w:rsidR="000E0247" w:rsidRPr="00852120" w:rsidRDefault="000E0247" w:rsidP="00DF00C7">
            <w:pPr>
              <w:numPr>
                <w:ilvl w:val="0"/>
                <w:numId w:val="18"/>
              </w:numPr>
              <w:tabs>
                <w:tab w:val="left" w:pos="0"/>
              </w:tabs>
              <w:spacing w:after="200" w:line="360" w:lineRule="auto"/>
              <w:ind w:left="0" w:firstLine="669"/>
              <w:contextualSpacing/>
              <w:rPr>
                <w:iCs/>
                <w:spacing w:val="-4"/>
              </w:rPr>
            </w:pPr>
            <w:r w:rsidRPr="00852120">
              <w:rPr>
                <w:iCs/>
                <w:spacing w:val="-4"/>
              </w:rPr>
              <w:t xml:space="preserve">превентивне затримання, призначене судом першої інстанції після засудження за тяжкі злочини, беручи до уваги превентивний і навіть каральний характер, спосіб виконання та необмежена тривалість;  </w:t>
            </w:r>
          </w:p>
          <w:p w14:paraId="38224238" w14:textId="77777777" w:rsidR="000E0247" w:rsidRPr="00852120" w:rsidRDefault="000E0247" w:rsidP="00DF00C7">
            <w:pPr>
              <w:numPr>
                <w:ilvl w:val="0"/>
                <w:numId w:val="18"/>
              </w:numPr>
              <w:tabs>
                <w:tab w:val="left" w:pos="0"/>
              </w:tabs>
              <w:spacing w:after="200" w:line="360" w:lineRule="auto"/>
              <w:ind w:left="0" w:firstLine="669"/>
              <w:contextualSpacing/>
              <w:rPr>
                <w:iCs/>
                <w:spacing w:val="-4"/>
              </w:rPr>
            </w:pPr>
            <w:r w:rsidRPr="00852120">
              <w:rPr>
                <w:iCs/>
                <w:spacing w:val="-4"/>
              </w:rPr>
              <w:t xml:space="preserve">заміна тюремного ув'язнення із забороною на проживання  у певній місцевості протягом десяти років; постійна заборона на заняття певною діяльністю, призначена судом як додаткове покарання. </w:t>
            </w:r>
          </w:p>
          <w:p w14:paraId="15533317" w14:textId="77777777" w:rsidR="000E0247" w:rsidRPr="00852120" w:rsidRDefault="000E0247" w:rsidP="00DF00C7">
            <w:pPr>
              <w:tabs>
                <w:tab w:val="left" w:pos="0"/>
              </w:tabs>
              <w:spacing w:line="360" w:lineRule="auto"/>
              <w:ind w:firstLine="669"/>
              <w:rPr>
                <w:iCs/>
                <w:spacing w:val="-4"/>
              </w:rPr>
            </w:pPr>
            <w:r w:rsidRPr="00852120">
              <w:rPr>
                <w:iCs/>
                <w:spacing w:val="-4"/>
              </w:rPr>
              <w:t>Поруч з цим, з поняття покарання практика ЄСПЛ виключає:</w:t>
            </w:r>
          </w:p>
          <w:p w14:paraId="33DBBD8B" w14:textId="77777777" w:rsidR="000E0247" w:rsidRPr="00852120" w:rsidRDefault="000E0247" w:rsidP="00DF00C7">
            <w:pPr>
              <w:numPr>
                <w:ilvl w:val="0"/>
                <w:numId w:val="19"/>
              </w:numPr>
              <w:tabs>
                <w:tab w:val="left" w:pos="0"/>
              </w:tabs>
              <w:spacing w:after="200" w:line="360" w:lineRule="auto"/>
              <w:ind w:left="0" w:firstLine="669"/>
              <w:contextualSpacing/>
              <w:rPr>
                <w:iCs/>
                <w:spacing w:val="-4"/>
              </w:rPr>
            </w:pPr>
            <w:r w:rsidRPr="00852120">
              <w:rPr>
                <w:iCs/>
                <w:spacing w:val="-4"/>
              </w:rPr>
              <w:t xml:space="preserve">примусові заходи медичного характеру, які мають превентивну ціль застосування; </w:t>
            </w:r>
          </w:p>
          <w:p w14:paraId="10033C37" w14:textId="77777777" w:rsidR="000E0247" w:rsidRPr="00852120" w:rsidRDefault="000E0247" w:rsidP="00DF00C7">
            <w:pPr>
              <w:numPr>
                <w:ilvl w:val="0"/>
                <w:numId w:val="19"/>
              </w:numPr>
              <w:tabs>
                <w:tab w:val="left" w:pos="0"/>
              </w:tabs>
              <w:spacing w:after="200" w:line="360" w:lineRule="auto"/>
              <w:ind w:left="0" w:firstLine="669"/>
              <w:contextualSpacing/>
              <w:rPr>
                <w:iCs/>
                <w:spacing w:val="-4"/>
              </w:rPr>
            </w:pPr>
            <w:r w:rsidRPr="00852120">
              <w:rPr>
                <w:iCs/>
                <w:spacing w:val="-4"/>
              </w:rPr>
              <w:t xml:space="preserve">включення фізичної особи до поліцейського або судового реєстру сексуальних або жорстоких правопорушників; </w:t>
            </w:r>
          </w:p>
          <w:p w14:paraId="6729BEBA" w14:textId="77777777" w:rsidR="000E0247" w:rsidRPr="00852120" w:rsidRDefault="000E0247" w:rsidP="00DF00C7">
            <w:pPr>
              <w:numPr>
                <w:ilvl w:val="0"/>
                <w:numId w:val="19"/>
              </w:numPr>
              <w:tabs>
                <w:tab w:val="left" w:pos="0"/>
              </w:tabs>
              <w:spacing w:after="200" w:line="360" w:lineRule="auto"/>
              <w:ind w:left="0" w:firstLine="669"/>
              <w:contextualSpacing/>
              <w:rPr>
                <w:iCs/>
                <w:spacing w:val="-4"/>
              </w:rPr>
            </w:pPr>
            <w:r w:rsidRPr="00852120">
              <w:rPr>
                <w:iCs/>
                <w:spacing w:val="-4"/>
              </w:rPr>
              <w:t xml:space="preserve">обмеження займатися незаконною діяльністю;  </w:t>
            </w:r>
          </w:p>
          <w:p w14:paraId="4786E0FA" w14:textId="77777777" w:rsidR="000E0247" w:rsidRPr="00852120" w:rsidRDefault="000E0247" w:rsidP="00DF00C7">
            <w:pPr>
              <w:numPr>
                <w:ilvl w:val="0"/>
                <w:numId w:val="19"/>
              </w:numPr>
              <w:tabs>
                <w:tab w:val="left" w:pos="0"/>
              </w:tabs>
              <w:spacing w:after="200" w:line="360" w:lineRule="auto"/>
              <w:ind w:left="0" w:firstLine="669"/>
              <w:contextualSpacing/>
              <w:rPr>
                <w:iCs/>
                <w:spacing w:val="-4"/>
              </w:rPr>
            </w:pPr>
            <w:r w:rsidRPr="00852120">
              <w:rPr>
                <w:iCs/>
                <w:spacing w:val="-4"/>
              </w:rPr>
              <w:t xml:space="preserve">превентивну заборону проживання (на додачу до тюремного ув'язнення); </w:t>
            </w:r>
          </w:p>
          <w:p w14:paraId="1C71B6E2" w14:textId="77777777" w:rsidR="000E0247" w:rsidRPr="00852120" w:rsidRDefault="000E0247" w:rsidP="00DF00C7">
            <w:pPr>
              <w:numPr>
                <w:ilvl w:val="0"/>
                <w:numId w:val="19"/>
              </w:numPr>
              <w:tabs>
                <w:tab w:val="left" w:pos="0"/>
              </w:tabs>
              <w:spacing w:after="200" w:line="360" w:lineRule="auto"/>
              <w:ind w:left="0" w:firstLine="669"/>
              <w:contextualSpacing/>
              <w:rPr>
                <w:iCs/>
                <w:spacing w:val="-4"/>
              </w:rPr>
            </w:pPr>
            <w:r w:rsidRPr="00852120">
              <w:rPr>
                <w:iCs/>
                <w:spacing w:val="-4"/>
              </w:rPr>
              <w:t xml:space="preserve">адміністративну висилку або заборону проживання; </w:t>
            </w:r>
          </w:p>
          <w:p w14:paraId="5181AA55" w14:textId="77777777" w:rsidR="000E0247" w:rsidRPr="00852120" w:rsidRDefault="000E0247" w:rsidP="00DF00C7">
            <w:pPr>
              <w:numPr>
                <w:ilvl w:val="0"/>
                <w:numId w:val="19"/>
              </w:numPr>
              <w:tabs>
                <w:tab w:val="left" w:pos="0"/>
              </w:tabs>
              <w:spacing w:after="200" w:line="360" w:lineRule="auto"/>
              <w:ind w:left="0" w:firstLine="669"/>
              <w:contextualSpacing/>
              <w:rPr>
                <w:iCs/>
                <w:spacing w:val="-4"/>
              </w:rPr>
            </w:pPr>
            <w:r w:rsidRPr="00852120">
              <w:rPr>
                <w:iCs/>
                <w:spacing w:val="-4"/>
              </w:rPr>
              <w:t xml:space="preserve">передачу засудженої особи в іншу країну за додатковим протоколом до Конвенції Ради Європи про передачу правопорушників; </w:t>
            </w:r>
          </w:p>
          <w:p w14:paraId="76705B7D" w14:textId="77777777" w:rsidR="000E0247" w:rsidRPr="00852120" w:rsidRDefault="000E0247" w:rsidP="00DF00C7">
            <w:pPr>
              <w:numPr>
                <w:ilvl w:val="0"/>
                <w:numId w:val="19"/>
              </w:numPr>
              <w:tabs>
                <w:tab w:val="left" w:pos="0"/>
              </w:tabs>
              <w:spacing w:after="200" w:line="360" w:lineRule="auto"/>
              <w:ind w:left="0" w:firstLine="669"/>
              <w:contextualSpacing/>
              <w:rPr>
                <w:iCs/>
                <w:spacing w:val="-4"/>
              </w:rPr>
            </w:pPr>
            <w:r w:rsidRPr="00852120">
              <w:rPr>
                <w:iCs/>
                <w:spacing w:val="-4"/>
              </w:rPr>
              <w:t xml:space="preserve">порядок конфіскації майна на майна, що належить  організаціям мафіозного типу; </w:t>
            </w:r>
          </w:p>
          <w:p w14:paraId="4F72B7BB" w14:textId="77777777" w:rsidR="000E0247" w:rsidRPr="00852120" w:rsidRDefault="000E0247" w:rsidP="00DF00C7">
            <w:pPr>
              <w:numPr>
                <w:ilvl w:val="0"/>
                <w:numId w:val="19"/>
              </w:numPr>
              <w:tabs>
                <w:tab w:val="left" w:pos="0"/>
              </w:tabs>
              <w:spacing w:after="200" w:line="360" w:lineRule="auto"/>
              <w:ind w:left="0" w:firstLine="669"/>
              <w:contextualSpacing/>
              <w:rPr>
                <w:iCs/>
                <w:spacing w:val="-4"/>
              </w:rPr>
            </w:pPr>
            <w:r w:rsidRPr="00852120">
              <w:rPr>
                <w:iCs/>
                <w:spacing w:val="-4"/>
              </w:rPr>
              <w:t xml:space="preserve">спеціальний поліцейський нагляд або домашній арешт; </w:t>
            </w:r>
          </w:p>
          <w:p w14:paraId="7EFF5B5E" w14:textId="77777777" w:rsidR="000E0247" w:rsidRPr="00852120" w:rsidRDefault="000E0247" w:rsidP="00DF00C7">
            <w:pPr>
              <w:numPr>
                <w:ilvl w:val="0"/>
                <w:numId w:val="19"/>
              </w:numPr>
              <w:tabs>
                <w:tab w:val="left" w:pos="0"/>
              </w:tabs>
              <w:spacing w:after="200" w:line="360" w:lineRule="auto"/>
              <w:ind w:left="0" w:firstLine="669"/>
              <w:contextualSpacing/>
              <w:rPr>
                <w:iCs/>
                <w:spacing w:val="-4"/>
              </w:rPr>
            </w:pPr>
            <w:r w:rsidRPr="00852120">
              <w:rPr>
                <w:iCs/>
                <w:spacing w:val="-4"/>
              </w:rPr>
              <w:t xml:space="preserve">відкликання парламентського мандата депутата;  </w:t>
            </w:r>
          </w:p>
          <w:p w14:paraId="25612E92" w14:textId="0F624E8E" w:rsidR="000E0247" w:rsidRPr="00852120" w:rsidRDefault="000E0247" w:rsidP="00DF00C7">
            <w:pPr>
              <w:numPr>
                <w:ilvl w:val="0"/>
                <w:numId w:val="19"/>
              </w:numPr>
              <w:tabs>
                <w:tab w:val="left" w:pos="0"/>
              </w:tabs>
              <w:spacing w:after="200" w:line="360" w:lineRule="auto"/>
              <w:ind w:left="0" w:firstLine="669"/>
              <w:contextualSpacing/>
              <w:rPr>
                <w:iCs/>
                <w:spacing w:val="-4"/>
              </w:rPr>
            </w:pPr>
            <w:r w:rsidRPr="00852120">
              <w:rPr>
                <w:iCs/>
                <w:spacing w:val="-4"/>
              </w:rPr>
              <w:t>імпічмент президента, тощо.</w:t>
            </w:r>
            <w:r w:rsidRPr="00852120">
              <w:rPr>
                <w:rStyle w:val="af1"/>
                <w:iCs/>
                <w:spacing w:val="-4"/>
              </w:rPr>
              <w:footnoteReference w:id="59"/>
            </w:r>
          </w:p>
          <w:p w14:paraId="64A3BCA5" w14:textId="77777777" w:rsidR="008369A4" w:rsidRPr="00852120" w:rsidRDefault="008369A4" w:rsidP="00DF00C7">
            <w:pPr>
              <w:spacing w:line="360" w:lineRule="auto"/>
              <w:ind w:firstLine="669"/>
            </w:pPr>
            <w:r w:rsidRPr="00852120">
              <w:t>Отже розмиття предмету кримінально-правового регулювання, приватизаційні процеси у кримінальному праві, його віртуальність у динамічних відносинах із населенням, поруч із існуванням декількох моделей кримінально-правового реагування на різних рівнях соціальної взаємодії потребує певних реакцій від суспільства та наукової думки шляхом формування  чи уточнення певних догматів сучасної кримінально-правової доктрини.</w:t>
            </w:r>
          </w:p>
          <w:p w14:paraId="1B60150B" w14:textId="77777777" w:rsidR="00BA264C" w:rsidRPr="00852120" w:rsidRDefault="00BA264C" w:rsidP="00DF00C7">
            <w:pPr>
              <w:tabs>
                <w:tab w:val="left" w:pos="0"/>
              </w:tabs>
              <w:spacing w:after="200" w:line="360" w:lineRule="auto"/>
              <w:ind w:firstLine="669"/>
              <w:contextualSpacing/>
              <w:rPr>
                <w:iCs/>
                <w:spacing w:val="-4"/>
              </w:rPr>
            </w:pPr>
          </w:p>
          <w:p w14:paraId="5BA33E12" w14:textId="2727B2B5" w:rsidR="009A5948" w:rsidRPr="00852120" w:rsidRDefault="009A5948" w:rsidP="00DF00C7">
            <w:pPr>
              <w:widowControl w:val="0"/>
              <w:autoSpaceDE w:val="0"/>
              <w:autoSpaceDN w:val="0"/>
              <w:ind w:right="1036" w:firstLine="669"/>
              <w:jc w:val="left"/>
            </w:pPr>
          </w:p>
        </w:tc>
      </w:tr>
      <w:tr w:rsidR="0035042F" w:rsidRPr="00852120" w14:paraId="0DA93E5C" w14:textId="77777777" w:rsidTr="00ED6F4C">
        <w:trPr>
          <w:trHeight w:val="320"/>
        </w:trPr>
        <w:tc>
          <w:tcPr>
            <w:tcW w:w="10207" w:type="dxa"/>
            <w:vAlign w:val="bottom"/>
          </w:tcPr>
          <w:p w14:paraId="7B9A00F4" w14:textId="50171C36" w:rsidR="0035042F" w:rsidRPr="00852120" w:rsidRDefault="0035042F" w:rsidP="00DF00C7">
            <w:pPr>
              <w:pStyle w:val="1"/>
              <w:numPr>
                <w:ilvl w:val="0"/>
                <w:numId w:val="22"/>
              </w:numPr>
              <w:ind w:firstLine="669"/>
              <w:rPr>
                <w:rFonts w:cs="Times New Roman"/>
              </w:rPr>
            </w:pPr>
            <w:bookmarkStart w:id="9" w:name="_Toc147652532"/>
            <w:r w:rsidRPr="00852120">
              <w:rPr>
                <w:rFonts w:cs="Times New Roman"/>
              </w:rPr>
              <w:t>Розвиток інститутів та категорій кримінального права</w:t>
            </w:r>
            <w:bookmarkEnd w:id="9"/>
          </w:p>
          <w:p w14:paraId="0E3757C6" w14:textId="77777777" w:rsidR="008369A4" w:rsidRPr="00852120" w:rsidRDefault="008369A4" w:rsidP="00DF00C7">
            <w:pPr>
              <w:pStyle w:val="1"/>
              <w:ind w:firstLine="669"/>
              <w:rPr>
                <w:rFonts w:cs="Times New Roman"/>
              </w:rPr>
            </w:pPr>
          </w:p>
          <w:p w14:paraId="1ECDD79D" w14:textId="1FC7E5B9" w:rsidR="008369A4" w:rsidRPr="00852120" w:rsidRDefault="008369A4" w:rsidP="00DF00C7">
            <w:pPr>
              <w:spacing w:line="360" w:lineRule="auto"/>
              <w:ind w:firstLine="669"/>
            </w:pPr>
            <w:r w:rsidRPr="00852120">
              <w:t xml:space="preserve">Проблема з якою </w:t>
            </w:r>
            <w:r w:rsidR="001D2A6A" w:rsidRPr="00852120">
              <w:t>зіштовхуються</w:t>
            </w:r>
            <w:r w:rsidRPr="00852120">
              <w:t xml:space="preserve"> сучасні теоретики кримінального права - фатальна підтримка стабільності індетерміністьскої моделі, яка штовхається з усіх боків, оскільки природний детермінізм особистої поведінки суперечить біхеівористським  нормативним встановленням визначення винності особи через суб’єктивне інкримінування. </w:t>
            </w:r>
          </w:p>
          <w:p w14:paraId="59D5737B" w14:textId="77777777" w:rsidR="008369A4" w:rsidRPr="00852120" w:rsidRDefault="008369A4" w:rsidP="00DF00C7">
            <w:pPr>
              <w:spacing w:line="360" w:lineRule="auto"/>
              <w:ind w:firstLine="669"/>
            </w:pPr>
            <w:r w:rsidRPr="00852120">
              <w:t xml:space="preserve">Саме факти об’єктивного інкримінування у складах злочинів із подвійною формою вини, у деяких бланкетних нормах  свідчать про поширення думки про каузальність людської поведінки.  </w:t>
            </w:r>
          </w:p>
          <w:p w14:paraId="6CBC2087" w14:textId="77777777" w:rsidR="008369A4" w:rsidRPr="00852120" w:rsidRDefault="008369A4" w:rsidP="00DF00C7">
            <w:pPr>
              <w:spacing w:line="360" w:lineRule="auto"/>
              <w:ind w:firstLine="669"/>
            </w:pPr>
            <w:r w:rsidRPr="00852120">
              <w:t xml:space="preserve">Але це суперечить сутності моделі кримінально-правового захисту через адекватне покарання винних. </w:t>
            </w:r>
          </w:p>
          <w:p w14:paraId="0838DC00" w14:textId="77777777" w:rsidR="008369A4" w:rsidRPr="00852120" w:rsidRDefault="008369A4" w:rsidP="00DF00C7">
            <w:pPr>
              <w:spacing w:line="360" w:lineRule="auto"/>
              <w:ind w:firstLine="669"/>
            </w:pPr>
            <w:r w:rsidRPr="00852120">
              <w:t xml:space="preserve">Іншою мовою: індивідуалізація покарання базується на характеристиках діяння винної особи і саме діяння є основою вибору межі покарання.  Спеціальні механізми кримінально-правового впливу (заходи безпеки, компенсації, соціального захисту) не відпрацьовують, оскільки існує проблема із адекватним узгодженням каральної сутності цих заходів із ступенем суспільної небезпеки винної особи та потребами жертви злочину. Доречи вільне застосування каральних заходів безпеки для мети терору  у 30 рр. 20 століття надало негативного розуміння  та оцінки цих заходів у доктрині сьогодення. </w:t>
            </w:r>
          </w:p>
          <w:p w14:paraId="085C9058" w14:textId="77777777" w:rsidR="008369A4" w:rsidRPr="00852120" w:rsidRDefault="008369A4" w:rsidP="00DF00C7">
            <w:pPr>
              <w:spacing w:line="360" w:lineRule="auto"/>
              <w:ind w:firstLine="669"/>
            </w:pPr>
            <w:r w:rsidRPr="00852120">
              <w:t xml:space="preserve">Суд визнає особу винною у скоєнні злочину та визначає адекватне покарання. Але суд чи у деяких випадках адміністративний орган (адміністративний нагляд, видворення за межі держави, наприклад) може уже зараз зробити висновок про шкідливість (кримінальність) самої людини (кримінальне минуле), її стану(біологічні ознаки), статусу (правові характеристики) із застосуванням окремих примусових заходів, що по суті співпадають із заходами безпеки та соціального захисту, які визнаються такими в інших юрисдикціях Європи.  </w:t>
            </w:r>
          </w:p>
          <w:p w14:paraId="621A371D" w14:textId="5DF5DC52" w:rsidR="008369A4" w:rsidRPr="00852120" w:rsidRDefault="008369A4" w:rsidP="00DF00C7">
            <w:pPr>
              <w:spacing w:line="360" w:lineRule="auto"/>
              <w:ind w:firstLine="669"/>
            </w:pPr>
            <w:r w:rsidRPr="00852120">
              <w:t>Наприкінці ідея свободи волі особистості не корелює із неосвідомлюємим психічним, елементів якого за умов тотальної кризи встановлюється усе більше у суспільстві та індивідуальній поведінці особистості. Доречи призови до використання жорстких видів покарання (хімічна кастрація, стерилізація) до певних категорій злочинців (сексуальні збочинці, педофіли) саме пов’язано із розумінням небезпеки рецидиву з боку кримінальних особистост</w:t>
            </w:r>
            <w:r w:rsidR="001D2A6A">
              <w:t>е</w:t>
            </w:r>
            <w:r w:rsidRPr="00852120">
              <w:t>й  із своєрідними стереотипами та паттернами.</w:t>
            </w:r>
          </w:p>
          <w:p w14:paraId="22C147C0" w14:textId="1C97FD88" w:rsidR="008369A4" w:rsidRDefault="008369A4" w:rsidP="00DF00C7">
            <w:pPr>
              <w:spacing w:line="360" w:lineRule="auto"/>
              <w:ind w:firstLine="669"/>
            </w:pPr>
            <w:r w:rsidRPr="00852120">
              <w:t xml:space="preserve">Звідси проблема порушення прав людини у кримінально-правовій догмі змінюється на проблему адекватності захисту цих прав традиційними засобами кримінально-правового реагування. В ідеалі ми </w:t>
            </w:r>
            <w:r w:rsidR="001D2A6A" w:rsidRPr="00852120">
              <w:t>зіштовхуємося</w:t>
            </w:r>
            <w:r w:rsidRPr="00852120">
              <w:t xml:space="preserve"> із трьома базовими елементами, які сучасна кримінально-правова доктрина використовує, але не завжди описує (злочин, злочинність, кримінальність). Завдання саме і належить у адекватному формулюванні кримінально-правових заборон та відповідних державних реакцій на ці явища за допомогою кримінально-правових інститутів. Схематично це може бути виявлено у наступній формі</w:t>
            </w:r>
          </w:p>
          <w:p w14:paraId="2D77C972" w14:textId="77777777" w:rsidR="00CC65A7" w:rsidRDefault="00CC65A7" w:rsidP="00DF00C7">
            <w:pPr>
              <w:spacing w:line="360" w:lineRule="auto"/>
              <w:ind w:firstLine="669"/>
            </w:pPr>
          </w:p>
          <w:p w14:paraId="7B0B4B05" w14:textId="77777777" w:rsidR="00CC65A7" w:rsidRPr="00852120" w:rsidRDefault="00CC65A7" w:rsidP="00DF00C7">
            <w:pPr>
              <w:spacing w:line="360" w:lineRule="auto"/>
              <w:ind w:firstLine="669"/>
            </w:pPr>
          </w:p>
          <w:tbl>
            <w:tblPr>
              <w:tblStyle w:val="a3"/>
              <w:tblW w:w="0" w:type="auto"/>
              <w:tblLayout w:type="fixed"/>
              <w:tblLook w:val="01E0" w:firstRow="1" w:lastRow="1" w:firstColumn="1" w:lastColumn="1" w:noHBand="0" w:noVBand="0"/>
            </w:tblPr>
            <w:tblGrid>
              <w:gridCol w:w="4927"/>
              <w:gridCol w:w="4927"/>
            </w:tblGrid>
            <w:tr w:rsidR="008369A4" w:rsidRPr="00852120" w14:paraId="5E7465EC" w14:textId="77777777" w:rsidTr="001E2D5E">
              <w:tc>
                <w:tcPr>
                  <w:tcW w:w="4927" w:type="dxa"/>
                </w:tcPr>
                <w:p w14:paraId="6BEA6006" w14:textId="77777777" w:rsidR="008369A4" w:rsidRPr="00852120" w:rsidRDefault="008369A4" w:rsidP="00DF00C7">
                  <w:pPr>
                    <w:spacing w:line="360" w:lineRule="auto"/>
                    <w:ind w:firstLine="669"/>
                    <w:jc w:val="center"/>
                  </w:pPr>
                  <w:r w:rsidRPr="00852120">
                    <w:t>Вид явища</w:t>
                  </w:r>
                </w:p>
              </w:tc>
              <w:tc>
                <w:tcPr>
                  <w:tcW w:w="4927" w:type="dxa"/>
                </w:tcPr>
                <w:p w14:paraId="1972A6C4" w14:textId="77777777" w:rsidR="008369A4" w:rsidRPr="00852120" w:rsidRDefault="008369A4" w:rsidP="00DF00C7">
                  <w:pPr>
                    <w:spacing w:line="360" w:lineRule="auto"/>
                    <w:ind w:firstLine="669"/>
                    <w:jc w:val="center"/>
                  </w:pPr>
                  <w:r w:rsidRPr="00852120">
                    <w:t>Державна реакція</w:t>
                  </w:r>
                </w:p>
              </w:tc>
            </w:tr>
            <w:tr w:rsidR="008369A4" w:rsidRPr="00852120" w14:paraId="5842FD31" w14:textId="77777777" w:rsidTr="001E2D5E">
              <w:tc>
                <w:tcPr>
                  <w:tcW w:w="4927" w:type="dxa"/>
                </w:tcPr>
                <w:p w14:paraId="3276FBD5" w14:textId="77777777" w:rsidR="008369A4" w:rsidRPr="00852120" w:rsidRDefault="008369A4" w:rsidP="00DF00C7">
                  <w:pPr>
                    <w:spacing w:line="360" w:lineRule="auto"/>
                    <w:ind w:firstLine="669"/>
                    <w:jc w:val="center"/>
                  </w:pPr>
                  <w:r w:rsidRPr="00852120">
                    <w:t>Суспільно-небезпечне діяння</w:t>
                  </w:r>
                </w:p>
              </w:tc>
              <w:tc>
                <w:tcPr>
                  <w:tcW w:w="4927" w:type="dxa"/>
                </w:tcPr>
                <w:p w14:paraId="19A7DFD7" w14:textId="77777777" w:rsidR="008369A4" w:rsidRPr="00852120" w:rsidRDefault="008369A4" w:rsidP="00DF00C7">
                  <w:pPr>
                    <w:spacing w:line="360" w:lineRule="auto"/>
                    <w:ind w:firstLine="669"/>
                    <w:jc w:val="center"/>
                  </w:pPr>
                  <w:r w:rsidRPr="00852120">
                    <w:t>Захід соціального захисту</w:t>
                  </w:r>
                </w:p>
              </w:tc>
            </w:tr>
            <w:tr w:rsidR="008369A4" w:rsidRPr="00852120" w14:paraId="7DD0640C" w14:textId="77777777" w:rsidTr="001E2D5E">
              <w:tc>
                <w:tcPr>
                  <w:tcW w:w="4927" w:type="dxa"/>
                </w:tcPr>
                <w:p w14:paraId="1CF82296" w14:textId="77777777" w:rsidR="008369A4" w:rsidRPr="00852120" w:rsidRDefault="008369A4" w:rsidP="00DF00C7">
                  <w:pPr>
                    <w:spacing w:line="360" w:lineRule="auto"/>
                    <w:ind w:firstLine="669"/>
                    <w:jc w:val="center"/>
                  </w:pPr>
                  <w:r w:rsidRPr="00852120">
                    <w:t>Кримінальний проступок</w:t>
                  </w:r>
                </w:p>
              </w:tc>
              <w:tc>
                <w:tcPr>
                  <w:tcW w:w="4927" w:type="dxa"/>
                </w:tcPr>
                <w:p w14:paraId="7653898A" w14:textId="77777777" w:rsidR="008369A4" w:rsidRPr="00852120" w:rsidRDefault="008369A4" w:rsidP="00DF00C7">
                  <w:pPr>
                    <w:spacing w:line="360" w:lineRule="auto"/>
                    <w:ind w:firstLine="669"/>
                    <w:jc w:val="center"/>
                  </w:pPr>
                  <w:r w:rsidRPr="00852120">
                    <w:t>Захід безпеки, альтернативні заходи</w:t>
                  </w:r>
                </w:p>
              </w:tc>
            </w:tr>
            <w:tr w:rsidR="008369A4" w:rsidRPr="00852120" w14:paraId="0AB60CAE" w14:textId="77777777" w:rsidTr="001E2D5E">
              <w:tc>
                <w:tcPr>
                  <w:tcW w:w="4927" w:type="dxa"/>
                </w:tcPr>
                <w:p w14:paraId="3E9B165F" w14:textId="77777777" w:rsidR="008369A4" w:rsidRPr="00852120" w:rsidRDefault="008369A4" w:rsidP="00DF00C7">
                  <w:pPr>
                    <w:spacing w:line="360" w:lineRule="auto"/>
                    <w:ind w:firstLine="669"/>
                    <w:jc w:val="center"/>
                  </w:pPr>
                  <w:r w:rsidRPr="00852120">
                    <w:t>Кримінальність особи</w:t>
                  </w:r>
                </w:p>
              </w:tc>
              <w:tc>
                <w:tcPr>
                  <w:tcW w:w="4927" w:type="dxa"/>
                </w:tcPr>
                <w:p w14:paraId="5EB617A5" w14:textId="77777777" w:rsidR="008369A4" w:rsidRPr="00852120" w:rsidRDefault="008369A4" w:rsidP="00DF00C7">
                  <w:pPr>
                    <w:spacing w:line="360" w:lineRule="auto"/>
                    <w:ind w:firstLine="669"/>
                    <w:jc w:val="center"/>
                  </w:pPr>
                  <w:r w:rsidRPr="00852120">
                    <w:t>Захід безпеки</w:t>
                  </w:r>
                </w:p>
              </w:tc>
            </w:tr>
            <w:tr w:rsidR="008369A4" w:rsidRPr="00852120" w14:paraId="0110266A" w14:textId="77777777" w:rsidTr="001E2D5E">
              <w:tc>
                <w:tcPr>
                  <w:tcW w:w="4927" w:type="dxa"/>
                </w:tcPr>
                <w:p w14:paraId="05112CBB" w14:textId="77777777" w:rsidR="008369A4" w:rsidRPr="00852120" w:rsidRDefault="008369A4" w:rsidP="00DF00C7">
                  <w:pPr>
                    <w:spacing w:line="360" w:lineRule="auto"/>
                    <w:ind w:firstLine="669"/>
                    <w:jc w:val="center"/>
                  </w:pPr>
                  <w:r w:rsidRPr="00852120">
                    <w:t>Злочин</w:t>
                  </w:r>
                </w:p>
              </w:tc>
              <w:tc>
                <w:tcPr>
                  <w:tcW w:w="4927" w:type="dxa"/>
                </w:tcPr>
                <w:p w14:paraId="7EEDBA47" w14:textId="77777777" w:rsidR="008369A4" w:rsidRPr="00852120" w:rsidRDefault="008369A4" w:rsidP="00DF00C7">
                  <w:pPr>
                    <w:spacing w:line="360" w:lineRule="auto"/>
                    <w:ind w:firstLine="669"/>
                    <w:jc w:val="center"/>
                  </w:pPr>
                  <w:r w:rsidRPr="00852120">
                    <w:t>Покарання, компенсаційні заходи</w:t>
                  </w:r>
                </w:p>
              </w:tc>
            </w:tr>
            <w:tr w:rsidR="008369A4" w:rsidRPr="00852120" w14:paraId="3B1FCCC3" w14:textId="77777777" w:rsidTr="001E2D5E">
              <w:tc>
                <w:tcPr>
                  <w:tcW w:w="4927" w:type="dxa"/>
                </w:tcPr>
                <w:p w14:paraId="639E6448" w14:textId="77777777" w:rsidR="008369A4" w:rsidRPr="00852120" w:rsidRDefault="008369A4" w:rsidP="00DF00C7">
                  <w:pPr>
                    <w:spacing w:line="360" w:lineRule="auto"/>
                    <w:ind w:firstLine="669"/>
                    <w:jc w:val="center"/>
                  </w:pPr>
                  <w:r w:rsidRPr="00852120">
                    <w:t>Злочинність</w:t>
                  </w:r>
                </w:p>
              </w:tc>
              <w:tc>
                <w:tcPr>
                  <w:tcW w:w="4927" w:type="dxa"/>
                </w:tcPr>
                <w:p w14:paraId="4E7A0BB4" w14:textId="77777777" w:rsidR="008369A4" w:rsidRPr="00852120" w:rsidRDefault="008369A4" w:rsidP="00DF00C7">
                  <w:pPr>
                    <w:spacing w:line="360" w:lineRule="auto"/>
                    <w:ind w:firstLine="669"/>
                    <w:jc w:val="center"/>
                  </w:pPr>
                  <w:r w:rsidRPr="00852120">
                    <w:t>Коло кримінально-правових заборон у цілому</w:t>
                  </w:r>
                </w:p>
              </w:tc>
            </w:tr>
          </w:tbl>
          <w:p w14:paraId="4DFF1C8C" w14:textId="77777777" w:rsidR="008369A4" w:rsidRPr="00852120" w:rsidRDefault="008369A4" w:rsidP="00DF00C7">
            <w:pPr>
              <w:spacing w:line="360" w:lineRule="auto"/>
              <w:ind w:firstLine="669"/>
            </w:pPr>
          </w:p>
          <w:p w14:paraId="4EF6FA2E" w14:textId="2E3A2784" w:rsidR="008369A4" w:rsidRPr="00852120" w:rsidRDefault="008369A4" w:rsidP="00DF00C7">
            <w:pPr>
              <w:spacing w:line="360" w:lineRule="auto"/>
              <w:ind w:firstLine="669"/>
            </w:pPr>
            <w:r w:rsidRPr="00852120">
              <w:t>Отже, системна криза кримінального права пов’язана із остаточною невизначеністю відповіді на питання що, як та яким чином ми захища</w:t>
            </w:r>
            <w:r w:rsidR="009054DF" w:rsidRPr="00852120">
              <w:t>є</w:t>
            </w:r>
            <w:r w:rsidRPr="00852120">
              <w:t xml:space="preserve">мо?  </w:t>
            </w:r>
          </w:p>
          <w:p w14:paraId="73E88FF3" w14:textId="77777777" w:rsidR="008369A4" w:rsidRPr="00852120" w:rsidRDefault="008369A4" w:rsidP="00DF00C7">
            <w:pPr>
              <w:spacing w:line="360" w:lineRule="auto"/>
              <w:ind w:firstLine="669"/>
            </w:pPr>
            <w:r w:rsidRPr="00852120">
              <w:t>Щодо конкретних суперечностей діалектики розвитку кримінального права як системи норм про злочини та соціальну реакцію на них, то серед них  як перспективних напрямків подолання глибинної кризи догматів, слід зазначити:</w:t>
            </w:r>
          </w:p>
          <w:p w14:paraId="3BE743EE" w14:textId="77777777" w:rsidR="008369A4" w:rsidRPr="00852120" w:rsidRDefault="008369A4" w:rsidP="00DF00C7">
            <w:pPr>
              <w:numPr>
                <w:ilvl w:val="0"/>
                <w:numId w:val="20"/>
              </w:numPr>
              <w:tabs>
                <w:tab w:val="clear" w:pos="1833"/>
                <w:tab w:val="num" w:pos="742"/>
              </w:tabs>
              <w:spacing w:line="360" w:lineRule="auto"/>
              <w:ind w:left="33" w:firstLine="669"/>
            </w:pPr>
            <w:r w:rsidRPr="00852120">
              <w:t>Суперечність між каральною сутністю кримінальної політики та ступенем її узгодженості із суспільною думкою та суспільною свідомістю. Орієнтація кримінального законодавства на передбачені конституцією об’єкти та пріоритети захисту не співпадає із поширеністю порушень кримінально-правових заборон у суспільстві, що надає можливості впливу на кримінальну політику (через замовлення  у  законотворчому процесі криміналізації/декриміналізації), на процесуальні функції тощо. До того ж народ як замовник стабільної влади у зневірі до держави локально формує самостійні механізми реагування на злочинність (від індивідуальної помсти та самосудів, до громадського осуду та процедур реституції). Державна інтервенція у сфері застосування кримінальної кари змінюється суспільною. І ми зараз як раз стоїмо на порозі останньої.</w:t>
            </w:r>
          </w:p>
          <w:p w14:paraId="3225D59B" w14:textId="3BA691F9" w:rsidR="008369A4" w:rsidRPr="00852120" w:rsidRDefault="008369A4" w:rsidP="00DF00C7">
            <w:pPr>
              <w:numPr>
                <w:ilvl w:val="0"/>
                <w:numId w:val="20"/>
              </w:numPr>
              <w:tabs>
                <w:tab w:val="clear" w:pos="1833"/>
                <w:tab w:val="num" w:pos="742"/>
              </w:tabs>
              <w:spacing w:line="360" w:lineRule="auto"/>
              <w:ind w:left="33" w:firstLine="669"/>
            </w:pPr>
            <w:r w:rsidRPr="00852120">
              <w:t>Суперечності між конституційно встановленими зразками об’єктів кримінально-правового захисту та процесуальними формами реал</w:t>
            </w:r>
            <w:r w:rsidR="009054DF" w:rsidRPr="00852120">
              <w:t>і</w:t>
            </w:r>
            <w:r w:rsidRPr="00852120">
              <w:t>зації такого захисту. Кримінальне право існує не тільки в системі норм – воно конкретно пов’язане із механізмом правореал</w:t>
            </w:r>
            <w:r w:rsidR="009054DF" w:rsidRPr="00852120">
              <w:t>і</w:t>
            </w:r>
            <w:r w:rsidRPr="00852120">
              <w:t>зації. Проте саме неможливість процесуального встановлення істини по справі є результатом існування прогалин у жорстко сформульованій диспозиції кримінально-правової норми, яка не в</w:t>
            </w:r>
            <w:r w:rsidR="009054DF" w:rsidRPr="00852120">
              <w:t xml:space="preserve"> </w:t>
            </w:r>
            <w:r w:rsidRPr="00852120">
              <w:t>змозі пояснити адресату як і яким чином повинна бути покараною винна особа. Прикладом можуть служити прогалини в регулюванні відносин у галузі інформаційних та інших новітніх технологій, оскільки саме неадекватна реакція законодавця не надала можливості запрацювати цим нормам у повну силу.</w:t>
            </w:r>
          </w:p>
          <w:p w14:paraId="70807478" w14:textId="32EF305A" w:rsidR="008369A4" w:rsidRPr="00852120" w:rsidRDefault="008369A4" w:rsidP="00DF00C7">
            <w:pPr>
              <w:numPr>
                <w:ilvl w:val="0"/>
                <w:numId w:val="20"/>
              </w:numPr>
              <w:tabs>
                <w:tab w:val="clear" w:pos="1833"/>
                <w:tab w:val="num" w:pos="742"/>
              </w:tabs>
              <w:spacing w:line="360" w:lineRule="auto"/>
              <w:ind w:left="33" w:firstLine="669"/>
            </w:pPr>
            <w:r w:rsidRPr="00852120">
              <w:t>Суперечності між публічно-правовим характером ідеології державного примусу та індивідуальною формою реал</w:t>
            </w:r>
            <w:r w:rsidR="009054DF" w:rsidRPr="00852120">
              <w:t>і</w:t>
            </w:r>
            <w:r w:rsidRPr="00852120">
              <w:t>зації кримінальної відповідальності, за якої проблематика взаємної відповідальності, кримінальної відповідальності держави, соціальних спільнот, юридичних осіб не констатується загалом, чи визнається недоречною за умов відсутності історичної наступності у догмі. Це, за умов відносної неефективності кари, призводить до поширення приватно-правових начал у кримінальному праві, які за всілякої підтримки все ж таки розмивають сутність регулювання. Централізація примусу змінюється реституцією та компенсацією (див.ст1177 ЦК України), а в подальшому – і криміналізацією діяльності з урахуванням виключно інтересів потерпілих (фізичних та юридичних осіб, соціальних спільнот).</w:t>
            </w:r>
          </w:p>
          <w:p w14:paraId="0B0125A5" w14:textId="234A1EE0" w:rsidR="008369A4" w:rsidRPr="00852120" w:rsidRDefault="008369A4" w:rsidP="00DF00C7">
            <w:pPr>
              <w:numPr>
                <w:ilvl w:val="0"/>
                <w:numId w:val="20"/>
              </w:numPr>
              <w:tabs>
                <w:tab w:val="clear" w:pos="1833"/>
                <w:tab w:val="num" w:pos="742"/>
              </w:tabs>
              <w:spacing w:line="360" w:lineRule="auto"/>
              <w:ind w:left="33" w:firstLine="669"/>
            </w:pPr>
            <w:r w:rsidRPr="00852120">
              <w:t>Протиріччя між формальною визначеністю кримінально-правової заборони та віртуальністю (розмитістю) її застосування. Справа не тільк</w:t>
            </w:r>
            <w:r w:rsidR="001E2D5E" w:rsidRPr="00852120">
              <w:t>и</w:t>
            </w:r>
            <w:r w:rsidRPr="00852120">
              <w:t xml:space="preserve"> в латентн</w:t>
            </w:r>
            <w:r w:rsidR="001E2D5E" w:rsidRPr="00852120">
              <w:t>о</w:t>
            </w:r>
            <w:r w:rsidRPr="00852120">
              <w:t>сті злочинів, справа ще й усвідомленні населенням (чи певною його частиною) саме заборон як потенційного керівництва до дій. Кримінальні практики не є елементом правового аналізу – це основа кримінального чи псевдокримінального зас</w:t>
            </w:r>
            <w:r w:rsidR="001E2D5E" w:rsidRPr="00852120">
              <w:t>о</w:t>
            </w:r>
            <w:r w:rsidRPr="00852120">
              <w:t xml:space="preserve">бу життя. Зловживання правом на ризик існує як елемент розвитку більшості шахрайських практик (реалізація засобів для схуднення, для боротьби із </w:t>
            </w:r>
            <w:r w:rsidR="001E2D5E" w:rsidRPr="00852120">
              <w:t>алопецією</w:t>
            </w:r>
            <w:r w:rsidRPr="00852120">
              <w:t>, телемаркетинг, мережевий маркетинг – не будучи злочинами е формою кримінальних практик). Але… До</w:t>
            </w:r>
            <w:r w:rsidR="009054DF" w:rsidRPr="00852120">
              <w:t xml:space="preserve"> </w:t>
            </w:r>
            <w:r w:rsidRPr="00852120">
              <w:t>реч</w:t>
            </w:r>
            <w:r w:rsidR="009054DF" w:rsidRPr="00852120">
              <w:t>і</w:t>
            </w:r>
            <w:r w:rsidRPr="00852120">
              <w:t xml:space="preserve"> не пізнаних та не реалізованих у формальних заборонах. Культура злочину та зловживання правом повинна стати таким же елементом досліджень як і культура  поведінки  у суспільних ділянках. Саме моральна невизначеність заборони нівелює якість кримінального закону.</w:t>
            </w:r>
          </w:p>
          <w:p w14:paraId="460DDCC5" w14:textId="5A7608B9" w:rsidR="008369A4" w:rsidRPr="00852120" w:rsidRDefault="008369A4" w:rsidP="00DF00C7">
            <w:pPr>
              <w:numPr>
                <w:ilvl w:val="0"/>
                <w:numId w:val="20"/>
              </w:numPr>
              <w:tabs>
                <w:tab w:val="clear" w:pos="1833"/>
                <w:tab w:val="num" w:pos="742"/>
              </w:tabs>
              <w:spacing w:line="360" w:lineRule="auto"/>
              <w:ind w:left="33" w:firstLine="669"/>
            </w:pPr>
            <w:r w:rsidRPr="00852120">
              <w:t xml:space="preserve">Суперечність між екстра-кримінальним правом (міжнародне та міждержавне кримінальне право) та локальними правовими системами, пов’язане не тільки з реалізацією  принципів наднаціонального </w:t>
            </w:r>
            <w:r w:rsidR="001D2A6A">
              <w:t>поза</w:t>
            </w:r>
            <w:r w:rsidRPr="00852120">
              <w:t>конституційного кримінально-правового захисту але й з ідеологією суверенності кари.</w:t>
            </w:r>
          </w:p>
          <w:p w14:paraId="1217B6EC" w14:textId="77777777" w:rsidR="00ED250F" w:rsidRPr="00852120" w:rsidRDefault="00ED250F" w:rsidP="00DF00C7">
            <w:pPr>
              <w:ind w:firstLine="669"/>
            </w:pPr>
          </w:p>
          <w:p w14:paraId="3D269EDC" w14:textId="343C002E" w:rsidR="0035042F" w:rsidRPr="00852120" w:rsidRDefault="0035042F" w:rsidP="00DF00C7">
            <w:pPr>
              <w:pStyle w:val="af4"/>
              <w:ind w:left="896" w:firstLine="669"/>
            </w:pPr>
          </w:p>
        </w:tc>
      </w:tr>
      <w:tr w:rsidR="0035042F" w:rsidRPr="00852120" w14:paraId="4909A0BA" w14:textId="77777777" w:rsidTr="00ED6F4C">
        <w:trPr>
          <w:trHeight w:val="320"/>
        </w:trPr>
        <w:tc>
          <w:tcPr>
            <w:tcW w:w="10207" w:type="dxa"/>
            <w:vAlign w:val="bottom"/>
          </w:tcPr>
          <w:p w14:paraId="30C9FA22" w14:textId="0A602406" w:rsidR="0035042F" w:rsidRPr="00852120" w:rsidRDefault="0035042F" w:rsidP="00DF00C7">
            <w:pPr>
              <w:pStyle w:val="1"/>
              <w:numPr>
                <w:ilvl w:val="0"/>
                <w:numId w:val="20"/>
              </w:numPr>
              <w:ind w:firstLine="669"/>
              <w:rPr>
                <w:rFonts w:cs="Times New Roman"/>
              </w:rPr>
            </w:pPr>
            <w:bookmarkStart w:id="10" w:name="_Toc147652533"/>
            <w:r w:rsidRPr="00852120">
              <w:rPr>
                <w:rFonts w:cs="Times New Roman"/>
              </w:rPr>
              <w:t>Проект нового КК України: pro et contra</w:t>
            </w:r>
            <w:bookmarkEnd w:id="10"/>
            <w:r w:rsidRPr="00852120">
              <w:rPr>
                <w:rFonts w:cs="Times New Roman"/>
              </w:rPr>
              <w:t xml:space="preserve"> </w:t>
            </w:r>
          </w:p>
          <w:p w14:paraId="2CA7F500" w14:textId="77777777" w:rsidR="008F5611" w:rsidRPr="00852120" w:rsidRDefault="008F5611" w:rsidP="00DF00C7">
            <w:pPr>
              <w:pStyle w:val="1"/>
              <w:ind w:firstLine="669"/>
              <w:rPr>
                <w:rFonts w:cs="Times New Roman"/>
              </w:rPr>
            </w:pPr>
          </w:p>
          <w:p w14:paraId="53CD3624" w14:textId="6FB5F2F1" w:rsidR="008369A4" w:rsidRPr="00852120" w:rsidRDefault="008F5611" w:rsidP="001A088F">
            <w:pPr>
              <w:pStyle w:val="1-21"/>
              <w:spacing w:line="360" w:lineRule="auto"/>
              <w:ind w:left="0" w:firstLine="0"/>
            </w:pPr>
            <w:r w:rsidRPr="00852120">
              <w:t xml:space="preserve">У </w:t>
            </w:r>
            <w:r w:rsidR="008369A4" w:rsidRPr="00852120">
              <w:t>сучасних умовах динаміка кримінального права визначає характеристику постійного становлення та розвитку, відтворення кримінально-правових заборон на законодавчому та індивідуальному рівнях.</w:t>
            </w:r>
            <w:r w:rsidR="001A088F">
              <w:t xml:space="preserve"> </w:t>
            </w:r>
            <w:r w:rsidR="008369A4" w:rsidRPr="00852120">
              <w:t>При чому вже зазначалося раніше, що цей процес знаходиться у розвитку відповідно двом концептам: формування кримінально-правового хаосу та нейтралізації останнього шляхом кардинальних (чи інтерпретаційних) змін у правовому регулюванні.</w:t>
            </w:r>
          </w:p>
          <w:p w14:paraId="02A2E7B6" w14:textId="77777777" w:rsidR="008369A4" w:rsidRPr="00852120" w:rsidRDefault="008369A4" w:rsidP="00DF00C7">
            <w:pPr>
              <w:pStyle w:val="1-21"/>
              <w:spacing w:line="360" w:lineRule="auto"/>
              <w:ind w:firstLine="669"/>
            </w:pPr>
            <w:r w:rsidRPr="00852120">
              <w:t xml:space="preserve">З цього боку формування кримінально-правового хаосу є невід'ємною частиною розвитку взаємодії між кримінальним правом та суспільством за умов динамічних та не завжди послідовних змін у системі кримінально-правового реагування, що відображують очікування керуючої еліти та потреби суспільства. </w:t>
            </w:r>
          </w:p>
          <w:p w14:paraId="16BE10A5" w14:textId="37EDEA6D" w:rsidR="008369A4" w:rsidRPr="00852120" w:rsidRDefault="008369A4" w:rsidP="001A088F">
            <w:pPr>
              <w:pStyle w:val="1-21"/>
              <w:spacing w:line="360" w:lineRule="auto"/>
              <w:ind w:left="0" w:firstLine="0"/>
            </w:pPr>
            <w:r w:rsidRPr="00852120">
              <w:t xml:space="preserve">Саме розуміння злочину та злочинного є певною </w:t>
            </w:r>
            <w:r w:rsidR="001E2D5E" w:rsidRPr="00852120">
              <w:t>предтечою</w:t>
            </w:r>
            <w:r w:rsidRPr="00852120">
              <w:t xml:space="preserve"> девіантної поведінки, оскільки частота розповсюдженості правопорушення та його моральна дозволеність для громадян роблять неефективною будь-яку кримінальну заборону. Саме це протиріччя є основою, наприклад, масової готовності до несплати податків та зборів, та безлічі інших, насамперед економічних правопорушень.</w:t>
            </w:r>
            <w:r w:rsidR="001A088F">
              <w:t xml:space="preserve"> </w:t>
            </w:r>
            <w:r w:rsidRPr="00852120">
              <w:t>Зростання девіантної поведінки поруч із зловживаннями правом є, на жаль, нормою у сучасному суспільстві. Патологічним становиться послідовне виконання правових заборон. В остаточному вигляді справа буде йти про розповсюдженість злочинної поведінки, як такої що дозволяється більшістю суспільства, що приводить до тотального колапсу інститутів влади та громадянського суспільства (криміналізації суспільства – В.</w:t>
            </w:r>
            <w:r w:rsidR="001E2D5E" w:rsidRPr="00852120">
              <w:t xml:space="preserve"> </w:t>
            </w:r>
            <w:r w:rsidRPr="00852120">
              <w:t>М. Дрьомін).</w:t>
            </w:r>
          </w:p>
          <w:p w14:paraId="14915865" w14:textId="77777777" w:rsidR="008369A4" w:rsidRPr="00852120" w:rsidRDefault="008369A4" w:rsidP="00DF00C7">
            <w:pPr>
              <w:pStyle w:val="1-21"/>
              <w:spacing w:line="360" w:lineRule="auto"/>
              <w:ind w:firstLine="669"/>
            </w:pPr>
            <w:r w:rsidRPr="00852120">
              <w:t>Доказом такої динамічності кримінальної політики, що забезпечує хаос правової регуляції кримінально-правових відносин, є тенденції неузгодженого з потребами практики внесення змін та доповнень до діючого КК (категоризація злочинів), введення інституту кримінальних проступків по перше до  нового КПК України, без відповідного вирішення питання у матеріальному праві, що нівелює принцип стабільності кримінально-правових відносин та послідовності законотворчої діяльності.</w:t>
            </w:r>
          </w:p>
          <w:p w14:paraId="26F8D4FD" w14:textId="77777777" w:rsidR="008369A4" w:rsidRPr="00852120" w:rsidRDefault="008369A4" w:rsidP="001A088F">
            <w:pPr>
              <w:pStyle w:val="1-21"/>
              <w:spacing w:line="360" w:lineRule="auto"/>
              <w:ind w:left="0" w:firstLine="0"/>
            </w:pPr>
            <w:r w:rsidRPr="00852120">
              <w:t>У такому контексті кримінально-правове забезпечення соціального та економічного сталого розвитку держави, суспільства, особистості насправді уявляється соціо-політичною фікцією, а не принципом кримінальної політики держави.</w:t>
            </w:r>
          </w:p>
          <w:p w14:paraId="330FAD87" w14:textId="77777777" w:rsidR="008369A4" w:rsidRPr="00852120" w:rsidRDefault="008369A4" w:rsidP="00DF00C7">
            <w:pPr>
              <w:pStyle w:val="1-21"/>
              <w:spacing w:line="360" w:lineRule="auto"/>
              <w:ind w:firstLine="669"/>
            </w:pPr>
            <w:r w:rsidRPr="00852120">
              <w:t>З другого боку просте арифметичне збільшення кількості заборон веде до дестабілізації правового буття, а отже, - до необхідності майбутнього прийняття нової редакції кримінально-правової норми в цілому.</w:t>
            </w:r>
          </w:p>
          <w:p w14:paraId="17AC5CE5" w14:textId="6F9C90ED" w:rsidR="008369A4" w:rsidRPr="00852120" w:rsidRDefault="008369A4" w:rsidP="001A088F">
            <w:pPr>
              <w:pStyle w:val="1-21"/>
              <w:spacing w:line="360" w:lineRule="auto"/>
              <w:ind w:left="0" w:firstLine="0"/>
            </w:pPr>
            <w:r w:rsidRPr="00852120">
              <w:t>Віра в ефективність кримінально-правової заборони наче віра у доброго царя. Життя ж надає інший досвід. Безліч заборон розрахована на населення та правозастосовувачів у цілому, але більшість злочинів скоюють кримінально активні 10 відсотків пересічних громадян. Прошарок, що залишився - не реагує на заборони, оскільки не бачить у такій поведінці певного сенсу, та й не розуміє характерних рис самих заборон. Суперечність між каральною сутністю кримінальної політики та ступенем її узгодженості із суспільною думкою та суспільною свідомістю є очевидною.</w:t>
            </w:r>
            <w:r w:rsidR="001A088F">
              <w:t xml:space="preserve"> </w:t>
            </w:r>
            <w:r w:rsidRPr="00852120">
              <w:t>До того ж орієнтація кримінального законодавства на передбачені конституцією об’єкти та пріоритети захисту не співпадає із поширеністю та допустимістю порушень кримінально-правових заборон у суспільстві, що надає можливості впливу на кримінальну політику (через замовлення у законотворчому процесі криміналізації/декриміналізації), на процесуальні функції тощо.</w:t>
            </w:r>
          </w:p>
          <w:p w14:paraId="4A747B75" w14:textId="06A75C4A" w:rsidR="008369A4" w:rsidRPr="00852120" w:rsidRDefault="008369A4" w:rsidP="00DF00C7">
            <w:pPr>
              <w:pStyle w:val="1-21"/>
              <w:spacing w:line="360" w:lineRule="auto"/>
              <w:ind w:firstLine="669"/>
            </w:pPr>
            <w:r w:rsidRPr="00852120">
              <w:t xml:space="preserve">Наприклад, під впливом розвитку сучасних корупційних практик, відбуваються певні трансформації в суспільстві, які пов’язані з використанням якостей ресурсів суспільства, пов’язаних з  наданням публічних послуг. </w:t>
            </w:r>
            <w:r w:rsidRPr="00852120">
              <w:rPr>
                <w:color w:val="000000"/>
              </w:rPr>
              <w:t xml:space="preserve">Можливо, </w:t>
            </w:r>
            <w:r w:rsidRPr="00852120">
              <w:t>що кримінальне використання особою своїх повноважень, наданих у зв’язку із здійсненням професійної діяльності (в сфері адміністративній,</w:t>
            </w:r>
            <w:r w:rsidR="001E2D5E" w:rsidRPr="00852120">
              <w:t xml:space="preserve"> </w:t>
            </w:r>
            <w:r w:rsidRPr="00852120">
              <w:t xml:space="preserve">соціальній, з надання правової допомоги, житлово-комунальній, інформаційній, медичній сфері оздоровлення й відпочинку, освітній, транспортній, тощо) є публічною послугою - тобто публічно-владною діяльністю суб’єкту управління, яка пов’язана із виконанням його повноважень та спрямована на забезпечення умов для реалізації суб’єктивних прав фізичної або юридичної особи і здійснювана за її заявою. </w:t>
            </w:r>
          </w:p>
          <w:p w14:paraId="71B10F2B" w14:textId="77777777" w:rsidR="008369A4" w:rsidRPr="00852120" w:rsidRDefault="008369A4" w:rsidP="001A088F">
            <w:pPr>
              <w:pStyle w:val="1-21"/>
              <w:spacing w:line="360" w:lineRule="auto"/>
              <w:ind w:left="0" w:firstLine="0"/>
            </w:pPr>
            <w:r w:rsidRPr="00852120">
              <w:t xml:space="preserve">Саме ці діяння криміналізовано відтепер, виходячи з принципу диференціації кримінальної відповідальності. </w:t>
            </w:r>
            <w:r w:rsidRPr="00852120">
              <w:rPr>
                <w:color w:val="000000"/>
              </w:rPr>
              <w:t xml:space="preserve">Отже можна стверджувати, що в нашій державі існує відокремлений напрямок кримінальної політики </w:t>
            </w:r>
            <w:r w:rsidRPr="00852120">
              <w:t>забезпечення професійної діяльності, пов’язаної з наданням публічних послуг, як відносно самостійного напряму кримінально-правової політики України, під  якою розуміється система заходів, що забезпечують криміналізацію, правозастосування та правореалізацію, та спрямовані на охорону суспільних відносин, які здійснюються в сфері професійної діяльності, пов’язаної з наданням публічних послуг. Проте ефективність цієї політики близька до нулю.</w:t>
            </w:r>
          </w:p>
          <w:p w14:paraId="309FD264" w14:textId="77777777" w:rsidR="008369A4" w:rsidRPr="00852120" w:rsidRDefault="008369A4" w:rsidP="00DF00C7">
            <w:pPr>
              <w:pStyle w:val="1-21"/>
              <w:spacing w:line="360" w:lineRule="auto"/>
              <w:ind w:firstLine="669"/>
            </w:pPr>
            <w:r w:rsidRPr="00852120">
              <w:t>Звідси народ як замовник стабільної влади у зневірі до держави локально формує самостійні механізми реагування на злочинність (від індивідуальної помсти та самосудів, до громадського осуду та процедур реституції). Державна інтервенція у сфері застосування кримінальної кари змінюється суспільною.</w:t>
            </w:r>
          </w:p>
          <w:p w14:paraId="7E572436" w14:textId="77777777" w:rsidR="008369A4" w:rsidRPr="00852120" w:rsidRDefault="008369A4" w:rsidP="001A088F">
            <w:pPr>
              <w:pStyle w:val="1-21"/>
              <w:spacing w:line="360" w:lineRule="auto"/>
              <w:ind w:left="0" w:firstLine="0"/>
            </w:pPr>
            <w:r w:rsidRPr="00852120">
              <w:t>І ми зараз як раз знаходимося саме у цьому процесі, коли масова правотворчість, нехтування писаним правом та заборонами породжують формування акцій опору, протесту, збройних зіткнень…</w:t>
            </w:r>
          </w:p>
          <w:p w14:paraId="70151C4F" w14:textId="77777777" w:rsidR="008369A4" w:rsidRPr="00852120" w:rsidRDefault="008369A4" w:rsidP="00DF00C7">
            <w:pPr>
              <w:pStyle w:val="1-21"/>
              <w:spacing w:line="360" w:lineRule="auto"/>
              <w:ind w:firstLine="669"/>
            </w:pPr>
            <w:r w:rsidRPr="00852120">
              <w:t xml:space="preserve">Так, при забезпеченні охорони громадського порядку й суспільної безпеки в сучасних умовах обов’язком кожної демократичної держави є визначення меж між процесом реалізації політичних прав та свобод, законних інтересів громадян і порушеннями громадського порядку, у тому числі при проведенні масових заходів суспільно-політичними силами й окремими групами громадян. </w:t>
            </w:r>
          </w:p>
          <w:p w14:paraId="74EBE3BA" w14:textId="76A16C9B" w:rsidR="008369A4" w:rsidRPr="00852120" w:rsidRDefault="008F5611" w:rsidP="001A088F">
            <w:pPr>
              <w:pStyle w:val="1-21"/>
              <w:spacing w:line="360" w:lineRule="auto"/>
              <w:ind w:left="0" w:firstLine="0"/>
            </w:pPr>
            <w:r w:rsidRPr="00852120">
              <w:t>В</w:t>
            </w:r>
            <w:r w:rsidR="008369A4" w:rsidRPr="00852120">
              <w:t>ідомо, що ступень довіри населення до публічної влади та формальної реалізації кримінальних правовідносин близьк</w:t>
            </w:r>
            <w:r w:rsidR="001E2D5E" w:rsidRPr="00852120">
              <w:t>і</w:t>
            </w:r>
            <w:r w:rsidR="008369A4" w:rsidRPr="00852120">
              <w:t xml:space="preserve"> до нулю.</w:t>
            </w:r>
          </w:p>
          <w:p w14:paraId="188C5F78" w14:textId="250CC683" w:rsidR="008369A4" w:rsidRPr="00852120" w:rsidRDefault="008369A4" w:rsidP="00DF00C7">
            <w:pPr>
              <w:pStyle w:val="1-21"/>
              <w:spacing w:line="360" w:lineRule="auto"/>
              <w:ind w:firstLine="669"/>
            </w:pPr>
            <w:r w:rsidRPr="00852120">
              <w:t>Практика нашого повсякденного буття свідчить, що  групові (масові, публічні) заходи переростають в акти політичного або іншого (релігійного) екстремізму, самосуди, що створюють загрозу суспільної й державної безпеки, або, навпаки, супроводжуються розгоном маніфестантів, що за певних умов можна кваліфікувати як порушення політичних прав і свобод, принципів і норм міжнародного права прав людини.</w:t>
            </w:r>
          </w:p>
          <w:p w14:paraId="5C372CAC" w14:textId="77777777" w:rsidR="008369A4" w:rsidRPr="00852120" w:rsidRDefault="008369A4" w:rsidP="001A088F">
            <w:pPr>
              <w:pStyle w:val="1-21"/>
              <w:spacing w:line="360" w:lineRule="auto"/>
              <w:ind w:left="0" w:firstLine="0"/>
            </w:pPr>
            <w:r w:rsidRPr="00852120">
              <w:t>З нашої точки зору повстання народу, носія колективних прав людини є радикальним способом реалізації ним свого права на опір та повинне бути реалізованим лише у рамках діючої ст.39 Конституції України, згідно якої "Громадяни мають право збиратися мирно, без зброї й проводити збори, мітинги, походи і демонстрації, про проведення яких завчасно сповіщаються органи виконавчої влади чи органи місцевого самоврядування". </w:t>
            </w:r>
          </w:p>
          <w:p w14:paraId="2EC25EE1" w14:textId="726F12CD" w:rsidR="008369A4" w:rsidRPr="00852120" w:rsidRDefault="008369A4" w:rsidP="00DF00C7">
            <w:pPr>
              <w:pStyle w:val="1-21"/>
              <w:spacing w:line="360" w:lineRule="auto"/>
              <w:ind w:firstLine="669"/>
            </w:pPr>
            <w:r w:rsidRPr="00852120">
              <w:t xml:space="preserve">Професіональна спрямованість кваліфікаційних особливостей правозастосування не може </w:t>
            </w:r>
            <w:r w:rsidR="008F5611" w:rsidRPr="00852120">
              <w:t xml:space="preserve">не </w:t>
            </w:r>
            <w:r w:rsidRPr="00852120">
              <w:t>кореспондувати із інтеріоризацією норм населенням. І в цьому сенсі мова про правовий нігілізм населення лише підтверджує небажання розуміння конструкцій, які суперечать настановам чи орієнтаціям особи чи певної соціальної групи, які відтворював законодавець</w:t>
            </w:r>
            <w:r w:rsidR="008F5611" w:rsidRPr="00852120">
              <w:t xml:space="preserve"> чи штучно розвиває у концептах ступеню тяжкості злочину у проекті Нового КК</w:t>
            </w:r>
            <w:r w:rsidRPr="00852120">
              <w:t xml:space="preserve">. </w:t>
            </w:r>
          </w:p>
          <w:p w14:paraId="4E28D190" w14:textId="2107B319" w:rsidR="008F5611" w:rsidRPr="00852120" w:rsidRDefault="008F5611" w:rsidP="001A088F">
            <w:pPr>
              <w:pStyle w:val="1-21"/>
              <w:spacing w:line="360" w:lineRule="auto"/>
              <w:ind w:left="0" w:firstLine="0"/>
            </w:pPr>
            <w:r w:rsidRPr="00852120">
              <w:t>У</w:t>
            </w:r>
            <w:r w:rsidR="008369A4" w:rsidRPr="00852120">
              <w:t xml:space="preserve"> деяких випадках ми</w:t>
            </w:r>
            <w:r w:rsidRPr="00852120">
              <w:t xml:space="preserve"> будемо</w:t>
            </w:r>
            <w:r w:rsidR="008369A4" w:rsidRPr="00852120">
              <w:t xml:space="preserve"> </w:t>
            </w:r>
            <w:r w:rsidRPr="00852120">
              <w:t>стикатися</w:t>
            </w:r>
            <w:r w:rsidR="008369A4" w:rsidRPr="00852120">
              <w:t xml:space="preserve"> з фактами нерозуміння деяких соціальних процесів, які існують у світі, що призводить до неможливості застосування тих чи інших визнаних юридичних конструкцій національним законодавцем. </w:t>
            </w:r>
            <w:r w:rsidRPr="00852120">
              <w:t>Мова йде про інститути загальносаксонської правової родини (формалізація призначення покарання, обмеження дискреції при кваліфікації), які повинні бути вписаними у мову та сенси</w:t>
            </w:r>
            <w:r w:rsidR="00EC7086" w:rsidRPr="00852120">
              <w:t xml:space="preserve"> візантійства.</w:t>
            </w:r>
          </w:p>
          <w:p w14:paraId="71BEB75A" w14:textId="6A4402B5" w:rsidR="008369A4" w:rsidRPr="00852120" w:rsidRDefault="008369A4" w:rsidP="00DF00C7">
            <w:pPr>
              <w:pStyle w:val="1-21"/>
              <w:spacing w:line="360" w:lineRule="auto"/>
              <w:ind w:firstLine="669"/>
            </w:pPr>
            <w:r w:rsidRPr="00852120">
              <w:t>Так, феномен крадіжки приватності, яке було криміналізоване в усіх суспільствах, в Україні розуміється як «крадіжка особистості» та потенційно не розглядається як потенційне кримінальне правопорушення.</w:t>
            </w:r>
          </w:p>
          <w:p w14:paraId="3C8CDAD3" w14:textId="77777777" w:rsidR="008369A4" w:rsidRPr="00852120" w:rsidRDefault="008369A4" w:rsidP="001A088F">
            <w:pPr>
              <w:pStyle w:val="1-21"/>
              <w:spacing w:line="360" w:lineRule="auto"/>
              <w:ind w:left="0" w:firstLine="0"/>
            </w:pPr>
            <w:r w:rsidRPr="00852120">
              <w:t>Кримінальне право сьогодення лише в пошуку доктрини, яка б поєднувала покарання, інші заходи відповідальності та заохочувальні норми в єдину систему. Ми або б’ємо, або жаліємо. Фатальна підтримка стабільності індетерміністської моделі, яка штовхається з усіх боків, оскільки природний детермінізм особистої поведінки суперечить біхевіористським нормативним встановленням визначення винності особи через суб’єктивне інкримінування - типова помилка теоретиків. Але іншої моделі немає, бо звісно складно казати про об’єктивне ставлення у вину, про застосування концепції “небезпечного стану”. Складно казати. Але можливо і на жаль необхідно.</w:t>
            </w:r>
          </w:p>
          <w:p w14:paraId="02B3B67C" w14:textId="77777777" w:rsidR="008369A4" w:rsidRPr="00852120" w:rsidRDefault="008369A4" w:rsidP="00DF00C7">
            <w:pPr>
              <w:pStyle w:val="1-21"/>
              <w:spacing w:line="360" w:lineRule="auto"/>
              <w:ind w:firstLine="669"/>
            </w:pPr>
            <w:r w:rsidRPr="00852120">
              <w:t>Поширена серед українських криміналістів концепція маленького але жорсткого кодексу дуже цікава. За умов існування законів sui generis. Чи повної зміни формату кримінально-правових відносин.</w:t>
            </w:r>
          </w:p>
          <w:p w14:paraId="436C60C1" w14:textId="29D06163" w:rsidR="008369A4" w:rsidRPr="00852120" w:rsidRDefault="008369A4" w:rsidP="001A088F">
            <w:pPr>
              <w:pStyle w:val="1-21"/>
              <w:spacing w:line="360" w:lineRule="auto"/>
              <w:ind w:left="0" w:firstLine="0"/>
            </w:pPr>
            <w:r w:rsidRPr="00852120">
              <w:t>У дійсності, як правило ж кожен представник законодавчої гілки влади хоче внести зміни до КК виключно керуючись бажанням посилити відповідальність. При чому це правило носить універсальний характер. Наприклад, у сфері боротьби з піратством в останні роки у регіоні Сомалі відбувалися події, коли військові судна, керуючись мандатом Ради безпеки ООН про застосування універсальної юрисдикції, затримуючи судна розбійників у територіальних водах</w:t>
            </w:r>
            <w:r w:rsidR="00EC7086" w:rsidRPr="00852120">
              <w:t>,</w:t>
            </w:r>
            <w:r w:rsidRPr="00852120">
              <w:t xml:space="preserve"> не могли застосовувати національні норми прапора судна (враховуючи процесуальні терміни, та питання захисту прав людини), та й були не в</w:t>
            </w:r>
            <w:r w:rsidR="001E2D5E" w:rsidRPr="00852120">
              <w:t xml:space="preserve"> </w:t>
            </w:r>
            <w:r w:rsidRPr="00852120">
              <w:t>змозі передавати затриманих осіб під юрисдикцію прибережної держави, оскільки саме ці країни (Сомалі, Нігерія. Гайана передбачали страту чи довічне позбавлення волі за подібні дії). У таких випадках мова повинна йти про подальшу гармонізацію діючого законодавства, але відповідні технології, ще не існують як у морському так і у міжнародному праві.</w:t>
            </w:r>
          </w:p>
          <w:p w14:paraId="3E6E3782" w14:textId="77D66F2D" w:rsidR="008369A4" w:rsidRPr="00852120" w:rsidRDefault="008369A4" w:rsidP="001A088F">
            <w:pPr>
              <w:pStyle w:val="1-21"/>
              <w:spacing w:line="360" w:lineRule="auto"/>
              <w:ind w:left="0" w:firstLine="0"/>
            </w:pPr>
            <w:r w:rsidRPr="00852120">
              <w:t xml:space="preserve">Тобто як та яким чином це бажання буде реалізоване, не попадемо ми у ситуацію, за якої війна влади із народом буде носити форму зловживань правом на формування заборон? Хто як, і коли повинен контролювати законодавця? </w:t>
            </w:r>
            <w:r w:rsidR="00EC7086" w:rsidRPr="00852120">
              <w:t xml:space="preserve"> </w:t>
            </w:r>
            <w:r w:rsidRPr="00852120">
              <w:t>Ми загнали себе у глухий кут, коли ідучи шляхом від позитивізму догматів, до природно-правової емпірики відчувань залишили старі схеми як фікції при певних протиріччях кримінальної політики.</w:t>
            </w:r>
          </w:p>
          <w:p w14:paraId="255444E7" w14:textId="77777777" w:rsidR="008369A4" w:rsidRPr="00852120" w:rsidRDefault="008369A4" w:rsidP="00DF00C7">
            <w:pPr>
              <w:pStyle w:val="1-21"/>
              <w:spacing w:line="360" w:lineRule="auto"/>
              <w:ind w:firstLine="669"/>
            </w:pPr>
            <w:r w:rsidRPr="00852120">
              <w:t>Невідворотність покарання, рівність та диференціація відповідальності, психологічна теорія вини, суб’єктивне ставлення в вину стали ідеологічними фікціями догматів минулого, які продовжують розповсюджуватися і далі. Насправді усе складніше.</w:t>
            </w:r>
          </w:p>
          <w:p w14:paraId="2CE4211E" w14:textId="77777777" w:rsidR="008369A4" w:rsidRPr="00852120" w:rsidRDefault="008369A4" w:rsidP="001A088F">
            <w:pPr>
              <w:pStyle w:val="1-21"/>
              <w:spacing w:line="360" w:lineRule="auto"/>
              <w:ind w:left="0" w:firstLine="0"/>
            </w:pPr>
            <w:r w:rsidRPr="00852120">
              <w:t>Маніхейство комуністичної ідеології формулювало жорстке відношення до аксіом та принципів, які за уважного розгляду існували не в дилемі “чорне-біле”, а у взаємодії, коли, наприклад, принцип винного ставлення у вину реалізується саме оцінкою винності особи органами досудового слідства та судом у формулі визнання вини як складової частини суб’єктивної сторони складу злочину (змішана теорія вини - при догматі психологічної).</w:t>
            </w:r>
          </w:p>
          <w:p w14:paraId="46D75583" w14:textId="77777777" w:rsidR="008369A4" w:rsidRPr="00852120" w:rsidRDefault="008369A4" w:rsidP="00DF00C7">
            <w:pPr>
              <w:pStyle w:val="1-21"/>
              <w:spacing w:line="360" w:lineRule="auto"/>
              <w:ind w:firstLine="669"/>
            </w:pPr>
            <w:r w:rsidRPr="00852120">
              <w:t>Таких прикладів неспрацьовування догматів класичної кримінально-правової доктрини безліч.</w:t>
            </w:r>
          </w:p>
          <w:p w14:paraId="4464B1E8" w14:textId="2DEB789B" w:rsidR="003E1286" w:rsidRPr="001A088F" w:rsidRDefault="008369A4" w:rsidP="001A088F">
            <w:pPr>
              <w:pStyle w:val="1-21"/>
              <w:spacing w:line="360" w:lineRule="auto"/>
              <w:ind w:left="0" w:firstLine="0"/>
            </w:pPr>
            <w:r w:rsidRPr="00852120">
              <w:t xml:space="preserve">Доречи, саме відпрацьовування теоретичної моделі механізму кримінально-правового впливу в змозі надати імпульс догматичним дослідженням форм та структури Кримінального кодексу майбутнього. Не менш цікавим є питання джерельної бази, оскільки є нагальна необхідність формування бази законів sui generis поруч із Кримінальним кодексом (закон про злочини проти миру та безпеки людства, закон про кримінальну відповідальність неповнолітніх, закон про кримінальну відповідальність посадових осіб тощо, закон про кримінальну відповідальність військовослужбовців). В іншому разі ми постійно будемо зіштовхуватися із ситуацією за якої, наприклад, заходи соціального захисту, що використовуються до малолітніх, будуть використовуватись незаконно, оскільки останні не є суб’єктами </w:t>
            </w:r>
            <w:r w:rsidR="001A088F" w:rsidRPr="00852120">
              <w:t>злочину.</w:t>
            </w:r>
            <w:r w:rsidR="001A088F">
              <w:rPr>
                <w:rFonts w:eastAsiaTheme="minorHAnsi"/>
                <w:color w:val="202124"/>
                <w:shd w:val="clear" w:color="auto" w:fill="FFFFFF"/>
              </w:rPr>
              <w:t xml:space="preserve"> До того ж </w:t>
            </w:r>
            <w:r w:rsidR="003E1286" w:rsidRPr="00852120">
              <w:rPr>
                <w:rFonts w:eastAsiaTheme="minorHAnsi"/>
                <w:color w:val="202124"/>
                <w:shd w:val="clear" w:color="auto" w:fill="FFFFFF"/>
              </w:rPr>
              <w:t xml:space="preserve">юридичний аналіз правопорушення та покарання в сенсі ст.ст.6-7 ЄКПЛ не надає можливостей однозначного вирішення питання щодо чіткого визначення кримінальності діяння. </w:t>
            </w:r>
          </w:p>
          <w:p w14:paraId="6609EC18" w14:textId="77777777" w:rsidR="003E1286" w:rsidRPr="00852120" w:rsidRDefault="003E1286" w:rsidP="001A088F">
            <w:pPr>
              <w:pStyle w:val="1-21"/>
              <w:spacing w:line="360" w:lineRule="auto"/>
              <w:ind w:left="26" w:firstLine="669"/>
              <w:rPr>
                <w:rFonts w:eastAsiaTheme="minorHAnsi"/>
                <w:color w:val="202124"/>
                <w:shd w:val="clear" w:color="auto" w:fill="FFFFFF"/>
              </w:rPr>
            </w:pPr>
            <w:r w:rsidRPr="00852120">
              <w:rPr>
                <w:rFonts w:eastAsiaTheme="minorHAnsi"/>
                <w:color w:val="202124"/>
                <w:shd w:val="clear" w:color="auto" w:fill="FFFFFF"/>
              </w:rPr>
              <w:t xml:space="preserve">Отже має місце фіктивність  криміналізації у сенсі розмитості та дискреційності формування, розуміння та застосування терміну кримінального правопорушення. Мова йде також про неможливість спрощення смислів та обізнаності задля надмірній спеціалізації окремих норм Особливої частини проекту КК. </w:t>
            </w:r>
          </w:p>
          <w:p w14:paraId="25B33441" w14:textId="554E9BC2" w:rsidR="003E1286" w:rsidRPr="00852120" w:rsidRDefault="003E1286" w:rsidP="001A088F">
            <w:pPr>
              <w:pStyle w:val="1-21"/>
              <w:spacing w:line="360" w:lineRule="auto"/>
              <w:ind w:left="26" w:firstLine="669"/>
              <w:rPr>
                <w:rFonts w:eastAsiaTheme="minorHAnsi"/>
                <w:color w:val="202124"/>
                <w:shd w:val="clear" w:color="auto" w:fill="FFFFFF"/>
              </w:rPr>
            </w:pPr>
            <w:r w:rsidRPr="00852120">
              <w:rPr>
                <w:rFonts w:eastAsiaTheme="minorHAnsi"/>
                <w:color w:val="202124"/>
                <w:shd w:val="clear" w:color="auto" w:fill="FFFFFF"/>
              </w:rPr>
              <w:t>Держава може існувати без кримінального закону (непра</w:t>
            </w:r>
            <w:r w:rsidR="001E2D5E" w:rsidRPr="00852120">
              <w:rPr>
                <w:rFonts w:eastAsiaTheme="minorHAnsi"/>
                <w:color w:val="202124"/>
                <w:shd w:val="clear" w:color="auto" w:fill="FFFFFF"/>
              </w:rPr>
              <w:t>во</w:t>
            </w:r>
            <w:r w:rsidRPr="00852120">
              <w:rPr>
                <w:rFonts w:eastAsiaTheme="minorHAnsi"/>
                <w:color w:val="202124"/>
                <w:shd w:val="clear" w:color="auto" w:fill="FFFFFF"/>
              </w:rPr>
              <w:t>в</w:t>
            </w:r>
            <w:r w:rsidR="001E2D5E" w:rsidRPr="00852120">
              <w:rPr>
                <w:rFonts w:eastAsiaTheme="minorHAnsi"/>
                <w:color w:val="202124"/>
                <w:shd w:val="clear" w:color="auto" w:fill="FFFFFF"/>
              </w:rPr>
              <w:t>і</w:t>
            </w:r>
            <w:r w:rsidRPr="00852120">
              <w:rPr>
                <w:rFonts w:eastAsiaTheme="minorHAnsi"/>
                <w:color w:val="202124"/>
                <w:shd w:val="clear" w:color="auto" w:fill="FFFFFF"/>
              </w:rPr>
              <w:t xml:space="preserve"> територі</w:t>
            </w:r>
            <w:r w:rsidR="001E2D5E" w:rsidRPr="00852120">
              <w:rPr>
                <w:rFonts w:eastAsiaTheme="minorHAnsi"/>
                <w:color w:val="202124"/>
                <w:shd w:val="clear" w:color="auto" w:fill="FFFFFF"/>
              </w:rPr>
              <w:t>ї</w:t>
            </w:r>
            <w:r w:rsidRPr="00852120">
              <w:rPr>
                <w:rFonts w:eastAsiaTheme="minorHAnsi"/>
                <w:color w:val="202124"/>
                <w:shd w:val="clear" w:color="auto" w:fill="FFFFFF"/>
              </w:rPr>
              <w:t xml:space="preserve"> поза ефективним контролем держави, норми окремих суспільних груп, що підтримують небажані суспільні відносини - корупція, даркнет, кримінальна субкультура; репресалії революцій ), але не може без кримінального права чи його альтернатив у публічно-правовій площині [1, c.152].</w:t>
            </w:r>
          </w:p>
          <w:p w14:paraId="66E86BCA" w14:textId="77777777" w:rsidR="003E1286" w:rsidRPr="00852120" w:rsidRDefault="003E1286" w:rsidP="001A088F">
            <w:pPr>
              <w:pStyle w:val="1-21"/>
              <w:spacing w:line="360" w:lineRule="auto"/>
              <w:ind w:left="26" w:firstLine="669"/>
              <w:rPr>
                <w:rFonts w:eastAsia="Calibri"/>
                <w:iCs/>
              </w:rPr>
            </w:pPr>
            <w:r w:rsidRPr="00852120">
              <w:rPr>
                <w:rFonts w:eastAsiaTheme="minorHAnsi"/>
                <w:color w:val="202124"/>
                <w:shd w:val="clear" w:color="auto" w:fill="FFFFFF"/>
              </w:rPr>
              <w:t xml:space="preserve">Практика ЄСПЛ йде шляхом поширення сенсу кримінального правопорушення. Враховуючи розповсюдження паралельних систем управління людською поведінкою через рішення адміністративних органів, формування «кримістративних відносин» (кримінальних по сутності, адміністративних по формі), можливо є рація у пропозиції відмовитись від реалізації ідеї </w:t>
            </w:r>
            <w:r w:rsidRPr="00852120">
              <w:rPr>
                <w:rFonts w:eastAsia="Calibri"/>
                <w:iCs/>
              </w:rPr>
              <w:t>Концепції реформування кримінальної юстиції від 08 квітня 2008 року,</w:t>
            </w:r>
            <w:r w:rsidRPr="00852120">
              <w:rPr>
                <w:rFonts w:eastAsiaTheme="minorHAnsi"/>
                <w:color w:val="202124"/>
                <w:shd w:val="clear" w:color="auto" w:fill="FFFFFF"/>
              </w:rPr>
              <w:t xml:space="preserve"> та</w:t>
            </w:r>
            <w:r w:rsidRPr="00852120">
              <w:rPr>
                <w:rFonts w:eastAsia="Calibri"/>
                <w:iCs/>
              </w:rPr>
              <w:t xml:space="preserve"> Закону України «Про внесення змін до деяких законодавчих актів України щодо спрощення досудового розслідування окремих категорій кримінальних правопорушень» № 2617-VIII від 22 листопада 2018 р. щодо відокремлення категорії кримінальних проступків.</w:t>
            </w:r>
          </w:p>
          <w:p w14:paraId="7D7C1DD7" w14:textId="77777777" w:rsidR="003E1286" w:rsidRPr="00852120" w:rsidRDefault="003E1286" w:rsidP="00DF00C7">
            <w:pPr>
              <w:pStyle w:val="1-21"/>
              <w:spacing w:line="360" w:lineRule="auto"/>
              <w:ind w:left="168" w:firstLine="669"/>
              <w:rPr>
                <w:rFonts w:eastAsia="Calibri"/>
                <w:iCs/>
              </w:rPr>
            </w:pPr>
            <w:r w:rsidRPr="00852120">
              <w:rPr>
                <w:rFonts w:eastAsia="Calibri"/>
                <w:iCs/>
              </w:rPr>
              <w:t>Вважаємо, що за умов створення системи належного захисту прав і свобод правопорушника та потерпілого, більш раціональним це спрощення перевести у галузь адміністративного права та процесу, залишивши в Особливій частині КК лише склади так званих «ядерних» злочинів.</w:t>
            </w:r>
          </w:p>
          <w:p w14:paraId="1D91ABCE" w14:textId="77777777" w:rsidR="003E1286" w:rsidRPr="00852120" w:rsidRDefault="003E1286" w:rsidP="00DF00C7">
            <w:pPr>
              <w:pStyle w:val="1-21"/>
              <w:spacing w:line="360" w:lineRule="auto"/>
              <w:ind w:firstLine="669"/>
              <w:rPr>
                <w:rFonts w:eastAsiaTheme="minorHAnsi"/>
                <w:color w:val="202124"/>
                <w:shd w:val="clear" w:color="auto" w:fill="FFFFFF"/>
              </w:rPr>
            </w:pPr>
            <w:r w:rsidRPr="00852120">
              <w:rPr>
                <w:rFonts w:eastAsia="Calibri"/>
                <w:iCs/>
              </w:rPr>
              <w:t>Альтернативи криміналізації існують, проте та лише за умов реалізації Верховенства права та захисту прав людини.</w:t>
            </w:r>
          </w:p>
          <w:p w14:paraId="571F1F38" w14:textId="77777777" w:rsidR="00EE1290" w:rsidRPr="00852120" w:rsidRDefault="00EE1290" w:rsidP="00DF00C7">
            <w:pPr>
              <w:pStyle w:val="1-21"/>
              <w:spacing w:line="360" w:lineRule="auto"/>
              <w:ind w:firstLine="669"/>
            </w:pPr>
          </w:p>
          <w:p w14:paraId="4FC0EA3C" w14:textId="77777777" w:rsidR="0035042F" w:rsidRPr="00852120" w:rsidRDefault="0035042F" w:rsidP="00DF00C7">
            <w:pPr>
              <w:pStyle w:val="af4"/>
              <w:ind w:left="896" w:firstLine="669"/>
            </w:pPr>
          </w:p>
          <w:p w14:paraId="2C3D5C45" w14:textId="1AC9EE1F" w:rsidR="008369A4" w:rsidRPr="00852120" w:rsidRDefault="008369A4" w:rsidP="00DF00C7">
            <w:pPr>
              <w:pStyle w:val="af4"/>
              <w:ind w:left="896" w:firstLine="669"/>
            </w:pPr>
          </w:p>
        </w:tc>
      </w:tr>
    </w:tbl>
    <w:p w14:paraId="02B26517" w14:textId="77777777" w:rsidR="0035042F" w:rsidRPr="00852120" w:rsidRDefault="0035042F" w:rsidP="00DF00C7">
      <w:pPr>
        <w:ind w:firstLine="669"/>
      </w:pPr>
    </w:p>
    <w:p w14:paraId="2DE7169E" w14:textId="5DD0BCE5" w:rsidR="00A401CD" w:rsidRDefault="00A401CD" w:rsidP="00DF00C7">
      <w:pPr>
        <w:ind w:firstLine="669"/>
        <w:jc w:val="left"/>
      </w:pPr>
      <w:r w:rsidRPr="00852120">
        <w:br w:type="page"/>
      </w:r>
    </w:p>
    <w:p w14:paraId="7A04D095" w14:textId="77777777" w:rsidR="00287895" w:rsidRDefault="00287895" w:rsidP="00CB4B9D">
      <w:pPr>
        <w:pStyle w:val="1"/>
      </w:pPr>
      <w:bookmarkStart w:id="11" w:name="_Toc147652534"/>
      <w:r w:rsidRPr="00287895">
        <w:t>Замість епілогу</w:t>
      </w:r>
      <w:bookmarkEnd w:id="11"/>
    </w:p>
    <w:p w14:paraId="5D28F2C2" w14:textId="77777777" w:rsidR="00CB4B9D" w:rsidRPr="00287895" w:rsidRDefault="00CB4B9D" w:rsidP="00CB4B9D">
      <w:pPr>
        <w:pStyle w:val="1"/>
      </w:pPr>
    </w:p>
    <w:p w14:paraId="72C5C014" w14:textId="5DCEC1CF" w:rsidR="00287895" w:rsidRPr="00A36788" w:rsidRDefault="00287895" w:rsidP="00287895">
      <w:pPr>
        <w:tabs>
          <w:tab w:val="left" w:pos="142"/>
        </w:tabs>
        <w:spacing w:line="360" w:lineRule="auto"/>
      </w:pPr>
      <w:r w:rsidRPr="00A36788">
        <w:t>У величезному просторі, де перетинаються</w:t>
      </w:r>
      <w:r>
        <w:t xml:space="preserve"> ідеологія</w:t>
      </w:r>
      <w:r w:rsidR="00CB4B9D">
        <w:t>, п</w:t>
      </w:r>
      <w:r>
        <w:t>олітика,</w:t>
      </w:r>
      <w:r w:rsidRPr="00A36788">
        <w:t xml:space="preserve"> економіка та </w:t>
      </w:r>
      <w:r>
        <w:t>кримінальне право</w:t>
      </w:r>
      <w:r w:rsidRPr="00A36788">
        <w:t xml:space="preserve"> ми опиняємося заплутаними у складній павутині людських амбіцій, влади та незаконного багатства. Закриваючи сторінки цього п</w:t>
      </w:r>
      <w:r>
        <w:t>осібника</w:t>
      </w:r>
      <w:r w:rsidRPr="00A36788">
        <w:t xml:space="preserve">, важливо замислитися над складним взаємозв'язком, який ми дослідили між, здавалося б, легітимними структурами </w:t>
      </w:r>
      <w:r>
        <w:t>нашого життя</w:t>
      </w:r>
      <w:r w:rsidRPr="00A36788">
        <w:t xml:space="preserve"> і </w:t>
      </w:r>
      <w:r>
        <w:t>криміналізацією суспільних відносин</w:t>
      </w:r>
      <w:r w:rsidRPr="00A36788">
        <w:t>.</w:t>
      </w:r>
    </w:p>
    <w:p w14:paraId="2766ABB0" w14:textId="6F487C06" w:rsidR="00287895" w:rsidRDefault="00287895" w:rsidP="00287895">
      <w:pPr>
        <w:tabs>
          <w:tab w:val="left" w:pos="142"/>
        </w:tabs>
        <w:spacing w:line="360" w:lineRule="auto"/>
      </w:pPr>
      <w:r w:rsidRPr="00A36788">
        <w:t>Протягом нашої подорожі ми зіткнулися з численними аспектами цього складного зв'язку, кожен з яких розкриває окрему нитку в цьому гобелені</w:t>
      </w:r>
      <w:r>
        <w:t>.</w:t>
      </w:r>
    </w:p>
    <w:p w14:paraId="631295C4" w14:textId="00D477B2" w:rsidR="00287895" w:rsidRPr="00287895" w:rsidRDefault="00287895" w:rsidP="00287895">
      <w:pPr>
        <w:tabs>
          <w:tab w:val="left" w:pos="142"/>
        </w:tabs>
        <w:spacing w:line="360" w:lineRule="auto"/>
      </w:pPr>
      <w:r>
        <w:t>У посібнику з організованої злочинності, я писав, щодо звʼязків  оргзлочинності та суспільної реакції на неї</w:t>
      </w:r>
      <w:r>
        <w:rPr>
          <w:rStyle w:val="af1"/>
        </w:rPr>
        <w:footnoteReference w:id="60"/>
      </w:r>
    </w:p>
    <w:p w14:paraId="28D5527C" w14:textId="77777777" w:rsidR="00287895" w:rsidRPr="00A36788" w:rsidRDefault="00287895" w:rsidP="00287895">
      <w:pPr>
        <w:tabs>
          <w:tab w:val="left" w:pos="142"/>
        </w:tabs>
        <w:spacing w:line="360" w:lineRule="auto"/>
      </w:pPr>
      <w:r w:rsidRPr="00A36788">
        <w:t>Обличчя організованої злочинності, що постійно змінюється: Ми почали з визнання того, що організована злочинність не є статичною сутністю. Вона розвивається, адаптується і процвітає в шпаринах економічних можливостей. Від традиційних мафіозних синдикатів до сучасних кіберзлочинців, вона набуває різних форм, завжди шукаючи нові шляхи для отримання прибутку.</w:t>
      </w:r>
    </w:p>
    <w:p w14:paraId="1ACA26D5" w14:textId="77777777" w:rsidR="00287895" w:rsidRPr="00A36788" w:rsidRDefault="00287895" w:rsidP="00287895">
      <w:pPr>
        <w:tabs>
          <w:tab w:val="left" w:pos="142"/>
        </w:tabs>
        <w:spacing w:line="360" w:lineRule="auto"/>
      </w:pPr>
      <w:r w:rsidRPr="00A36788">
        <w:t>Економічні каталізатори: Ми заглибилися в економічні умови, які діють як каталізатори організованої злочинності. Економічні диспропорції, рецесії та глобалізація можуть створювати сприятливий ґрунт для процвітання злочинних підприємств. Коли офіційна економіка зазнає труднощів, нелегальна економіка часто розширюється.</w:t>
      </w:r>
    </w:p>
    <w:p w14:paraId="58406D4E" w14:textId="77777777" w:rsidR="00287895" w:rsidRPr="00A36788" w:rsidRDefault="00287895" w:rsidP="00287895">
      <w:pPr>
        <w:tabs>
          <w:tab w:val="left" w:pos="142"/>
        </w:tabs>
        <w:spacing w:line="360" w:lineRule="auto"/>
      </w:pPr>
      <w:r w:rsidRPr="00A36788">
        <w:t>Слизька стежка грошей: Світ відмивання грошей та незаконних фінансових потоків був викритий. Ми дізналися, як організована злочинність намагається легітимізувати свої прибутки і приховати їх у легальній економіці. Цей процес є критично важливим для злочинних операцій, і це виклик, з яким щодня борються правоохоронні органи в усьому світі.</w:t>
      </w:r>
    </w:p>
    <w:p w14:paraId="3AAE1E75" w14:textId="77777777" w:rsidR="00287895" w:rsidRPr="00A36788" w:rsidRDefault="00287895" w:rsidP="00287895">
      <w:pPr>
        <w:tabs>
          <w:tab w:val="left" w:pos="142"/>
        </w:tabs>
        <w:spacing w:line="360" w:lineRule="auto"/>
      </w:pPr>
      <w:r w:rsidRPr="00A36788">
        <w:t>Отруйний укус корупції: Ми з'ясували, що корупція є одночасно причиною і наслідком організованої злочинності. Вона підриває основи законної економічної діяльності та підживлює злочинні підприємства. Наше дослідження привело нас до усвідомлення глибокого впливу корупції на нації, економіки та суспільства.</w:t>
      </w:r>
    </w:p>
    <w:p w14:paraId="44D32F2B" w14:textId="77777777" w:rsidR="00287895" w:rsidRPr="00A36788" w:rsidRDefault="00287895" w:rsidP="00287895">
      <w:pPr>
        <w:tabs>
          <w:tab w:val="left" w:pos="142"/>
        </w:tabs>
        <w:spacing w:line="360" w:lineRule="auto"/>
      </w:pPr>
      <w:r w:rsidRPr="00A36788">
        <w:t>Цифровий кордон: У цифрову епоху ми занурилися у сферу кіберзлочинності, де анонімність, швидкість і витонченість визначають злочинні операції. Ми дізналися, як цифрова економіка надає нові можливості для незаконної діяльності, часто виходячи за межі кордонів і юрисдикцій.</w:t>
      </w:r>
    </w:p>
    <w:p w14:paraId="74C55517" w14:textId="77777777" w:rsidR="00287895" w:rsidRPr="00A36788" w:rsidRDefault="00287895" w:rsidP="00287895">
      <w:pPr>
        <w:tabs>
          <w:tab w:val="left" w:pos="142"/>
        </w:tabs>
        <w:spacing w:line="360" w:lineRule="auto"/>
      </w:pPr>
      <w:r w:rsidRPr="00A36788">
        <w:t>Темна торгівля: Наша подорож провела нас через світ контрабанди, торгівлі людьми та нелегальної торгівлі, де переміщення контрабанди, від наркотиків до людей, має глибокі економічні наслідки. Ми побачили, як ці тіньові ринки можуть впливати на економіку цілих регіонів.</w:t>
      </w:r>
    </w:p>
    <w:p w14:paraId="515E56B4" w14:textId="77777777" w:rsidR="00287895" w:rsidRPr="00A36788" w:rsidRDefault="00287895" w:rsidP="00287895">
      <w:pPr>
        <w:tabs>
          <w:tab w:val="left" w:pos="142"/>
        </w:tabs>
        <w:spacing w:line="360" w:lineRule="auto"/>
      </w:pPr>
      <w:r w:rsidRPr="00A36788">
        <w:t>Протидія: Досліджуючи заходи протидії, ми зіткнулися з цілою низкою стратегій - від зусиль правоохоронних органів до міжнародного співробітництва та політичних рамок. Проте боротьба з організованою злочинністю залишається складним завданням, оскільки вимагає постійної адаптації до постійно мінливого ландшафту.</w:t>
      </w:r>
    </w:p>
    <w:p w14:paraId="58E259CA" w14:textId="63934EB1" w:rsidR="00287895" w:rsidRPr="00A36788" w:rsidRDefault="00287895" w:rsidP="001A088F">
      <w:pPr>
        <w:tabs>
          <w:tab w:val="left" w:pos="142"/>
        </w:tabs>
        <w:spacing w:line="360" w:lineRule="auto"/>
      </w:pPr>
      <w:r w:rsidRPr="00A36788">
        <w:t>Попереду ще багато роботи: Замислюючись над майбутнім, ми усвідомлюємо, що економіка і організована злочинність продовжуватимуть розвиватися. Нові технології, зміна клімату та непередбачувані глобальні події змінять цю динаміку. Наша здатність передбачати, адаптуватися та реагувати визначатиме наш успіх у стримуванні злочинного впливу.</w:t>
      </w:r>
      <w:r w:rsidR="001A088F">
        <w:t xml:space="preserve"> </w:t>
      </w:r>
      <w:r w:rsidRPr="00A36788">
        <w:t>Український ландшафт характеризується не лише складним звʼязком між економікою та організованою злочинністю, але й значним впливом тіней війни. Конфлікт, що триває на сході України, який спалахнув у 2014 році, має глибокі наслідки для соціальної структури, економіки та безпеки країни. У цьому бурхливому середовищі взаємозв'язок між війною та організованою злочинністю набув нових вимірів, ще більше ускладнивши і без того складний наратив.</w:t>
      </w:r>
      <w:r w:rsidR="001A088F">
        <w:t xml:space="preserve"> </w:t>
      </w:r>
      <w:r w:rsidRPr="00A36788">
        <w:t>Трагічна реальність полягає в тому, що зони конфлікту часто створюють сприятливий ґрунт для поширення організованої злочинності. Війна на сході України не стала винятком. Ми стали свідками зростання злочинних мереж, які користуються хаосом і нестабільністю, що виникли внаслідок конфлікту. Ці мережі займаються такою діяльністю, як контрабанда зброї, торгівля наркотиками та здирництвом, які фінансують їхні операції та увічнюють насильство.</w:t>
      </w:r>
      <w:r w:rsidR="001A088F">
        <w:t xml:space="preserve"> </w:t>
      </w:r>
      <w:r w:rsidRPr="00A36788">
        <w:t>Конфлікт змусив сотні тисяч людей покинути свої домівки, створивши переміщене населення, вразливе до експлуатації з боку злочинних угруповань. Торгівля людьми, примусова праця та інші форми експлуатації процвітають в умовах нестабільності.</w:t>
      </w:r>
      <w:r w:rsidR="001A088F">
        <w:t xml:space="preserve"> </w:t>
      </w:r>
      <w:r w:rsidRPr="00A36788">
        <w:t>У зруйнованих війною регіонах також спостерігається незаконна експлуатація природних ресурсів, таких як корисні копалини та деревина, злочинними організаціями. Ця діяльність не лише підриває економічне відновлення, але й розпалює конфлікт, забезпечуючи джерело доходу для озброєних груп.</w:t>
      </w:r>
      <w:r w:rsidR="001A088F">
        <w:t xml:space="preserve"> </w:t>
      </w:r>
      <w:r w:rsidRPr="00A36788">
        <w:t xml:space="preserve">Правоохоронні органи України зіткнулися з величезними труднощами у боротьбі </w:t>
      </w:r>
      <w:r w:rsidR="001A088F">
        <w:t>із</w:t>
      </w:r>
      <w:r w:rsidRPr="00A36788">
        <w:t xml:space="preserve"> злочинністю в зонах конфлікту. Мінливий характер конфлікту в поєднанні з присутністю численних озброєних груп ускладнює встановлення ефективного контролю та забезпечення верховенства права.</w:t>
      </w:r>
      <w:r w:rsidR="001A088F">
        <w:t xml:space="preserve"> </w:t>
      </w:r>
      <w:r w:rsidRPr="00A36788">
        <w:t>Конфлікт в Україні не є ізольованим, він має міжнародний вимір. Транскордонна злочинна діяльність, така як контрабанда товарів і зброї, створює загрозу регіональній безпеці та випробовує міжнародну співпрацю у боротьбі з організованою злочинністю.</w:t>
      </w:r>
    </w:p>
    <w:p w14:paraId="2DD4B439" w14:textId="1E05FF52" w:rsidR="00287895" w:rsidRPr="00A36788" w:rsidRDefault="00287895" w:rsidP="001A088F">
      <w:pPr>
        <w:tabs>
          <w:tab w:val="left" w:pos="142"/>
        </w:tabs>
        <w:spacing w:line="360" w:lineRule="auto"/>
      </w:pPr>
      <w:r w:rsidRPr="00A36788">
        <w:t>Завершуючи наше дослідження складного взаємозв'язку між е</w:t>
      </w:r>
      <w:r w:rsidR="001A088F">
        <w:t xml:space="preserve"> ідеологією </w:t>
      </w:r>
      <w:r w:rsidRPr="00A36788">
        <w:t>кономікою та злочинністю в Україні, ми повинні визнати, що контекст війни додає шарів складності. Війна в України змінила кримінальний ландшафт, посиливши виклики для державного управління, безпеки та економічного відновлення. Боротьба з організованою злочинністю в цьому контексті вимагає багатогранного підходу, який не лише зосереджується на правоохоронній діяльності, але й спрямований на усунення першопричин конфлікту та нестабільності.</w:t>
      </w:r>
      <w:r w:rsidR="001A088F">
        <w:t xml:space="preserve"> </w:t>
      </w:r>
      <w:r w:rsidRPr="00A36788">
        <w:t>Зрештою, Україна стоїть на перехресті, де перетинаються прагнення до економічного процвітання, боротьба з організованою злочинністю та пошук миру. Це країна, яка бореться з багатогранними викликами, але це також країна, яка має стійкість, рішучість і прагнення до побудови світлого майбутнього. Наша роль як науковців, політиків та громадян світу полягає в тому, щоб підтримувати ці зусилля, вчитися на досвіді України та сприяти створенню світу, де мир і процвітання переважатимуть над тінями організованої злочинності та конфліктів</w:t>
      </w:r>
      <w:r w:rsidR="00E362DD">
        <w:rPr>
          <w:rStyle w:val="af1"/>
        </w:rPr>
        <w:footnoteReference w:id="61"/>
      </w:r>
      <w:r w:rsidRPr="00A36788">
        <w:t>.</w:t>
      </w:r>
    </w:p>
    <w:p w14:paraId="4D27D0AC" w14:textId="75BAEC38" w:rsidR="00E362DD" w:rsidRDefault="00E362DD" w:rsidP="00287895">
      <w:pPr>
        <w:tabs>
          <w:tab w:val="left" w:pos="142"/>
        </w:tabs>
        <w:spacing w:line="360" w:lineRule="auto"/>
      </w:pPr>
      <w:r>
        <w:t>Продовжуючи цей контекст, та відкриваючи простір для ознайомлення з питаннями семінарських занять, зазначимо:</w:t>
      </w:r>
    </w:p>
    <w:p w14:paraId="38DCB1E6" w14:textId="5C24398B" w:rsidR="00E362DD" w:rsidRDefault="00E362DD" w:rsidP="00E362DD">
      <w:pPr>
        <w:tabs>
          <w:tab w:val="left" w:pos="142"/>
        </w:tabs>
        <w:spacing w:line="360" w:lineRule="auto"/>
      </w:pPr>
      <w:r>
        <w:t>Кримінально-правові ідеї та парадигми - це фундаментальні концепції, які формують спосіб, у який суспільство визначає, переслідує та карає злочинну поведінку. Ці ідеї розвивалися протягом століть, відображаючи зміни в соціальних нормах, політичних ідеологіях і прогрес у людському розумінні. У цьому есе досліджується глибокий вплив кримінально-правових ідей і парадигм на кримінальне право і суспільство в цілому. Вивчаючи ключові історичні події та сучасні тенденції, стає очевидним, що ці ідеї відіграють центральну роль у визначенні характеру систем кримінального правосуддя та їхнього впливу на суспільство в цілому.  Отже здобувачи повинні зосередитись на історичній еволюціє кримінально-правових ідей та парадигм за такими напрямками:</w:t>
      </w:r>
    </w:p>
    <w:p w14:paraId="248B5743" w14:textId="77777777" w:rsidR="00E362DD" w:rsidRDefault="00E362DD" w:rsidP="007558E4">
      <w:pPr>
        <w:pStyle w:val="af4"/>
        <w:numPr>
          <w:ilvl w:val="0"/>
          <w:numId w:val="26"/>
        </w:numPr>
        <w:tabs>
          <w:tab w:val="left" w:pos="142"/>
        </w:tabs>
        <w:spacing w:line="360" w:lineRule="auto"/>
      </w:pPr>
      <w:r>
        <w:t>Відплата проти реабілітації:</w:t>
      </w:r>
    </w:p>
    <w:p w14:paraId="109F688E" w14:textId="77777777" w:rsidR="00E362DD" w:rsidRDefault="00E362DD" w:rsidP="00E362DD">
      <w:pPr>
        <w:tabs>
          <w:tab w:val="left" w:pos="142"/>
        </w:tabs>
        <w:spacing w:line="360" w:lineRule="auto"/>
      </w:pPr>
      <w:r>
        <w:t>Протягом всієї історії суспільства намагалися вирішити фундаментальне питання про те, чи повинно кримінальне покарання в першу чергу служити відплатою за скоєні правопорушення або ж засобом реабілітації правопорушників. Перехід від каральних систем правосуддя до більш реабілітаційних підходів справив глибокий вплив на ставлення до злочинців і на основні цілі системи кримінального правосуддя.</w:t>
      </w:r>
    </w:p>
    <w:p w14:paraId="4E7AC070" w14:textId="77777777" w:rsidR="00E362DD" w:rsidRDefault="00E362DD" w:rsidP="007558E4">
      <w:pPr>
        <w:pStyle w:val="af4"/>
        <w:numPr>
          <w:ilvl w:val="0"/>
          <w:numId w:val="26"/>
        </w:numPr>
        <w:tabs>
          <w:tab w:val="left" w:pos="142"/>
        </w:tabs>
        <w:spacing w:line="360" w:lineRule="auto"/>
      </w:pPr>
      <w:r>
        <w:t>Юридичний позитивізм проти природного права:</w:t>
      </w:r>
    </w:p>
    <w:p w14:paraId="56357302" w14:textId="77777777" w:rsidR="00E362DD" w:rsidRDefault="00E362DD" w:rsidP="00E362DD">
      <w:pPr>
        <w:tabs>
          <w:tab w:val="left" w:pos="142"/>
        </w:tabs>
        <w:spacing w:line="360" w:lineRule="auto"/>
      </w:pPr>
      <w:r>
        <w:t>Боротьба між юридичним позитивізмом, який розглядає право як набір правил, встановлених владою, і природним правом, яке наголошує на універсальних принципах справедливості, вплинула на розвиток кримінального права. Юридичний позитивізм часто перемагав, що призводило до кодифікації законів і створення формальних правових систем, але принципи природного права продовжують лежати в основі дебатів про справедливість і мораль.</w:t>
      </w:r>
    </w:p>
    <w:p w14:paraId="5B8A0A43" w14:textId="19C2D03F" w:rsidR="00E362DD" w:rsidRDefault="00E362DD" w:rsidP="007558E4">
      <w:pPr>
        <w:pStyle w:val="af4"/>
        <w:numPr>
          <w:ilvl w:val="0"/>
          <w:numId w:val="26"/>
        </w:numPr>
        <w:tabs>
          <w:tab w:val="left" w:pos="142"/>
        </w:tabs>
        <w:spacing w:line="360" w:lineRule="auto"/>
      </w:pPr>
      <w:r>
        <w:t>Сучасні парадигми в кримінально-правовій думці:</w:t>
      </w:r>
    </w:p>
    <w:p w14:paraId="6B272517" w14:textId="77777777" w:rsidR="00E362DD" w:rsidRDefault="00E362DD" w:rsidP="00E362DD">
      <w:pPr>
        <w:tabs>
          <w:tab w:val="left" w:pos="142"/>
        </w:tabs>
        <w:spacing w:line="360" w:lineRule="auto"/>
      </w:pPr>
      <w:r>
        <w:t>В останні десятиліття набула популярності концепція відновного правосуддя. Вона зосереджується на відшкодуванні шкоди, заподіяної злочинною поведінкою, залучаючи як жертв, так і правопорушників до спільного процесу. Ця зміна парадигми кидає виклик традиційним каральним моделям і спрямована на реінтеграцію правопорушників у суспільство, одночасно задовольняючи потреби жертв.</w:t>
      </w:r>
    </w:p>
    <w:p w14:paraId="57C6CF67" w14:textId="77777777" w:rsidR="00E362DD" w:rsidRDefault="00E362DD" w:rsidP="007558E4">
      <w:pPr>
        <w:pStyle w:val="af4"/>
        <w:numPr>
          <w:ilvl w:val="0"/>
          <w:numId w:val="26"/>
        </w:numPr>
        <w:tabs>
          <w:tab w:val="left" w:pos="142"/>
        </w:tabs>
        <w:spacing w:line="360" w:lineRule="auto"/>
      </w:pPr>
      <w:r>
        <w:t>Криміналізація соціальних питань:</w:t>
      </w:r>
    </w:p>
    <w:p w14:paraId="010F796A" w14:textId="77777777" w:rsidR="00E362DD" w:rsidRDefault="00E362DD" w:rsidP="00E362DD">
      <w:pPr>
        <w:tabs>
          <w:tab w:val="left" w:pos="142"/>
        </w:tabs>
        <w:spacing w:line="360" w:lineRule="auto"/>
      </w:pPr>
      <w:r>
        <w:t>Сучасне кримінальне право відображає еволюцію суспільних цінностей, що іноді призводить до криміналізації поведінки, яка раніше не вважалася злочинною, наприклад, вживання наркотиків, секс-праця та бездомність. Цей зсув підкреслює вплив соціальних, політичних та економічних чинників на процес криміналізації.</w:t>
      </w:r>
    </w:p>
    <w:p w14:paraId="49B18690" w14:textId="2C72C75A" w:rsidR="00E362DD" w:rsidRDefault="00E362DD" w:rsidP="007558E4">
      <w:pPr>
        <w:pStyle w:val="af4"/>
        <w:numPr>
          <w:ilvl w:val="0"/>
          <w:numId w:val="26"/>
        </w:numPr>
        <w:tabs>
          <w:tab w:val="left" w:pos="142"/>
        </w:tabs>
        <w:spacing w:line="360" w:lineRule="auto"/>
      </w:pPr>
      <w:r>
        <w:t>Вплив на суспільство:</w:t>
      </w:r>
    </w:p>
    <w:p w14:paraId="351D33D9" w14:textId="19BB0359" w:rsidR="00E362DD" w:rsidRDefault="00E362DD" w:rsidP="007558E4">
      <w:pPr>
        <w:tabs>
          <w:tab w:val="left" w:pos="142"/>
        </w:tabs>
        <w:spacing w:line="360" w:lineRule="auto"/>
        <w:ind w:firstLine="0"/>
      </w:pPr>
      <w:r>
        <w:t>Залежність системи кримінального правосуддя від певних парадигм призвела до нерівності в кількості арештів, вироків і термінів ув'язнення залежно від раси, класу та статі. Це призвело до значного впливу на маргіналізовані громади та увічнення системної нерівності.</w:t>
      </w:r>
      <w:r w:rsidR="007558E4">
        <w:t xml:space="preserve"> </w:t>
      </w:r>
      <w:r>
        <w:t>Вибір правових парадигм впливає на громадське сприйняття системи кримінального правосуддя. Коли суспільство надає пріоритет реабілітації та відновному правосуддю, часто зростає довіра до справедливості та ефективності системи. І навпаки, каральні підходи можуть призвести до розчарування та скептицизму.</w:t>
      </w:r>
    </w:p>
    <w:p w14:paraId="5B91AE78" w14:textId="425AFE38" w:rsidR="00E362DD" w:rsidRDefault="007558E4" w:rsidP="007558E4">
      <w:pPr>
        <w:tabs>
          <w:tab w:val="left" w:pos="142"/>
        </w:tabs>
        <w:spacing w:line="360" w:lineRule="auto"/>
      </w:pPr>
      <w:r>
        <w:t>Таким чином,  к</w:t>
      </w:r>
      <w:r w:rsidR="00E362DD">
        <w:t>римінально-правові ідеї</w:t>
      </w:r>
      <w:r w:rsidR="00E362DD">
        <w:rPr>
          <w:rStyle w:val="af1"/>
        </w:rPr>
        <w:footnoteReference w:id="62"/>
      </w:r>
      <w:r w:rsidR="00E362DD">
        <w:t xml:space="preserve"> та парадигми відіграють ключову роль у формуванні основ матеріального кримінального права та суспільства. Вони відображають цінності, етику та пріоритети певної епохи і суттєво впливають на те, як суспільство визначає справедливість, злочин і покарання. Для правознавців, політиків і громадян вкрай важливо критично оцінювати та адаптувати ці ідеї, щоб система кримінального правосуддя була справедливою, рівноправною та відповідала потребам суспільства, що постійно змінюються. Розуміючи історичну еволюцію та сучасні парадигми, ми можемо працювати над створенням системи кримінального правосуддя, яка дійсно служить інтересам усіх членів суспільства, сприяючи реабілітації, справедливості та довготривалим суспільним змінам.</w:t>
      </w:r>
    </w:p>
    <w:p w14:paraId="7FFA1FA9" w14:textId="77777777" w:rsidR="007558E4" w:rsidRDefault="007558E4" w:rsidP="007558E4">
      <w:pPr>
        <w:tabs>
          <w:tab w:val="left" w:pos="142"/>
        </w:tabs>
        <w:spacing w:line="360" w:lineRule="auto"/>
      </w:pPr>
    </w:p>
    <w:p w14:paraId="399D8630" w14:textId="77777777" w:rsidR="007558E4" w:rsidRDefault="007558E4" w:rsidP="007558E4">
      <w:pPr>
        <w:tabs>
          <w:tab w:val="left" w:pos="142"/>
        </w:tabs>
        <w:spacing w:line="360" w:lineRule="auto"/>
      </w:pPr>
    </w:p>
    <w:p w14:paraId="345E6003" w14:textId="77777777" w:rsidR="007558E4" w:rsidRDefault="007558E4">
      <w:pPr>
        <w:ind w:firstLine="0"/>
        <w:jc w:val="left"/>
      </w:pPr>
      <w:r>
        <w:br w:type="page"/>
      </w:r>
    </w:p>
    <w:p w14:paraId="0DBB1830" w14:textId="77777777" w:rsidR="00E362DD" w:rsidRDefault="00E362DD" w:rsidP="007558E4">
      <w:pPr>
        <w:tabs>
          <w:tab w:val="left" w:pos="142"/>
        </w:tabs>
        <w:spacing w:line="360" w:lineRule="auto"/>
      </w:pPr>
    </w:p>
    <w:p w14:paraId="4DB26AE7" w14:textId="77777777" w:rsidR="00E362DD" w:rsidRDefault="00E362DD" w:rsidP="00E362DD">
      <w:pPr>
        <w:tabs>
          <w:tab w:val="left" w:pos="142"/>
        </w:tabs>
        <w:spacing w:line="360" w:lineRule="auto"/>
      </w:pPr>
    </w:p>
    <w:p w14:paraId="50BC0D16" w14:textId="77777777" w:rsidR="00E362DD" w:rsidRDefault="00E362DD" w:rsidP="00E362DD">
      <w:pPr>
        <w:tabs>
          <w:tab w:val="left" w:pos="142"/>
        </w:tabs>
        <w:spacing w:line="360" w:lineRule="auto"/>
      </w:pPr>
    </w:p>
    <w:p w14:paraId="21B81378" w14:textId="1FE0085C" w:rsidR="00E362DD" w:rsidRPr="007B6EE2" w:rsidRDefault="008275D7" w:rsidP="008275D7">
      <w:pPr>
        <w:pStyle w:val="1"/>
      </w:pPr>
      <w:bookmarkStart w:id="12" w:name="_Toc147652535"/>
      <w:r w:rsidRPr="007B6EE2">
        <w:t>Сіллабус курсу:</w:t>
      </w:r>
      <w:r>
        <w:t xml:space="preserve"> </w:t>
      </w:r>
      <w:r w:rsidRPr="007B6EE2">
        <w:t>Кримінальні парадигми: від класики до постмодерну</w:t>
      </w:r>
      <w:bookmarkEnd w:id="12"/>
    </w:p>
    <w:p w14:paraId="2DCFB40B" w14:textId="77777777" w:rsidR="00E362DD" w:rsidRDefault="00E362DD" w:rsidP="00E362DD">
      <w:pPr>
        <w:tabs>
          <w:tab w:val="left" w:pos="142"/>
        </w:tabs>
        <w:spacing w:line="360" w:lineRule="auto"/>
      </w:pPr>
    </w:p>
    <w:p w14:paraId="143ACE7C" w14:textId="77777777" w:rsidR="00E362DD" w:rsidRPr="007B6EE2" w:rsidRDefault="00E362DD" w:rsidP="00E362DD">
      <w:pPr>
        <w:tabs>
          <w:tab w:val="left" w:pos="142"/>
        </w:tabs>
        <w:spacing w:line="360" w:lineRule="auto"/>
        <w:rPr>
          <w:i/>
          <w:iCs/>
        </w:rPr>
      </w:pPr>
      <w:r w:rsidRPr="007B6EE2">
        <w:rPr>
          <w:i/>
          <w:iCs/>
        </w:rPr>
        <w:t>Опис курсу:</w:t>
      </w:r>
    </w:p>
    <w:p w14:paraId="2F101F46" w14:textId="77777777" w:rsidR="00E362DD" w:rsidRDefault="00E362DD" w:rsidP="00E362DD">
      <w:pPr>
        <w:tabs>
          <w:tab w:val="left" w:pos="142"/>
        </w:tabs>
        <w:spacing w:line="360" w:lineRule="auto"/>
      </w:pPr>
      <w:r>
        <w:t>Цей курс досліджує еволюцію кримінальних парадигм від класичних теорій до постмодерністських поглядів. Студенти вивчатимуть ключові ідеї, теорії та зміни в кримінальній думці, які сформували сферу кримінології та вплинули на політику і практику. Завдяки критичному аналізу та дискусіям студенти отримають всебічне розуміння того, як ці парадигми сформували наше розуміння злочинності та правосуддя.</w:t>
      </w:r>
    </w:p>
    <w:p w14:paraId="62BF94FD" w14:textId="77777777" w:rsidR="00E362DD" w:rsidRPr="007B6EE2" w:rsidRDefault="00E362DD" w:rsidP="00E362DD">
      <w:pPr>
        <w:tabs>
          <w:tab w:val="left" w:pos="142"/>
        </w:tabs>
        <w:spacing w:line="360" w:lineRule="auto"/>
        <w:rPr>
          <w:i/>
          <w:iCs/>
        </w:rPr>
      </w:pPr>
      <w:r w:rsidRPr="007B6EE2">
        <w:rPr>
          <w:i/>
          <w:iCs/>
        </w:rPr>
        <w:t>Цілі курсу:</w:t>
      </w:r>
    </w:p>
    <w:p w14:paraId="574AC9A1" w14:textId="6DBEA7CB" w:rsidR="00E362DD" w:rsidRDefault="00E362DD" w:rsidP="007558E4">
      <w:pPr>
        <w:tabs>
          <w:tab w:val="left" w:pos="142"/>
        </w:tabs>
        <w:spacing w:line="360" w:lineRule="auto"/>
      </w:pPr>
      <w:r>
        <w:t>Надати студентам історичну перспективу розвитку кримінальних парадигм.</w:t>
      </w:r>
      <w:r w:rsidR="007558E4">
        <w:t xml:space="preserve"> </w:t>
      </w:r>
      <w:r>
        <w:t>Розглянути ключові теорії та мислителів, пов'язаних з кожною парадигмою.</w:t>
      </w:r>
      <w:r w:rsidR="007558E4">
        <w:t xml:space="preserve"> </w:t>
      </w:r>
      <w:r>
        <w:t>Дослідити, як ці парадигми вплинули на політику і практику кримінального правосуддя.</w:t>
      </w:r>
      <w:r w:rsidR="007558E4">
        <w:t xml:space="preserve"> </w:t>
      </w:r>
      <w:r>
        <w:t>Сприяти розвитку критичного мислення та аналізу сучасних проблем кримінального правосуддя.</w:t>
      </w:r>
      <w:r w:rsidR="007558E4">
        <w:t xml:space="preserve"> </w:t>
      </w:r>
    </w:p>
    <w:p w14:paraId="46C9FA6A" w14:textId="2358533B" w:rsidR="007B6EE2" w:rsidRDefault="007558E4" w:rsidP="007B6EE2">
      <w:pPr>
        <w:tabs>
          <w:tab w:val="left" w:pos="142"/>
        </w:tabs>
        <w:spacing w:line="360" w:lineRule="auto"/>
      </w:pPr>
      <w:r>
        <w:t xml:space="preserve">Насамкінець зазначимо, що програма курсу "Кримінальні парадигми: Від класики до постмодерну" органічно узгоджується із загальною темою кримінально-правових ідей і парадигм, розглянутою в </w:t>
      </w:r>
      <w:r w:rsidR="007B6EE2">
        <w:t>тексті посібника</w:t>
      </w:r>
      <w:r>
        <w:t xml:space="preserve">. Цей </w:t>
      </w:r>
      <w:r w:rsidR="001A088F">
        <w:t>сілабус</w:t>
      </w:r>
      <w:r>
        <w:t xml:space="preserve"> забезпечує </w:t>
      </w:r>
      <w:r w:rsidR="001A088F">
        <w:t xml:space="preserve"> додаткову </w:t>
      </w:r>
      <w:r>
        <w:t>структуровану і всеосяжну основу для заглиблення студентів в історичну еволюцію і сучасні погляди на злочинність, правосуддя і суспільну реакцію на злочинну поведінку. Вивчаючи цей курс, студенти здійснять подорож крізь час та інтелектуальний дискурс, починаючи з класичних теорій, які наголошують на стримуванні та раціональному виборі, до позитивістських парадигм, які розглядають біологічні, психологічні та соціологічні чинники як рушійні сили злочинної поведінки. Потім вони вивчатимуть структурні та конфліктні парадигми, які висвітлюють глибокий зв'язок між соціальними структурами та злочинністю, а також інтеракціоністські парадигми та парадигми навішування ярликів, які ставлять під сумнів традиційні уявлення про девіантність.</w:t>
      </w:r>
      <w:r w:rsidR="002F585D">
        <w:t xml:space="preserve"> </w:t>
      </w:r>
      <w:r>
        <w:t>Крім того, ця програма інтегрує критичні перспективи, висвітлюючи складну динаміку влади в системі кримінального правосуддя і пропонуючи ширший погляд на те, що є злочинністю. Нарешті, вона охоплює постмодерністські парадигми, які враховують швидкозмінну природу злочинності у взаємопов'язаному, глобалізованому світі.</w:t>
      </w:r>
      <w:r w:rsidR="007B6EE2" w:rsidRPr="007B6EE2">
        <w:t xml:space="preserve"> </w:t>
      </w:r>
      <w:r w:rsidR="007B6EE2">
        <w:t>Отже, кримінально-правові ідеї та парадигми, від класичних до постмодерністських, справили глибокий вплив на матеріальне кримінальне право і суспільство. Вони сформували те, як ми сприймаємо злочинну поведінку, розробляємо наші правові системи і реагуємо на злочинність. Хоча кожна парадигма зробила цінний внесок у наше розуміння злочинності та правосуддя, вони також породили дебати і конфлікти, які тривають і донині.</w:t>
      </w:r>
    </w:p>
    <w:p w14:paraId="4D988B0D" w14:textId="77777777" w:rsidR="007B6EE2" w:rsidRDefault="007B6EE2" w:rsidP="007B6EE2">
      <w:pPr>
        <w:tabs>
          <w:tab w:val="left" w:pos="142"/>
        </w:tabs>
        <w:spacing w:line="360" w:lineRule="auto"/>
      </w:pPr>
      <w:r>
        <w:t>Постійна взаємодія між цими парадигмами відображає еволюцію суспільства і складність людської поведінки. Це підкреслює необхідність збалансованого підходу до кримінального права та правосуддя, який визнає ідеї різних парадигм, прагнучи до справедливості, рівності та захисту прав особистості. Оскільки ми орієнтуємося в постійно мінливому ландшафті кримінального правосуддя, всебічне розуміння цих парадигм має важливе значення для прийняття обґрунтованих політичних рішень і побудови справедливого і гармонійного суспільства.</w:t>
      </w:r>
    </w:p>
    <w:p w14:paraId="7E8F7132" w14:textId="63C678AB" w:rsidR="007558E4" w:rsidRDefault="002F585D" w:rsidP="002F585D">
      <w:pPr>
        <w:tabs>
          <w:tab w:val="left" w:pos="142"/>
        </w:tabs>
        <w:spacing w:line="360" w:lineRule="auto"/>
        <w:ind w:firstLine="0"/>
      </w:pPr>
      <w:r>
        <w:tab/>
      </w:r>
      <w:r w:rsidR="007B6EE2">
        <w:tab/>
      </w:r>
      <w:r w:rsidR="007558E4">
        <w:t>Працюючи з різноманітною літературою, беручи участь у дискусіях та дебатах, а також проводячи поглиблені дослідження, студенти не лише отримають глибше розуміння кримінальних парадигм, але й розвинуть навички критичного мислення, які мають вирішальне значення для аналізу та вирішення сучасних викликів кримінального правосуддя. Вони будуть підготовлені до того, щоб ставити під сумнів усталені норми та шукати інноваційні рішення складних проблем, з якими стикається наша система кримінального правосуддя сьогодні.</w:t>
      </w:r>
    </w:p>
    <w:p w14:paraId="117B393F" w14:textId="50101A47" w:rsidR="007558E4" w:rsidRDefault="007B6EE2" w:rsidP="007558E4">
      <w:pPr>
        <w:tabs>
          <w:tab w:val="left" w:pos="142"/>
        </w:tabs>
        <w:spacing w:line="360" w:lineRule="auto"/>
      </w:pPr>
      <w:r>
        <w:tab/>
      </w:r>
      <w:r w:rsidR="007558E4">
        <w:t>Цей курс має на меті навчити студентів критично оцінювати вплив кримінально-правових ідей та парадигм на кримінальне право та суспільство, сприяючи формуванню всебічного світогляду, який виходить за межі дисциплінарних кордонів і дає змогу цілісно зрозуміти сферу кримінального правосуддя. Завдяки цьому дослідженню студенти будуть краще підготовлені до участі в постійній дискусії навколо реформи кримінальної юстиції та прагнення до більш рівноправного і справедливого суспільства.</w:t>
      </w:r>
    </w:p>
    <w:p w14:paraId="3F4FCE33" w14:textId="2F1DC5ED" w:rsidR="007558E4" w:rsidRPr="007B6EE2" w:rsidRDefault="002F585D" w:rsidP="007558E4">
      <w:pPr>
        <w:tabs>
          <w:tab w:val="left" w:pos="142"/>
        </w:tabs>
        <w:spacing w:line="360" w:lineRule="auto"/>
        <w:rPr>
          <w:b/>
          <w:bCs/>
        </w:rPr>
      </w:pPr>
      <w:r w:rsidRPr="007B6EE2">
        <w:rPr>
          <w:b/>
          <w:bCs/>
        </w:rPr>
        <w:t>ВАЖЛИВО</w:t>
      </w:r>
    </w:p>
    <w:p w14:paraId="277BD4A5" w14:textId="32CBF966" w:rsidR="007558E4" w:rsidRDefault="007558E4" w:rsidP="002F585D">
      <w:pPr>
        <w:tabs>
          <w:tab w:val="left" w:pos="142"/>
        </w:tabs>
        <w:spacing w:line="360" w:lineRule="auto"/>
        <w:rPr>
          <w:b/>
          <w:bCs/>
          <w:i/>
          <w:iCs/>
        </w:rPr>
      </w:pPr>
      <w:r w:rsidRPr="002F585D">
        <w:rPr>
          <w:b/>
          <w:bCs/>
          <w:i/>
          <w:iCs/>
        </w:rPr>
        <w:t>Користувач</w:t>
      </w:r>
      <w:r w:rsidR="002F585D" w:rsidRPr="002F585D">
        <w:rPr>
          <w:b/>
          <w:bCs/>
          <w:i/>
          <w:iCs/>
        </w:rPr>
        <w:t xml:space="preserve"> повинен </w:t>
      </w:r>
      <w:r w:rsidRPr="002F585D">
        <w:rPr>
          <w:b/>
          <w:bCs/>
          <w:i/>
          <w:iCs/>
        </w:rPr>
        <w:t>написати підсумкове есе, яке відображає висновки про те, як кримінально-правові ідеї та парадигми від класичних до постмодерністських впливають на кримінальне право та суспільство в цілому</w:t>
      </w:r>
      <w:r w:rsidR="002F585D" w:rsidRPr="002F585D">
        <w:rPr>
          <w:b/>
          <w:bCs/>
          <w:i/>
          <w:iCs/>
        </w:rPr>
        <w:t xml:space="preserve"> та відображені у його дисертаційному дослідженні.</w:t>
      </w:r>
    </w:p>
    <w:p w14:paraId="0582C756" w14:textId="77777777" w:rsidR="007B6EE2" w:rsidRPr="002F585D" w:rsidRDefault="007B6EE2" w:rsidP="002F585D">
      <w:pPr>
        <w:tabs>
          <w:tab w:val="left" w:pos="142"/>
        </w:tabs>
        <w:spacing w:line="360" w:lineRule="auto"/>
        <w:rPr>
          <w:b/>
          <w:bCs/>
          <w:i/>
          <w:iCs/>
        </w:rPr>
      </w:pPr>
    </w:p>
    <w:p w14:paraId="44EC3009" w14:textId="0CA4113D" w:rsidR="007558E4" w:rsidRPr="007B6EE2" w:rsidRDefault="007B6EE2" w:rsidP="007B6EE2">
      <w:pPr>
        <w:tabs>
          <w:tab w:val="left" w:pos="142"/>
        </w:tabs>
        <w:spacing w:line="360" w:lineRule="auto"/>
        <w:jc w:val="center"/>
        <w:rPr>
          <w:b/>
          <w:bCs/>
        </w:rPr>
      </w:pPr>
      <w:r w:rsidRPr="007B6EE2">
        <w:rPr>
          <w:b/>
          <w:bCs/>
        </w:rPr>
        <w:t>ПЛАНИ ПРАКТИЧНИХ ЗАНЯТТЬ</w:t>
      </w:r>
    </w:p>
    <w:p w14:paraId="6C9B05AB" w14:textId="2BAC9405" w:rsidR="002F585D" w:rsidRPr="007B6EE2" w:rsidRDefault="002F585D" w:rsidP="002F585D">
      <w:pPr>
        <w:tabs>
          <w:tab w:val="left" w:pos="142"/>
        </w:tabs>
        <w:spacing w:line="360" w:lineRule="auto"/>
        <w:rPr>
          <w:b/>
          <w:bCs/>
          <w:i/>
          <w:iCs/>
        </w:rPr>
      </w:pPr>
      <w:r w:rsidRPr="007B6EE2">
        <w:rPr>
          <w:b/>
          <w:bCs/>
          <w:i/>
          <w:iCs/>
        </w:rPr>
        <w:t>Заняття 1: Вступ до кримінальних парадигм (</w:t>
      </w:r>
      <w:r w:rsidR="007B6EE2">
        <w:rPr>
          <w:b/>
          <w:bCs/>
          <w:i/>
          <w:iCs/>
        </w:rPr>
        <w:t>2</w:t>
      </w:r>
      <w:r w:rsidRPr="007B6EE2">
        <w:rPr>
          <w:b/>
          <w:bCs/>
          <w:i/>
          <w:iCs/>
        </w:rPr>
        <w:t xml:space="preserve"> години)</w:t>
      </w:r>
    </w:p>
    <w:p w14:paraId="12356902" w14:textId="5411D4A9" w:rsidR="002F585D" w:rsidRDefault="002F585D" w:rsidP="002F585D">
      <w:pPr>
        <w:tabs>
          <w:tab w:val="left" w:pos="142"/>
        </w:tabs>
        <w:spacing w:line="360" w:lineRule="auto"/>
        <w:ind w:firstLine="0"/>
      </w:pPr>
      <w:r>
        <w:tab/>
        <w:t xml:space="preserve">      Розуміння концепції парадигм у дисциплінах кримінально-правового профілю. Боротьба ідей</w:t>
      </w:r>
    </w:p>
    <w:p w14:paraId="260A3D2E" w14:textId="77777777" w:rsidR="002F585D" w:rsidRDefault="002F585D" w:rsidP="002F585D">
      <w:pPr>
        <w:tabs>
          <w:tab w:val="left" w:pos="142"/>
        </w:tabs>
        <w:spacing w:line="360" w:lineRule="auto"/>
      </w:pPr>
      <w:r>
        <w:t>Роль парадигм у формуванні систем кримінального правосуддя.</w:t>
      </w:r>
    </w:p>
    <w:p w14:paraId="19CA4BA8" w14:textId="7E3C320A" w:rsidR="007B6EE2" w:rsidRPr="007B6EE2" w:rsidRDefault="007B6EE2" w:rsidP="002F585D">
      <w:pPr>
        <w:tabs>
          <w:tab w:val="left" w:pos="142"/>
        </w:tabs>
        <w:spacing w:line="360" w:lineRule="auto"/>
        <w:rPr>
          <w:b/>
          <w:bCs/>
          <w:i/>
          <w:iCs/>
        </w:rPr>
      </w:pPr>
      <w:r w:rsidRPr="007B6EE2">
        <w:rPr>
          <w:b/>
          <w:bCs/>
          <w:i/>
          <w:iCs/>
        </w:rPr>
        <w:t>Заняття 2 Шлях до глобального кримінального права (2 години)</w:t>
      </w:r>
    </w:p>
    <w:p w14:paraId="604182A6" w14:textId="455DC1D2" w:rsidR="002F585D" w:rsidRDefault="002F585D" w:rsidP="002F585D">
      <w:pPr>
        <w:tabs>
          <w:tab w:val="left" w:pos="142"/>
        </w:tabs>
        <w:spacing w:line="360" w:lineRule="auto"/>
      </w:pPr>
      <w:r>
        <w:t>Фрагментація та глобалізація</w:t>
      </w:r>
    </w:p>
    <w:p w14:paraId="7384A218" w14:textId="62F432E9" w:rsidR="002F585D" w:rsidRDefault="002F585D" w:rsidP="002F585D">
      <w:pPr>
        <w:tabs>
          <w:tab w:val="left" w:pos="142"/>
        </w:tabs>
        <w:spacing w:line="360" w:lineRule="auto"/>
      </w:pPr>
      <w:r>
        <w:t>Кримінально-правові парадигми та євроінтеграція</w:t>
      </w:r>
    </w:p>
    <w:p w14:paraId="098B5F94" w14:textId="6AC0E727" w:rsidR="007558E4" w:rsidRPr="007B6EE2" w:rsidRDefault="002F585D" w:rsidP="007558E4">
      <w:pPr>
        <w:tabs>
          <w:tab w:val="left" w:pos="142"/>
        </w:tabs>
        <w:spacing w:line="360" w:lineRule="auto"/>
        <w:rPr>
          <w:b/>
          <w:bCs/>
          <w:i/>
          <w:iCs/>
        </w:rPr>
      </w:pPr>
      <w:r w:rsidRPr="007B6EE2">
        <w:rPr>
          <w:b/>
          <w:bCs/>
          <w:i/>
          <w:iCs/>
        </w:rPr>
        <w:t>Заняття 3</w:t>
      </w:r>
      <w:r w:rsidR="007558E4" w:rsidRPr="007B6EE2">
        <w:rPr>
          <w:b/>
          <w:bCs/>
          <w:i/>
          <w:iCs/>
        </w:rPr>
        <w:t>. Класичні парадигми</w:t>
      </w:r>
      <w:r w:rsidRPr="007B6EE2">
        <w:rPr>
          <w:b/>
          <w:bCs/>
          <w:i/>
          <w:iCs/>
        </w:rPr>
        <w:t xml:space="preserve"> </w:t>
      </w:r>
      <w:r w:rsidR="007B6EE2" w:rsidRPr="007B6EE2">
        <w:rPr>
          <w:b/>
          <w:bCs/>
          <w:i/>
          <w:iCs/>
        </w:rPr>
        <w:t>(</w:t>
      </w:r>
      <w:r w:rsidRPr="007B6EE2">
        <w:rPr>
          <w:b/>
          <w:bCs/>
          <w:i/>
          <w:iCs/>
        </w:rPr>
        <w:t>2 години</w:t>
      </w:r>
      <w:r w:rsidR="007B6EE2" w:rsidRPr="007B6EE2">
        <w:rPr>
          <w:b/>
          <w:bCs/>
          <w:i/>
          <w:iCs/>
        </w:rPr>
        <w:t>)</w:t>
      </w:r>
    </w:p>
    <w:p w14:paraId="695C48D2" w14:textId="77777777" w:rsidR="007558E4" w:rsidRDefault="007558E4" w:rsidP="007558E4">
      <w:pPr>
        <w:tabs>
          <w:tab w:val="left" w:pos="142"/>
        </w:tabs>
        <w:spacing w:line="360" w:lineRule="auto"/>
      </w:pPr>
      <w:r>
        <w:t>Класичні парадигми, прикладом яких є праці Чезаре Беккаріа та Джеремі Бентама, заклали основу сучасного кримінального права. Центральне місце в цій парадигмі займає концепція стримування і теорія раціонального вибору, що підкреслює необхідність пропорційного покарання для запобігання злочинній поведінці. Ці ідеї суттєво вплинули на розробку кримінальних кодексів і керівних принципів призначення покарань. Однак вони також зазнали критики за те, що вони зосереджуються на покаранні, а не на реабілітації, що сприяє надмірному ув'язненню та каральним системам правосуддя.</w:t>
      </w:r>
    </w:p>
    <w:p w14:paraId="17C67623" w14:textId="77777777" w:rsidR="002F585D" w:rsidRDefault="002F585D" w:rsidP="007B6EE2">
      <w:pPr>
        <w:pStyle w:val="af4"/>
        <w:numPr>
          <w:ilvl w:val="0"/>
          <w:numId w:val="26"/>
        </w:numPr>
        <w:spacing w:line="360" w:lineRule="auto"/>
      </w:pPr>
      <w:r>
        <w:t>Ключові мислителі: Чезаре Беккаріа та Джеремі Бентам.</w:t>
      </w:r>
    </w:p>
    <w:p w14:paraId="33AEEAF1" w14:textId="77777777" w:rsidR="002F585D" w:rsidRDefault="002F585D" w:rsidP="007B6EE2">
      <w:pPr>
        <w:pStyle w:val="af4"/>
        <w:numPr>
          <w:ilvl w:val="0"/>
          <w:numId w:val="26"/>
        </w:numPr>
        <w:spacing w:line="360" w:lineRule="auto"/>
      </w:pPr>
      <w:r>
        <w:t>Концепції стримування та теорії раціонального вибору.</w:t>
      </w:r>
    </w:p>
    <w:p w14:paraId="5877EB4D" w14:textId="77777777" w:rsidR="002F585D" w:rsidRDefault="002F585D" w:rsidP="007B6EE2">
      <w:pPr>
        <w:pStyle w:val="af4"/>
        <w:numPr>
          <w:ilvl w:val="0"/>
          <w:numId w:val="26"/>
        </w:numPr>
        <w:spacing w:line="360" w:lineRule="auto"/>
      </w:pPr>
      <w:r>
        <w:t>Критика та сучасні застосування класичної кримінології.</w:t>
      </w:r>
    </w:p>
    <w:p w14:paraId="25ED7C5F" w14:textId="6658B297" w:rsidR="007558E4" w:rsidRPr="007B6EE2" w:rsidRDefault="002F585D" w:rsidP="007B6EE2">
      <w:pPr>
        <w:tabs>
          <w:tab w:val="left" w:pos="142"/>
        </w:tabs>
        <w:spacing w:line="360" w:lineRule="auto"/>
        <w:rPr>
          <w:b/>
          <w:bCs/>
        </w:rPr>
      </w:pPr>
      <w:r w:rsidRPr="007B6EE2">
        <w:rPr>
          <w:b/>
          <w:bCs/>
        </w:rPr>
        <w:t>Заняття 4</w:t>
      </w:r>
      <w:r w:rsidR="007558E4" w:rsidRPr="007B6EE2">
        <w:rPr>
          <w:b/>
          <w:bCs/>
        </w:rPr>
        <w:t>. Позитивістські парадигми</w:t>
      </w:r>
      <w:r w:rsidR="007B6EE2">
        <w:rPr>
          <w:b/>
          <w:bCs/>
        </w:rPr>
        <w:t xml:space="preserve"> (2 години)</w:t>
      </w:r>
    </w:p>
    <w:p w14:paraId="15C53013" w14:textId="77777777" w:rsidR="007558E4" w:rsidRDefault="007558E4" w:rsidP="007558E4">
      <w:pPr>
        <w:tabs>
          <w:tab w:val="left" w:pos="142"/>
        </w:tabs>
        <w:spacing w:line="360" w:lineRule="auto"/>
      </w:pPr>
      <w:r>
        <w:t>Позитивістські парадигми, прикладом яких є Чезаре Ломброзо та Еміль Дюркгейм, запровадили більш тонке розуміння злочинної поведінки. Біологічні, психологічні та соціологічні фактори досліджувалися як елементи, що сприяють злочинності. Вплив на матеріальне кримінальне право очевидний у розробці політик, спрямованих на усунення першопричин злочинності, таких як лікування наркоманії та втручання у сферу психічного здоров'я. Тим не менш, позитивізм також зіткнувся з проблемами у своєму застосуванні, особливо в контексті громадянських свобод та індивідуальних прав.</w:t>
      </w:r>
    </w:p>
    <w:p w14:paraId="374EB019" w14:textId="77777777" w:rsidR="007B6EE2" w:rsidRDefault="007B6EE2" w:rsidP="007B6EE2">
      <w:pPr>
        <w:pStyle w:val="af4"/>
        <w:numPr>
          <w:ilvl w:val="0"/>
          <w:numId w:val="27"/>
        </w:numPr>
        <w:spacing w:line="360" w:lineRule="auto"/>
      </w:pPr>
      <w:r>
        <w:t>Ключові мислителі: Чезаре Ломброзо та Еміль Дюркгейм.</w:t>
      </w:r>
    </w:p>
    <w:p w14:paraId="60C68938" w14:textId="77777777" w:rsidR="007B6EE2" w:rsidRDefault="007B6EE2" w:rsidP="007B6EE2">
      <w:pPr>
        <w:pStyle w:val="af4"/>
        <w:numPr>
          <w:ilvl w:val="0"/>
          <w:numId w:val="27"/>
        </w:numPr>
        <w:spacing w:line="360" w:lineRule="auto"/>
      </w:pPr>
      <w:r>
        <w:t>Біологічні, психологічні та соціологічні пояснення злочинності.</w:t>
      </w:r>
    </w:p>
    <w:p w14:paraId="3B8B16E4" w14:textId="77777777" w:rsidR="007B6EE2" w:rsidRDefault="007B6EE2" w:rsidP="007B6EE2">
      <w:pPr>
        <w:pStyle w:val="af4"/>
        <w:numPr>
          <w:ilvl w:val="0"/>
          <w:numId w:val="27"/>
        </w:numPr>
        <w:spacing w:line="360" w:lineRule="auto"/>
      </w:pPr>
      <w:r>
        <w:t>Розвиток сучасної кримінології та її вплив на політику.</w:t>
      </w:r>
    </w:p>
    <w:p w14:paraId="3A9B091C" w14:textId="70B8F641" w:rsidR="007558E4" w:rsidRPr="007B6EE2" w:rsidRDefault="007B6EE2" w:rsidP="007558E4">
      <w:pPr>
        <w:tabs>
          <w:tab w:val="left" w:pos="142"/>
        </w:tabs>
        <w:spacing w:line="360" w:lineRule="auto"/>
        <w:rPr>
          <w:b/>
          <w:bCs/>
        </w:rPr>
      </w:pPr>
      <w:r w:rsidRPr="007B6EE2">
        <w:rPr>
          <w:b/>
          <w:bCs/>
        </w:rPr>
        <w:t xml:space="preserve">Заняття 5 </w:t>
      </w:r>
      <w:r w:rsidR="007558E4" w:rsidRPr="007B6EE2">
        <w:rPr>
          <w:b/>
          <w:bCs/>
        </w:rPr>
        <w:t xml:space="preserve"> Структурна та конфліктна парадигми</w:t>
      </w:r>
      <w:r>
        <w:rPr>
          <w:b/>
          <w:bCs/>
        </w:rPr>
        <w:t xml:space="preserve"> (2 години)</w:t>
      </w:r>
    </w:p>
    <w:p w14:paraId="27549E0D" w14:textId="77777777" w:rsidR="007558E4" w:rsidRDefault="007558E4" w:rsidP="007558E4">
      <w:pPr>
        <w:tabs>
          <w:tab w:val="left" w:pos="142"/>
        </w:tabs>
        <w:spacing w:line="360" w:lineRule="auto"/>
      </w:pPr>
      <w:r>
        <w:t>Структурна та конфліктна парадигми, що сформувалися під впливом таких мислителів, як Карл Маркс та Еміль Дюркгейм, заглиблюються в соціальні та економічні структури, які лежать в основі злочинної поведінки. Ці парадигми наголошують на нерівності та соціальних конфліктах як рушійних силах злочинності. Їхній вплив на матеріальне кримінальне право можна побачити в ініціативах, спрямованих на подолання системної нерівності, таких як реформа кримінальної юстиції та антидискримінаційні закони. Тим не менш, ці парадигми також зустрічають опір з боку тих, хто надає перевагу особистій відповідальності перед суспільними факторами.</w:t>
      </w:r>
    </w:p>
    <w:p w14:paraId="6E9A5F1B" w14:textId="77777777" w:rsidR="007B6EE2" w:rsidRDefault="007B6EE2" w:rsidP="007B6EE2">
      <w:pPr>
        <w:pStyle w:val="af4"/>
        <w:numPr>
          <w:ilvl w:val="0"/>
          <w:numId w:val="28"/>
        </w:numPr>
        <w:spacing w:line="360" w:lineRule="auto"/>
      </w:pPr>
      <w:r>
        <w:t>Ключові мислителі: Карл Маркс та Еміль Дюркгейм.</w:t>
      </w:r>
    </w:p>
    <w:p w14:paraId="333F704B" w14:textId="77777777" w:rsidR="007B6EE2" w:rsidRDefault="007B6EE2" w:rsidP="007B6EE2">
      <w:pPr>
        <w:pStyle w:val="af4"/>
        <w:numPr>
          <w:ilvl w:val="0"/>
          <w:numId w:val="28"/>
        </w:numPr>
        <w:spacing w:line="360" w:lineRule="auto"/>
      </w:pPr>
      <w:r>
        <w:t>Вивчення зв'язку між соціальною структурою та злочинністю.</w:t>
      </w:r>
    </w:p>
    <w:p w14:paraId="7440139D" w14:textId="23C3ACDD" w:rsidR="007558E4" w:rsidRDefault="007B6EE2" w:rsidP="007B6EE2">
      <w:pPr>
        <w:pStyle w:val="af4"/>
        <w:numPr>
          <w:ilvl w:val="0"/>
          <w:numId w:val="28"/>
        </w:numPr>
        <w:tabs>
          <w:tab w:val="left" w:pos="142"/>
        </w:tabs>
        <w:spacing w:line="360" w:lineRule="auto"/>
      </w:pPr>
      <w:r>
        <w:t>Теорії соціального конфлікту та їх значення для розуміння злочинності</w:t>
      </w:r>
    </w:p>
    <w:p w14:paraId="593D6565" w14:textId="403B5222" w:rsidR="007558E4" w:rsidRPr="007B6EE2" w:rsidRDefault="007B6EE2" w:rsidP="007558E4">
      <w:pPr>
        <w:tabs>
          <w:tab w:val="left" w:pos="142"/>
        </w:tabs>
        <w:spacing w:line="360" w:lineRule="auto"/>
        <w:rPr>
          <w:b/>
          <w:bCs/>
          <w:i/>
          <w:iCs/>
        </w:rPr>
      </w:pPr>
      <w:r w:rsidRPr="007B6EE2">
        <w:rPr>
          <w:b/>
          <w:bCs/>
          <w:i/>
          <w:iCs/>
        </w:rPr>
        <w:t>Заняття 6.</w:t>
      </w:r>
      <w:r w:rsidR="007558E4" w:rsidRPr="007B6EE2">
        <w:rPr>
          <w:b/>
          <w:bCs/>
          <w:i/>
          <w:iCs/>
        </w:rPr>
        <w:t xml:space="preserve"> Інтеракціоністська парадигма та парадигма навішування ярликів</w:t>
      </w:r>
      <w:r w:rsidRPr="007B6EE2">
        <w:rPr>
          <w:b/>
          <w:bCs/>
          <w:i/>
          <w:iCs/>
        </w:rPr>
        <w:t xml:space="preserve"> (2 години)</w:t>
      </w:r>
    </w:p>
    <w:p w14:paraId="5767F88B" w14:textId="77777777" w:rsidR="002F585D" w:rsidRDefault="002F585D" w:rsidP="002F585D">
      <w:pPr>
        <w:tabs>
          <w:tab w:val="left" w:pos="142"/>
        </w:tabs>
        <w:spacing w:line="360" w:lineRule="auto"/>
      </w:pPr>
      <w:r>
        <w:t>Інтеракціоністська парадигма та парадигма навішування ярликів, висунуті такими вченими, як Говард Беккер та Едвін Лемерт, кидають виклик традиційним уявленням про девіантність. Вони зосереджуються на ролі соціальних ярликів і стигми у злочинній поведінці. Ці парадигми вплинули на кримінальне право, спричинивши дискусії про декриміналізацію та альтернативні підходи до правосуддя. Проте вони стикаються з протидією з боку тих, хто побоюється потенційної ерозії суспільних норм.</w:t>
      </w:r>
    </w:p>
    <w:p w14:paraId="4104D205" w14:textId="77777777" w:rsidR="007B6EE2" w:rsidRDefault="007B6EE2" w:rsidP="007B6EE2">
      <w:pPr>
        <w:pStyle w:val="af4"/>
        <w:numPr>
          <w:ilvl w:val="0"/>
          <w:numId w:val="29"/>
        </w:numPr>
        <w:spacing w:line="360" w:lineRule="auto"/>
      </w:pPr>
      <w:r>
        <w:t>Ключові мислителі: Говард Беккер та Едвін Лемерт.</w:t>
      </w:r>
    </w:p>
    <w:p w14:paraId="70F9D2B8" w14:textId="77777777" w:rsidR="007B6EE2" w:rsidRDefault="007B6EE2" w:rsidP="007B6EE2">
      <w:pPr>
        <w:pStyle w:val="af4"/>
        <w:numPr>
          <w:ilvl w:val="0"/>
          <w:numId w:val="29"/>
        </w:numPr>
        <w:spacing w:line="360" w:lineRule="auto"/>
      </w:pPr>
      <w:r>
        <w:t>Роль ярликів та стигми у злочинній поведінці.</w:t>
      </w:r>
    </w:p>
    <w:p w14:paraId="3B15D2EE" w14:textId="77777777" w:rsidR="007B6EE2" w:rsidRDefault="007B6EE2" w:rsidP="007B6EE2">
      <w:pPr>
        <w:pStyle w:val="af4"/>
        <w:numPr>
          <w:ilvl w:val="0"/>
          <w:numId w:val="29"/>
        </w:numPr>
        <w:spacing w:line="360" w:lineRule="auto"/>
      </w:pPr>
      <w:r>
        <w:t>Соціальне конструювання девіантності та її наслідки.</w:t>
      </w:r>
    </w:p>
    <w:p w14:paraId="616D9CB4" w14:textId="423CF6CE" w:rsidR="002F585D" w:rsidRPr="007B6EE2" w:rsidRDefault="007B6EE2" w:rsidP="002F585D">
      <w:pPr>
        <w:tabs>
          <w:tab w:val="left" w:pos="142"/>
        </w:tabs>
        <w:spacing w:line="360" w:lineRule="auto"/>
        <w:rPr>
          <w:b/>
          <w:bCs/>
          <w:i/>
          <w:iCs/>
        </w:rPr>
      </w:pPr>
      <w:r w:rsidRPr="007B6EE2">
        <w:rPr>
          <w:b/>
          <w:bCs/>
          <w:i/>
          <w:iCs/>
        </w:rPr>
        <w:t>Заняття 7</w:t>
      </w:r>
      <w:r w:rsidR="002F585D" w:rsidRPr="007B6EE2">
        <w:rPr>
          <w:b/>
          <w:bCs/>
          <w:i/>
          <w:iCs/>
        </w:rPr>
        <w:t>. Критичні та постмодерністські парадигми</w:t>
      </w:r>
      <w:r w:rsidRPr="007B6EE2">
        <w:rPr>
          <w:b/>
          <w:bCs/>
          <w:i/>
          <w:iCs/>
        </w:rPr>
        <w:t xml:space="preserve"> (2 години)</w:t>
      </w:r>
    </w:p>
    <w:p w14:paraId="4C09BA03" w14:textId="31E54AD5" w:rsidR="000B2770" w:rsidRDefault="002F585D" w:rsidP="000B2770">
      <w:pPr>
        <w:tabs>
          <w:tab w:val="left" w:pos="142"/>
        </w:tabs>
        <w:spacing w:line="360" w:lineRule="auto"/>
      </w:pPr>
      <w:r>
        <w:t xml:space="preserve">Критичні парадигми, прикладом яких є Мішель Фуко та Джок Янг, викривають динаміку влади, притаманну системі кримінального правосуддя. Вони критикують криміналізацію маргінальних груп і ставлять питання про природу державного контролю. </w:t>
      </w:r>
      <w:r w:rsidR="000B2770">
        <w:t>Ключові мислителі: Мішель Фуко та Джок Янг.</w:t>
      </w:r>
    </w:p>
    <w:p w14:paraId="2C31F03D" w14:textId="77777777" w:rsidR="000B2770" w:rsidRDefault="000B2770" w:rsidP="000B2770">
      <w:pPr>
        <w:pStyle w:val="af4"/>
        <w:numPr>
          <w:ilvl w:val="0"/>
          <w:numId w:val="30"/>
        </w:numPr>
        <w:spacing w:line="360" w:lineRule="auto"/>
      </w:pPr>
      <w:r>
        <w:t>Критика влади і контролю в системі кримінального правосуддя.</w:t>
      </w:r>
    </w:p>
    <w:p w14:paraId="12DA2443" w14:textId="77777777" w:rsidR="000B2770" w:rsidRDefault="000B2770" w:rsidP="000B2770">
      <w:pPr>
        <w:pStyle w:val="af4"/>
        <w:numPr>
          <w:ilvl w:val="0"/>
          <w:numId w:val="30"/>
        </w:numPr>
        <w:spacing w:line="360" w:lineRule="auto"/>
      </w:pPr>
      <w:r>
        <w:t>Вивчення концепції соціальної шкоди та державно-корпоративної злочинності.</w:t>
      </w:r>
    </w:p>
    <w:p w14:paraId="7B96271B" w14:textId="17042D2F" w:rsidR="000B2770" w:rsidRPr="000B2770" w:rsidRDefault="000B2770" w:rsidP="000B2770">
      <w:pPr>
        <w:spacing w:line="360" w:lineRule="auto"/>
        <w:rPr>
          <w:b/>
          <w:bCs/>
          <w:i/>
          <w:iCs/>
        </w:rPr>
      </w:pPr>
      <w:r w:rsidRPr="000B2770">
        <w:rPr>
          <w:b/>
          <w:bCs/>
          <w:i/>
          <w:iCs/>
        </w:rPr>
        <w:t>Заняття 8 Постмодерністські парадигми (2 години)</w:t>
      </w:r>
    </w:p>
    <w:p w14:paraId="447489D9" w14:textId="77777777" w:rsidR="000B2770" w:rsidRDefault="000B2770" w:rsidP="000B2770">
      <w:pPr>
        <w:tabs>
          <w:tab w:val="left" w:pos="142"/>
        </w:tabs>
        <w:spacing w:line="360" w:lineRule="auto"/>
      </w:pPr>
      <w:r>
        <w:t>Постмодерністські парадигми, сформовані такими мислителями, як Зигмунт Бауман і Жан Бодріяр, деконструюють традиційні уявлення про злочин і правосуддя, підкреслюючи вплив глобалізації та технологій на злочинність. Ці парадигми кидають виклик самим основам матеріального кримінального права і суспільних структур.</w:t>
      </w:r>
    </w:p>
    <w:p w14:paraId="74FB3CBB" w14:textId="77777777" w:rsidR="000B2770" w:rsidRDefault="000B2770" w:rsidP="000B2770">
      <w:pPr>
        <w:pStyle w:val="af4"/>
        <w:numPr>
          <w:ilvl w:val="0"/>
          <w:numId w:val="31"/>
        </w:numPr>
        <w:spacing w:line="360" w:lineRule="auto"/>
      </w:pPr>
      <w:r>
        <w:t>Ключові мислителі: Зигмунт Бауман та Жан Бодріяр.</w:t>
      </w:r>
    </w:p>
    <w:p w14:paraId="6555C279" w14:textId="77777777" w:rsidR="000B2770" w:rsidRDefault="000B2770" w:rsidP="000B2770">
      <w:pPr>
        <w:pStyle w:val="af4"/>
        <w:numPr>
          <w:ilvl w:val="0"/>
          <w:numId w:val="31"/>
        </w:numPr>
        <w:spacing w:line="360" w:lineRule="auto"/>
      </w:pPr>
      <w:r>
        <w:t>Деконструкція традиційних уявлень про злочин і правосуддя.</w:t>
      </w:r>
    </w:p>
    <w:p w14:paraId="2612956B" w14:textId="77777777" w:rsidR="000B2770" w:rsidRDefault="000B2770" w:rsidP="000B2770">
      <w:pPr>
        <w:pStyle w:val="af4"/>
        <w:numPr>
          <w:ilvl w:val="0"/>
          <w:numId w:val="31"/>
        </w:numPr>
        <w:spacing w:line="360" w:lineRule="auto"/>
      </w:pPr>
      <w:r>
        <w:t>Вплив глобалізації, технологій та гіперреальності на злочинність.</w:t>
      </w:r>
    </w:p>
    <w:p w14:paraId="7FA2FF09" w14:textId="5D55A0BE" w:rsidR="000B2770" w:rsidRPr="000B2770" w:rsidRDefault="000B2770" w:rsidP="000B2770">
      <w:pPr>
        <w:pStyle w:val="af4"/>
        <w:spacing w:line="360" w:lineRule="auto"/>
        <w:ind w:left="1287" w:firstLine="0"/>
        <w:rPr>
          <w:b/>
          <w:bCs/>
          <w:i/>
          <w:iCs/>
          <w:lang w:val="ru-RU"/>
        </w:rPr>
      </w:pPr>
      <w:r w:rsidRPr="000B2770">
        <w:rPr>
          <w:b/>
          <w:bCs/>
          <w:i/>
          <w:iCs/>
          <w:lang w:val="ru-RU"/>
        </w:rPr>
        <w:t>Заняття 9</w:t>
      </w:r>
      <w:proofErr w:type="gramStart"/>
      <w:r w:rsidRPr="000B2770">
        <w:rPr>
          <w:b/>
          <w:bCs/>
          <w:i/>
          <w:iCs/>
          <w:lang w:val="ru-RU"/>
        </w:rPr>
        <w:t xml:space="preserve"> </w:t>
      </w:r>
      <w:r w:rsidRPr="000B2770">
        <w:rPr>
          <w:b/>
          <w:bCs/>
          <w:i/>
          <w:iCs/>
        </w:rPr>
        <w:t>:</w:t>
      </w:r>
      <w:proofErr w:type="gramEnd"/>
      <w:r w:rsidRPr="000B2770">
        <w:rPr>
          <w:b/>
          <w:bCs/>
          <w:i/>
          <w:iCs/>
        </w:rPr>
        <w:t xml:space="preserve"> Синтез та майбутні напрямки</w:t>
      </w:r>
      <w:r w:rsidRPr="000B2770">
        <w:rPr>
          <w:b/>
          <w:bCs/>
          <w:i/>
          <w:iCs/>
          <w:lang w:val="ru-RU"/>
        </w:rPr>
        <w:t xml:space="preserve"> (4 години)</w:t>
      </w:r>
    </w:p>
    <w:p w14:paraId="6D41369E" w14:textId="547715DC" w:rsidR="002F585D" w:rsidRPr="000B2770" w:rsidRDefault="000B2770" w:rsidP="002F585D">
      <w:pPr>
        <w:tabs>
          <w:tab w:val="left" w:pos="142"/>
        </w:tabs>
        <w:spacing w:line="360" w:lineRule="auto"/>
        <w:rPr>
          <w:lang w:val="ru-RU"/>
        </w:rPr>
      </w:pPr>
      <w:r>
        <w:rPr>
          <w:lang w:val="ru-RU"/>
        </w:rPr>
        <w:t>Дискус</w:t>
      </w:r>
      <w:r>
        <w:t>і</w:t>
      </w:r>
      <w:r>
        <w:rPr>
          <w:lang w:val="ru-RU"/>
        </w:rPr>
        <w:t>я та кейси</w:t>
      </w:r>
    </w:p>
    <w:p w14:paraId="1F644E0F" w14:textId="77777777" w:rsidR="002F585D" w:rsidRDefault="002F585D" w:rsidP="002F585D">
      <w:pPr>
        <w:tabs>
          <w:tab w:val="left" w:pos="142"/>
        </w:tabs>
        <w:spacing w:line="360" w:lineRule="auto"/>
      </w:pPr>
    </w:p>
    <w:p w14:paraId="0F9A1D21" w14:textId="79792C5F" w:rsidR="007558E4" w:rsidRPr="007558E4" w:rsidRDefault="007558E4" w:rsidP="007558E4">
      <w:pPr>
        <w:pStyle w:val="a9"/>
        <w:widowControl w:val="0"/>
        <w:autoSpaceDE w:val="0"/>
        <w:autoSpaceDN w:val="0"/>
        <w:spacing w:before="2" w:after="1" w:line="360" w:lineRule="auto"/>
        <w:rPr>
          <w:i/>
          <w:iCs/>
          <w:szCs w:val="28"/>
          <w:lang w:val="uk-UA"/>
        </w:rPr>
      </w:pPr>
      <w:r w:rsidRPr="007558E4">
        <w:rPr>
          <w:i/>
          <w:iCs/>
          <w:szCs w:val="28"/>
          <w:lang w:val="uk-UA"/>
        </w:rPr>
        <w:t>Завдання</w:t>
      </w:r>
    </w:p>
    <w:p w14:paraId="1548EDEC" w14:textId="72FF6EA8" w:rsidR="007558E4" w:rsidRPr="00852120" w:rsidRDefault="007558E4" w:rsidP="000B2770">
      <w:pPr>
        <w:pStyle w:val="a9"/>
        <w:widowControl w:val="0"/>
        <w:numPr>
          <w:ilvl w:val="0"/>
          <w:numId w:val="7"/>
        </w:numPr>
        <w:autoSpaceDE w:val="0"/>
        <w:autoSpaceDN w:val="0"/>
        <w:spacing w:before="2" w:after="1" w:line="360" w:lineRule="auto"/>
        <w:rPr>
          <w:szCs w:val="28"/>
          <w:lang w:val="uk-UA"/>
        </w:rPr>
      </w:pPr>
      <w:r w:rsidRPr="00852120">
        <w:rPr>
          <w:szCs w:val="28"/>
          <w:lang w:val="uk-UA"/>
        </w:rPr>
        <w:t>Надайте опис методології вашої дисертаційної роботи за умов використання позитивістького, гуманістичного, нейробіологічного підходу к аналізу кримінально-правових категорій.</w:t>
      </w:r>
    </w:p>
    <w:tbl>
      <w:tblPr>
        <w:tblW w:w="10065" w:type="dxa"/>
        <w:tblInd w:w="-284" w:type="dxa"/>
        <w:tblLayout w:type="fixed"/>
        <w:tblLook w:val="00A0" w:firstRow="1" w:lastRow="0" w:firstColumn="1" w:lastColumn="0" w:noHBand="0" w:noVBand="0"/>
      </w:tblPr>
      <w:tblGrid>
        <w:gridCol w:w="10065"/>
      </w:tblGrid>
      <w:tr w:rsidR="00A401CD" w:rsidRPr="00852120" w14:paraId="06ED05FF" w14:textId="77777777" w:rsidTr="001E2D5E">
        <w:trPr>
          <w:trHeight w:val="320"/>
        </w:trPr>
        <w:tc>
          <w:tcPr>
            <w:tcW w:w="10065" w:type="dxa"/>
            <w:vAlign w:val="bottom"/>
          </w:tcPr>
          <w:p w14:paraId="5954AC66" w14:textId="4671E731" w:rsidR="00A401CD" w:rsidRPr="00852120" w:rsidRDefault="00A401CD" w:rsidP="00DF00C7">
            <w:pPr>
              <w:pStyle w:val="a9"/>
              <w:widowControl w:val="0"/>
              <w:numPr>
                <w:ilvl w:val="0"/>
                <w:numId w:val="7"/>
              </w:numPr>
              <w:autoSpaceDE w:val="0"/>
              <w:autoSpaceDN w:val="0"/>
              <w:spacing w:before="2" w:after="1"/>
              <w:ind w:left="48" w:firstLine="669"/>
              <w:rPr>
                <w:szCs w:val="28"/>
                <w:lang w:val="uk-UA"/>
              </w:rPr>
            </w:pPr>
            <w:r w:rsidRPr="00852120">
              <w:rPr>
                <w:szCs w:val="28"/>
                <w:lang w:val="uk-UA"/>
              </w:rPr>
              <w:t xml:space="preserve">Надайте </w:t>
            </w:r>
            <w:r w:rsidR="007558E4">
              <w:rPr>
                <w:szCs w:val="28"/>
                <w:lang w:val="uk-UA"/>
              </w:rPr>
              <w:t xml:space="preserve"> письмову </w:t>
            </w:r>
            <w:r w:rsidRPr="00852120">
              <w:rPr>
                <w:szCs w:val="28"/>
                <w:lang w:val="uk-UA"/>
              </w:rPr>
              <w:t>відповідь за наступними кейсами:</w:t>
            </w:r>
          </w:p>
          <w:p w14:paraId="2066B599" w14:textId="77777777" w:rsidR="00A401CD" w:rsidRPr="00852120" w:rsidRDefault="00A401CD" w:rsidP="00DF00C7">
            <w:pPr>
              <w:pStyle w:val="a9"/>
              <w:spacing w:before="2" w:after="1"/>
              <w:ind w:left="48" w:firstLine="669"/>
              <w:rPr>
                <w:szCs w:val="28"/>
                <w:lang w:val="uk-UA"/>
              </w:rPr>
            </w:pPr>
          </w:p>
          <w:p w14:paraId="1F5181AE" w14:textId="77777777" w:rsidR="00A401CD" w:rsidRPr="00852120" w:rsidRDefault="00A401CD" w:rsidP="00DF00C7">
            <w:pPr>
              <w:pStyle w:val="af4"/>
              <w:numPr>
                <w:ilvl w:val="1"/>
                <w:numId w:val="7"/>
              </w:numPr>
              <w:spacing w:after="200" w:line="276" w:lineRule="auto"/>
              <w:ind w:left="48" w:firstLine="669"/>
              <w:contextualSpacing/>
              <w:rPr>
                <w:rStyle w:val="a6"/>
                <w:i/>
                <w:color w:val="auto"/>
              </w:rPr>
            </w:pPr>
            <w:r w:rsidRPr="00852120">
              <w:rPr>
                <w:i/>
              </w:rPr>
              <w:t xml:space="preserve">Ознайомтесь, будь ласка, з Інструкцією «Про порядок превентивного затримання у районі проведення антитерористичної операції осіб, причетних до терористичної діяльності, та особливого режиму досудового розслідування в умовах воєнного, надзвичайного стану або у районі проведення антитерористичної операції» від 26.08.2014 № 872/88/537 URL: </w:t>
            </w:r>
            <w:hyperlink r:id="rId9" w:anchor="Text" w:history="1">
              <w:r w:rsidRPr="00852120">
                <w:rPr>
                  <w:rStyle w:val="a6"/>
                  <w:i/>
                  <w:color w:val="auto"/>
                </w:rPr>
                <w:t>https://zakon.rada.gov.ua/laws/show/z1038-14#Text</w:t>
              </w:r>
            </w:hyperlink>
            <w:r w:rsidRPr="00852120">
              <w:rPr>
                <w:i/>
              </w:rPr>
              <w:t xml:space="preserve">. З'ясуйте, наскільки положення цього документу відповідають Конституції України (ст.29) URL: </w:t>
            </w:r>
            <w:hyperlink r:id="rId10" w:anchor="Text" w:history="1">
              <w:r w:rsidRPr="00852120">
                <w:rPr>
                  <w:rStyle w:val="a6"/>
                  <w:i/>
                  <w:color w:val="auto"/>
                </w:rPr>
                <w:t>https://zakon.rada.gov.ua/laws/show/254%D0%BA/96-%D0%B2%D1%80#Text</w:t>
              </w:r>
            </w:hyperlink>
            <w:r w:rsidRPr="00852120">
              <w:rPr>
                <w:i/>
              </w:rPr>
              <w:t xml:space="preserve">,  та ст.5 Конвенції «Про захист прав людини та основоположних свобод» URL </w:t>
            </w:r>
            <w:hyperlink r:id="rId11" w:anchor="Text" w:history="1">
              <w:r w:rsidRPr="00852120">
                <w:rPr>
                  <w:rStyle w:val="a6"/>
                  <w:i/>
                  <w:color w:val="auto"/>
                </w:rPr>
                <w:t>https://zakon.rada.gov.ua/laws/show/995_004#Text</w:t>
              </w:r>
            </w:hyperlink>
            <w:r w:rsidRPr="00852120">
              <w:rPr>
                <w:i/>
              </w:rPr>
              <w:t xml:space="preserve">. При рішенні казусу доцільне посилання на справу BROGAN AND OTHERS V. THE UNITED KINGDOM URL: </w:t>
            </w:r>
            <w:hyperlink r:id="rId12" w:anchor="{%22itemid%22:[%22001-57450%22]}" w:history="1">
              <w:r w:rsidRPr="00852120">
                <w:rPr>
                  <w:rStyle w:val="a6"/>
                  <w:i/>
                  <w:color w:val="auto"/>
                </w:rPr>
                <w:t>https://hudoc.echr.coe.int/fre#{%22itemid%22:[%22001-57450%22]}</w:t>
              </w:r>
            </w:hyperlink>
          </w:p>
          <w:p w14:paraId="14E8B48C" w14:textId="77777777" w:rsidR="00A401CD" w:rsidRPr="00852120" w:rsidRDefault="00A401CD" w:rsidP="00DF00C7">
            <w:pPr>
              <w:pStyle w:val="af4"/>
              <w:numPr>
                <w:ilvl w:val="1"/>
                <w:numId w:val="7"/>
              </w:numPr>
              <w:spacing w:after="200" w:line="276" w:lineRule="auto"/>
              <w:ind w:left="48" w:firstLine="669"/>
              <w:contextualSpacing/>
              <w:rPr>
                <w:i/>
                <w:u w:val="single"/>
              </w:rPr>
            </w:pPr>
            <w:r w:rsidRPr="00852120">
              <w:rPr>
                <w:i/>
              </w:rPr>
              <w:t xml:space="preserve"> Ознайомтесь з цитатою з Загальної декларації прав людини"... необхідно, щоб права людини охоронялися владою закону в цілях забезпечення того, щоб людина не була змушена звертатися в якості останнього засобу, до повстання проти тиранії та гноблення..." (</w:t>
            </w:r>
            <w:hyperlink r:id="rId13" w:anchor="Text" w:history="1">
              <w:r w:rsidRPr="00852120">
                <w:rPr>
                  <w:rStyle w:val="a6"/>
                  <w:i/>
                  <w:color w:val="auto"/>
                </w:rPr>
                <w:t>https://zakon.rada.gov.ua/laws/show/995_015#Text</w:t>
              </w:r>
            </w:hyperlink>
            <w:r w:rsidRPr="00852120">
              <w:rPr>
                <w:i/>
              </w:rPr>
              <w:t>. Чи відповідає повстання як крайній спосіб ефективного захисту прав людини положенням Конституції України (</w:t>
            </w:r>
            <w:hyperlink r:id="rId14" w:anchor="Text" w:history="1">
              <w:r w:rsidRPr="00852120">
                <w:rPr>
                  <w:rStyle w:val="a6"/>
                  <w:i/>
                  <w:color w:val="auto"/>
                </w:rPr>
                <w:t>https://zakon.rada.gov.ua/laws/show/254%D0%BA/96-%D0%B2%D1%80#Text</w:t>
              </w:r>
            </w:hyperlink>
            <w:r w:rsidRPr="00852120">
              <w:rPr>
                <w:i/>
              </w:rPr>
              <w:t>) та Кримінального кодексу України (</w:t>
            </w:r>
            <w:hyperlink r:id="rId15" w:anchor="Text" w:history="1">
              <w:r w:rsidRPr="00852120">
                <w:rPr>
                  <w:rStyle w:val="a6"/>
                  <w:i/>
                  <w:color w:val="auto"/>
                </w:rPr>
                <w:t>https://zakon.rada.gov.ua/laws/show/2341-14#Text</w:t>
              </w:r>
            </w:hyperlink>
            <w:r w:rsidRPr="00852120">
              <w:rPr>
                <w:i/>
              </w:rPr>
              <w:t>)?</w:t>
            </w:r>
          </w:p>
          <w:p w14:paraId="3E632B83" w14:textId="77777777" w:rsidR="00A401CD" w:rsidRPr="00852120" w:rsidRDefault="00A401CD" w:rsidP="00DF00C7">
            <w:pPr>
              <w:pStyle w:val="af4"/>
              <w:numPr>
                <w:ilvl w:val="1"/>
                <w:numId w:val="7"/>
              </w:numPr>
              <w:spacing w:after="200" w:line="276" w:lineRule="auto"/>
              <w:ind w:left="48" w:firstLine="669"/>
              <w:contextualSpacing/>
              <w:rPr>
                <w:i/>
                <w:u w:val="single"/>
              </w:rPr>
            </w:pPr>
            <w:r w:rsidRPr="00852120">
              <w:rPr>
                <w:i/>
              </w:rPr>
              <w:t xml:space="preserve">Регламентом FIFA по охороні правопорядку та забезпеченню безпеки стадіонів (URL: </w:t>
            </w:r>
            <w:hyperlink r:id="rId16" w:history="1">
              <w:r w:rsidRPr="00852120">
                <w:rPr>
                  <w:rStyle w:val="a6"/>
                  <w:i/>
                  <w:color w:val="auto"/>
                </w:rPr>
                <w:t>http://www.dvorsportinfo.ru/articles/reglament-fifa-po-ohrane-pravoporyadka-i-obespecheniyu-bezopasnosti-stadionov</w:t>
              </w:r>
            </w:hyperlink>
            <w:r w:rsidRPr="00852120">
              <w:rPr>
                <w:i/>
              </w:rPr>
              <w:t xml:space="preserve">) у ст.15 встановлює, що стюарди стадіонів мають право на зупинку та затримання громадян. Чи відповідає це положенням Конвенції РЄ по загальному підходу до безпеки спортивних заходів (URL: </w:t>
            </w:r>
            <w:hyperlink r:id="rId17" w:history="1">
              <w:r w:rsidRPr="00852120">
                <w:rPr>
                  <w:rStyle w:val="a6"/>
                  <w:i/>
                  <w:color w:val="auto"/>
                </w:rPr>
                <w:t>https://www.coe.int/ru/web/conventions/full-list/-/conventions/treaty/218</w:t>
              </w:r>
            </w:hyperlink>
            <w:r w:rsidRPr="00852120">
              <w:rPr>
                <w:i/>
              </w:rPr>
              <w:t xml:space="preserve">). При рішенні кейсу доцільне використання  матеріалів справи ECHR  S., V. AND A. v. DENMARK URL: </w:t>
            </w:r>
            <w:hyperlink r:id="rId18" w:history="1">
              <w:r w:rsidRPr="00852120">
                <w:rPr>
                  <w:rStyle w:val="a6"/>
                  <w:i/>
                  <w:color w:val="auto"/>
                </w:rPr>
                <w:t>http://hudoc.echr.coe.int/rus?i=001-187391</w:t>
              </w:r>
            </w:hyperlink>
          </w:p>
          <w:p w14:paraId="7D891375" w14:textId="373271A9" w:rsidR="00A401CD" w:rsidRPr="00852120" w:rsidRDefault="00A401CD" w:rsidP="00DF00C7">
            <w:pPr>
              <w:pStyle w:val="af4"/>
              <w:numPr>
                <w:ilvl w:val="1"/>
                <w:numId w:val="7"/>
              </w:numPr>
              <w:spacing w:after="200" w:line="276" w:lineRule="auto"/>
              <w:ind w:left="48" w:firstLine="669"/>
              <w:contextualSpacing/>
              <w:rPr>
                <w:i/>
                <w:u w:val="single"/>
              </w:rPr>
            </w:pPr>
            <w:r w:rsidRPr="00852120">
              <w:t xml:space="preserve">Ознайомтесь, будь ласка, із </w:t>
            </w:r>
            <w:r w:rsidR="001E2D5E" w:rsidRPr="00852120">
              <w:t>нижче приведеною</w:t>
            </w:r>
            <w:r w:rsidRPr="00852120">
              <w:t xml:space="preserve"> практикою ЄСПЛ, що стосується виключення із юрисдикційних повноважень суду дій миротворців ООН та Об’єднаних вил НАТО у проведенні військових операцій на території окремих держав. Чи відповідає та</w:t>
            </w:r>
            <w:r w:rsidR="001E2D5E" w:rsidRPr="00852120">
              <w:t>к</w:t>
            </w:r>
            <w:r w:rsidRPr="00852120">
              <w:t>ий підхід суду вимогам щодо забезпечення верховенства права та прав людини?  Див:        Application no. 65542/12 Stichting mothers of Srebrenica and others</w:t>
            </w:r>
            <w:r w:rsidRPr="00852120">
              <w:br/>
              <w:t xml:space="preserve">against the Netherlands (URL: </w:t>
            </w:r>
            <w:hyperlink r:id="rId19" w:history="1">
              <w:r w:rsidRPr="00852120">
                <w:t>http://hudoc.echr.coe.int/eng?i=001-122255</w:t>
              </w:r>
            </w:hyperlink>
            <w:r w:rsidRPr="00852120">
              <w:t xml:space="preserve">);                     Decision Bankovic and Others v. Belgium &amp; 16 other contracting States (URL: </w:t>
            </w:r>
            <w:hyperlink r:id="rId20" w:history="1">
              <w:r w:rsidRPr="00852120">
                <w:rPr>
                  <w:rStyle w:val="a6"/>
                  <w:color w:val="auto"/>
                </w:rPr>
                <w:t>http://hudoc.echr.coe.int/eng-press?i=003-470135-471261</w:t>
              </w:r>
            </w:hyperlink>
            <w:r w:rsidRPr="00852120">
              <w:t>)</w:t>
            </w:r>
          </w:p>
          <w:p w14:paraId="0EBC6BAA" w14:textId="096F2EAE" w:rsidR="00A401CD" w:rsidRPr="00852120" w:rsidRDefault="001A088F" w:rsidP="00DF00C7">
            <w:pPr>
              <w:pStyle w:val="af4"/>
              <w:numPr>
                <w:ilvl w:val="1"/>
                <w:numId w:val="7"/>
              </w:numPr>
              <w:spacing w:after="200" w:line="276" w:lineRule="auto"/>
              <w:ind w:left="48" w:firstLine="669"/>
              <w:contextualSpacing/>
              <w:rPr>
                <w:i/>
                <w:u w:val="single"/>
              </w:rPr>
            </w:pPr>
            <w:r>
              <w:rPr>
                <w:i/>
              </w:rPr>
              <w:t>З</w:t>
            </w:r>
            <w:r w:rsidR="00A401CD" w:rsidRPr="00852120">
              <w:rPr>
                <w:i/>
              </w:rPr>
              <w:t xml:space="preserve"> метою окреслення характеру субсидіарної юрисдикції судових рішень ЄСПЛ ознайомтесь зі справою Catan and Others v. the Republic of Moldova and Russia http://hudoc.echr.coe.int/eng?i=001-114082 п.103, та судовою практикою, що цитується у цьому рішенні.</w:t>
            </w:r>
          </w:p>
          <w:p w14:paraId="6D7B0B7B" w14:textId="77777777" w:rsidR="00A401CD" w:rsidRPr="00852120" w:rsidRDefault="00A401CD" w:rsidP="00DF00C7">
            <w:pPr>
              <w:pStyle w:val="af4"/>
              <w:numPr>
                <w:ilvl w:val="1"/>
                <w:numId w:val="7"/>
              </w:numPr>
              <w:spacing w:after="200" w:line="276" w:lineRule="auto"/>
              <w:ind w:left="48" w:firstLine="669"/>
              <w:contextualSpacing/>
              <w:rPr>
                <w:i/>
                <w:u w:val="single"/>
              </w:rPr>
            </w:pPr>
            <w:r w:rsidRPr="00852120">
              <w:t>Ознайомтесь, будь ласка, із першою доповіддю по стану верховенства права у Європейському Союзі, та знайдіть відповідь, наскільки принцип верховенства права у контексті загальноєвропейського розуміння відповідає принципу юридичної визначеності. Див.: The Rule of Law situation in the European Union.</w:t>
            </w:r>
            <w:r w:rsidRPr="00852120">
              <w:rPr>
                <w:b/>
                <w:bCs/>
              </w:rPr>
              <w:t xml:space="preserve"> </w:t>
            </w:r>
            <w:r w:rsidRPr="00852120">
              <w:t>{SWD(2020) 300-326}https://eur-lex.europa.eu/legal-content/EN/TXT/?qid=1602583951529&amp;uri=CELEX:52020DC0580</w:t>
            </w:r>
          </w:p>
          <w:p w14:paraId="24746CC4" w14:textId="31A0012F" w:rsidR="00A401CD" w:rsidRPr="001A088F" w:rsidRDefault="00A401CD" w:rsidP="00DF00C7">
            <w:pPr>
              <w:pStyle w:val="af4"/>
              <w:numPr>
                <w:ilvl w:val="1"/>
                <w:numId w:val="7"/>
              </w:numPr>
              <w:spacing w:after="200" w:line="276" w:lineRule="auto"/>
              <w:ind w:left="48" w:firstLine="669"/>
              <w:contextualSpacing/>
              <w:rPr>
                <w:rStyle w:val="sfbbfee58"/>
                <w:i/>
                <w:iCs/>
                <w:u w:val="single"/>
              </w:rPr>
            </w:pPr>
            <w:r w:rsidRPr="00852120">
              <w:rPr>
                <w:rStyle w:val="sfbbfee58"/>
                <w:shd w:val="clear" w:color="auto" w:fill="FFFFFF"/>
              </w:rPr>
              <w:t>У справі Коннов проти Латвії (http://hudoc.echr.coe.int/fre?i=001-117950) суд зазначив, що : «У 1944 році міжнародні закони і звичаї війни були вже самі по собі достатніми для встановлення індивідуальної кримінальної відповідальності, отже, те, що на той час національне законодавство не посилалось на них, не може бути вирішальним. Вони становили детальні положення </w:t>
            </w:r>
            <w:r w:rsidRPr="00852120">
              <w:rPr>
                <w:rStyle w:val="s1a844bc0"/>
                <w:rFonts w:eastAsia="Calibri"/>
                <w:i/>
                <w:iCs/>
                <w:shd w:val="clear" w:color="auto" w:fill="FFFFFF"/>
              </w:rPr>
              <w:t>lex</w:t>
            </w:r>
            <w:r w:rsidRPr="00852120">
              <w:rPr>
                <w:rStyle w:val="sfbbfee58"/>
                <w:shd w:val="clear" w:color="auto" w:fill="FFFFFF"/>
              </w:rPr>
              <w:t> </w:t>
            </w:r>
            <w:r w:rsidRPr="00852120">
              <w:rPr>
                <w:rStyle w:val="s1a844bc0"/>
                <w:rFonts w:eastAsia="Calibri"/>
                <w:i/>
                <w:iCs/>
                <w:shd w:val="clear" w:color="auto" w:fill="FFFFFF"/>
              </w:rPr>
              <w:t>specialise</w:t>
            </w:r>
            <w:r w:rsidRPr="00852120">
              <w:rPr>
                <w:rStyle w:val="sfbbfee58"/>
                <w:shd w:val="clear" w:color="auto" w:fill="FFFFFF"/>
              </w:rPr>
              <w:t xml:space="preserve">, котрі фіксували характеристики злочинної поведінки у військовий час, які стосувалися, перш за все, збройних сил, особливо командирів. З огляду на статус командуючого бойового офіцера, від заявника логічно було очікувати особливо уважного ставлення до оцінки ризиків, які могла спричинити операція у Мазє Баті. Навіть найповерховіші розмірковування заявника підтвердили б, що спірні діяння, принаймні, ризикують суперечити законам і звичаям війни, як їх розуміли на той час, і, зокрема, можуть бути військовим злочином, за який він, як командир, ніс би особисту і кримінальну відповідальність. Суд відхилив подання заявника стосовно того, що його кримінальне переслідування було політично непередбачуваним, оскільки для держави-правонаступниці законно і передбачувано розпочати кримінальне переслідування осіб, які скоїли злочини за попереднього режиму. Суди-правонаступники не можна критикувати за застосування і інтерпретацію правових норм, чинних на час подій, що відбувалися за попереднього режиму, але тільки у світлі принципів, якими керується держава, де панує верховенство права, і спираючись на засадові принципи, на яких побудована система Конвенції, особливо стосовно права на життя. Такі принципи застосовуються до зміни режиму, яка відбулась у Латвії після здобуття незалежності». </w:t>
            </w:r>
            <w:r w:rsidRPr="001A088F">
              <w:rPr>
                <w:rStyle w:val="sfbbfee58"/>
                <w:i/>
                <w:iCs/>
                <w:shd w:val="clear" w:color="auto" w:fill="FFFFFF"/>
              </w:rPr>
              <w:t xml:space="preserve">З вашої точки зору визначеність та передбачуваність злочину законами та звичаями війни наскільки відповідає національному </w:t>
            </w:r>
            <w:r w:rsidR="001A088F" w:rsidRPr="001A088F">
              <w:rPr>
                <w:rStyle w:val="sfbbfee58"/>
                <w:i/>
                <w:iCs/>
                <w:shd w:val="clear" w:color="auto" w:fill="FFFFFF"/>
              </w:rPr>
              <w:t>законодавству</w:t>
            </w:r>
            <w:r w:rsidRPr="001A088F">
              <w:rPr>
                <w:rStyle w:val="sfbbfee58"/>
                <w:i/>
                <w:iCs/>
                <w:shd w:val="clear" w:color="auto" w:fill="FFFFFF"/>
              </w:rPr>
              <w:t xml:space="preserve"> та законним очікуванням суб’єкта відповідальності?</w:t>
            </w:r>
          </w:p>
          <w:p w14:paraId="217D5114" w14:textId="77777777" w:rsidR="00A401CD" w:rsidRPr="00852120" w:rsidRDefault="00A401CD" w:rsidP="00DF00C7">
            <w:pPr>
              <w:pStyle w:val="af4"/>
              <w:numPr>
                <w:ilvl w:val="1"/>
                <w:numId w:val="7"/>
              </w:numPr>
              <w:spacing w:after="200" w:line="276" w:lineRule="auto"/>
              <w:ind w:left="48" w:firstLine="669"/>
              <w:contextualSpacing/>
              <w:rPr>
                <w:i/>
                <w:u w:val="single"/>
              </w:rPr>
            </w:pPr>
            <w:r w:rsidRPr="00852120">
              <w:t xml:space="preserve">У справі </w:t>
            </w:r>
            <w:r w:rsidRPr="00852120">
              <w:rPr>
                <w:shd w:val="clear" w:color="auto" w:fill="FFFFFF"/>
              </w:rPr>
              <w:t>BERARDI AND MULARONI V. SAN MARINO</w:t>
            </w:r>
            <w:r w:rsidRPr="00852120">
              <w:rPr>
                <w:shd w:val="clear" w:color="auto" w:fill="FFFFFF"/>
              </w:rPr>
              <w:tab/>
            </w:r>
            <w:hyperlink r:id="rId21" w:history="1">
              <w:r w:rsidRPr="00852120">
                <w:rPr>
                  <w:rStyle w:val="a6"/>
                  <w:color w:val="auto"/>
                  <w:shd w:val="clear" w:color="auto" w:fill="FFFFFF"/>
                </w:rPr>
                <w:t>http://hudoc.echr.coe.int/eng?i=001-188997</w:t>
              </w:r>
            </w:hyperlink>
            <w:r w:rsidRPr="00852120">
              <w:rPr>
                <w:shd w:val="clear" w:color="auto" w:fill="FFFFFF"/>
              </w:rPr>
              <w:t xml:space="preserve"> заявники стверджували, що кримінальний закон  був застосований до них у порушення вимоги зворотної сили, оскільки вони були визнані винними в хабарництві відповідно до формулювання кримінальної заборони, яка на той час ще не діяла.</w:t>
            </w:r>
            <w:r w:rsidRPr="00852120">
              <w:rPr>
                <w:rFonts w:eastAsia="Century Gothic"/>
              </w:rPr>
              <w:t xml:space="preserve"> Звертаючи увагу на те, що поведінка заявників була охоплена як старою, так і новою статтями кримінального закону, за якою заявників було притягнуто до відповідальності, а також, враховуючи те, що обидва положення закону передбачали однакове покарання, Суд вважає, що той факт, що кримінальне правопорушення фактично було охарактеризоване як таке, що вчинялось безперервно, не має відношення до цієї справи [§ 56]. </w:t>
            </w:r>
            <w:r w:rsidRPr="001A088F">
              <w:rPr>
                <w:rFonts w:eastAsia="Century Gothic"/>
                <w:i/>
                <w:iCs/>
              </w:rPr>
              <w:t>Проаналізуйте це рішення Суду з точки зору контексту заборони ретроактивності та передбачуваності незаконного збагачення</w:t>
            </w:r>
            <w:r w:rsidRPr="00852120">
              <w:rPr>
                <w:rFonts w:eastAsia="Century Gothic"/>
              </w:rPr>
              <w:t>.</w:t>
            </w:r>
          </w:p>
          <w:p w14:paraId="5F9C36BE" w14:textId="77777777" w:rsidR="00A401CD" w:rsidRPr="00852120" w:rsidRDefault="00A401CD" w:rsidP="00DF00C7">
            <w:pPr>
              <w:ind w:left="48" w:firstLine="669"/>
            </w:pPr>
          </w:p>
        </w:tc>
      </w:tr>
    </w:tbl>
    <w:p w14:paraId="2BEB79E1" w14:textId="376D3FEC" w:rsidR="00A401CD" w:rsidRPr="00852120" w:rsidRDefault="00A401CD" w:rsidP="00DF00C7">
      <w:pPr>
        <w:ind w:firstLine="669"/>
      </w:pPr>
    </w:p>
    <w:p w14:paraId="753A0E6F" w14:textId="77777777" w:rsidR="00A401CD" w:rsidRPr="00852120" w:rsidRDefault="00A401CD" w:rsidP="00DF00C7">
      <w:pPr>
        <w:ind w:firstLine="669"/>
        <w:jc w:val="left"/>
      </w:pPr>
      <w:r w:rsidRPr="00852120">
        <w:br w:type="page"/>
      </w:r>
    </w:p>
    <w:p w14:paraId="0419B3CF" w14:textId="02E52F3F" w:rsidR="00A401CD" w:rsidRPr="00852120" w:rsidRDefault="00EC7086" w:rsidP="00DF00C7">
      <w:pPr>
        <w:pStyle w:val="1"/>
        <w:ind w:firstLine="669"/>
        <w:rPr>
          <w:rFonts w:cs="Times New Roman"/>
        </w:rPr>
      </w:pPr>
      <w:bookmarkStart w:id="13" w:name="_Toc147652536"/>
      <w:r w:rsidRPr="00852120">
        <w:rPr>
          <w:rFonts w:cs="Times New Roman"/>
        </w:rPr>
        <w:t>Рекомендована література</w:t>
      </w:r>
      <w:bookmarkEnd w:id="13"/>
      <w:r w:rsidRPr="00852120">
        <w:rPr>
          <w:rFonts w:cs="Times New Roman"/>
        </w:rPr>
        <w:t xml:space="preserve"> </w:t>
      </w:r>
    </w:p>
    <w:p w14:paraId="6DD08F2D" w14:textId="77777777" w:rsidR="00EC7086" w:rsidRPr="00852120" w:rsidRDefault="00EC7086" w:rsidP="00DF00C7">
      <w:pPr>
        <w:shd w:val="clear" w:color="auto" w:fill="FEFEFE"/>
        <w:ind w:right="335" w:firstLine="669"/>
        <w:contextualSpacing/>
      </w:pPr>
    </w:p>
    <w:p w14:paraId="6913C7C4" w14:textId="4B49A20E" w:rsidR="00A401CD" w:rsidRPr="00852120" w:rsidRDefault="00A401CD" w:rsidP="00DF00C7">
      <w:pPr>
        <w:pStyle w:val="af4"/>
        <w:numPr>
          <w:ilvl w:val="0"/>
          <w:numId w:val="25"/>
        </w:numPr>
        <w:shd w:val="clear" w:color="auto" w:fill="FEFEFE"/>
        <w:tabs>
          <w:tab w:val="left" w:pos="1134"/>
        </w:tabs>
        <w:ind w:left="-142" w:right="-143" w:firstLine="669"/>
        <w:contextualSpacing/>
      </w:pPr>
      <w:r w:rsidRPr="00852120">
        <w:t>Антипов В.</w:t>
      </w:r>
      <w:r w:rsidR="00C470D6">
        <w:t xml:space="preserve"> </w:t>
      </w:r>
      <w:r w:rsidRPr="00852120">
        <w:t>І. Кримінальний кодекс України в контексті міжнародного права та практики Європейського суду з прав людини. Київ, Право, 2019</w:t>
      </w:r>
      <w:r w:rsidR="00C470D6">
        <w:t>.</w:t>
      </w:r>
      <w:r w:rsidR="007F11A4">
        <w:t xml:space="preserve"> 1200 с.</w:t>
      </w:r>
    </w:p>
    <w:p w14:paraId="36E3938E" w14:textId="62DAC32F" w:rsidR="00A401CD" w:rsidRPr="00852120" w:rsidRDefault="00A401CD" w:rsidP="00DF00C7">
      <w:pPr>
        <w:pStyle w:val="af4"/>
        <w:numPr>
          <w:ilvl w:val="0"/>
          <w:numId w:val="25"/>
        </w:numPr>
        <w:shd w:val="clear" w:color="auto" w:fill="FEFEFE"/>
        <w:tabs>
          <w:tab w:val="left" w:pos="1134"/>
        </w:tabs>
        <w:ind w:left="-142" w:right="-143" w:firstLine="669"/>
        <w:contextualSpacing/>
      </w:pPr>
      <w:r w:rsidRPr="00852120">
        <w:t>Борисов В.</w:t>
      </w:r>
      <w:r w:rsidR="007F11A4">
        <w:t xml:space="preserve"> </w:t>
      </w:r>
      <w:r w:rsidRPr="00852120">
        <w:t xml:space="preserve">І. Сучасна політика держави у сфері боротьби зі злочинністю та її кримінально-правовий напрям. </w:t>
      </w:r>
      <w:r w:rsidRPr="00C470D6">
        <w:rPr>
          <w:i/>
        </w:rPr>
        <w:t>Питання боротьби зі злочинністю</w:t>
      </w:r>
      <w:r w:rsidRPr="00852120">
        <w:t>. 2008. №. 15. С. 68-80.</w:t>
      </w:r>
    </w:p>
    <w:p w14:paraId="1A4B8105" w14:textId="77439FF8" w:rsidR="00A401CD" w:rsidRPr="00852120" w:rsidRDefault="00A401CD" w:rsidP="00DF00C7">
      <w:pPr>
        <w:pStyle w:val="af4"/>
        <w:numPr>
          <w:ilvl w:val="0"/>
          <w:numId w:val="25"/>
        </w:numPr>
        <w:shd w:val="clear" w:color="auto" w:fill="FEFEFE"/>
        <w:tabs>
          <w:tab w:val="left" w:pos="1134"/>
        </w:tabs>
        <w:ind w:left="-142" w:right="-143" w:firstLine="669"/>
        <w:contextualSpacing/>
      </w:pPr>
      <w:r w:rsidRPr="00852120">
        <w:t>Брич Л.</w:t>
      </w:r>
      <w:r w:rsidR="007F11A4">
        <w:t xml:space="preserve"> </w:t>
      </w:r>
      <w:r w:rsidRPr="00852120">
        <w:t>П. Питання кримінального права у рішеннях Європейського Суду з прав людини</w:t>
      </w:r>
      <w:r w:rsidR="007F11A4">
        <w:t>.</w:t>
      </w:r>
      <w:r w:rsidRPr="00852120">
        <w:t xml:space="preserve">  </w:t>
      </w:r>
      <w:r w:rsidRPr="00C470D6">
        <w:rPr>
          <w:i/>
          <w:iCs/>
        </w:rPr>
        <w:t>Практика Європейського Суду з прав людини: загальнотеоретичні дослідження</w:t>
      </w:r>
      <w:r w:rsidR="007F11A4">
        <w:rPr>
          <w:i/>
          <w:iCs/>
        </w:rPr>
        <w:t>.</w:t>
      </w:r>
      <w:r w:rsidRPr="00852120">
        <w:t xml:space="preserve"> Львів</w:t>
      </w:r>
      <w:r w:rsidR="007F11A4">
        <w:t xml:space="preserve"> </w:t>
      </w:r>
      <w:r w:rsidRPr="00852120">
        <w:t>: Край, 2009. 152 с. С. 87 – 108.</w:t>
      </w:r>
    </w:p>
    <w:p w14:paraId="5DA15D67" w14:textId="785CDBC2" w:rsidR="00A401CD" w:rsidRPr="00852120" w:rsidRDefault="00A401CD" w:rsidP="00DF00C7">
      <w:pPr>
        <w:pStyle w:val="af4"/>
        <w:numPr>
          <w:ilvl w:val="0"/>
          <w:numId w:val="25"/>
        </w:numPr>
        <w:shd w:val="clear" w:color="auto" w:fill="FEFEFE"/>
        <w:tabs>
          <w:tab w:val="left" w:pos="1134"/>
        </w:tabs>
        <w:ind w:left="-142" w:right="-143" w:firstLine="669"/>
        <w:contextualSpacing/>
      </w:pPr>
      <w:r w:rsidRPr="00852120">
        <w:t>Броневицька О.</w:t>
      </w:r>
      <w:r w:rsidR="007F11A4">
        <w:t xml:space="preserve"> </w:t>
      </w:r>
      <w:r w:rsidRPr="00852120">
        <w:t>М. Відповідність кримінального законодавства України чинним міжнародним договорам: автореф. дис. ... канд. юрид. наук : 12.00.08 / Львів. держ. ун -т внутр. справ. Л., 2011. 18 с.</w:t>
      </w:r>
    </w:p>
    <w:p w14:paraId="1289284A" w14:textId="5FF10BC5" w:rsidR="00A401CD" w:rsidRPr="00852120" w:rsidRDefault="00A401CD" w:rsidP="00DF00C7">
      <w:pPr>
        <w:pStyle w:val="af4"/>
        <w:numPr>
          <w:ilvl w:val="0"/>
          <w:numId w:val="25"/>
        </w:numPr>
        <w:shd w:val="clear" w:color="auto" w:fill="FEFEFE"/>
        <w:tabs>
          <w:tab w:val="left" w:pos="1134"/>
        </w:tabs>
        <w:ind w:left="-142" w:right="-143" w:firstLine="669"/>
        <w:contextualSpacing/>
      </w:pPr>
      <w:r w:rsidRPr="00852120">
        <w:t xml:space="preserve">Бущенко А., Сапожнікова О., Шинкаренко О. «Precedent UA – 2015» </w:t>
      </w:r>
      <w:r w:rsidR="007F11A4">
        <w:t>..</w:t>
      </w:r>
      <w:r w:rsidRPr="00852120">
        <w:t xml:space="preserve"> К</w:t>
      </w:r>
      <w:r w:rsidR="007F11A4">
        <w:t>иїв</w:t>
      </w:r>
      <w:r w:rsidRPr="00852120">
        <w:t xml:space="preserve"> : КВІЦ, 2015. – 412 с.</w:t>
      </w:r>
    </w:p>
    <w:p w14:paraId="32DB59A1" w14:textId="562D9310" w:rsidR="00A401CD" w:rsidRPr="00852120" w:rsidRDefault="00A401CD" w:rsidP="00DF00C7">
      <w:pPr>
        <w:pStyle w:val="af4"/>
        <w:numPr>
          <w:ilvl w:val="0"/>
          <w:numId w:val="25"/>
        </w:numPr>
        <w:shd w:val="clear" w:color="auto" w:fill="FEFEFE"/>
        <w:tabs>
          <w:tab w:val="left" w:pos="1134"/>
        </w:tabs>
        <w:ind w:left="-142" w:right="-143" w:firstLine="669"/>
        <w:contextualSpacing/>
      </w:pPr>
      <w:r w:rsidRPr="00852120">
        <w:t>Гацелюк В.О. Реалізація принципу законності кримінального права України (загальні засади концепції)</w:t>
      </w:r>
      <w:r w:rsidR="007F11A4">
        <w:t xml:space="preserve"> </w:t>
      </w:r>
      <w:r w:rsidRPr="00852120">
        <w:t>: моно</w:t>
      </w:r>
      <w:r w:rsidR="007F11A4">
        <w:t>гр</w:t>
      </w:r>
      <w:r w:rsidRPr="00852120">
        <w:t>. Луганськ: РВВ ЛДУВС, 2006. 280</w:t>
      </w:r>
      <w:r w:rsidR="007F11A4">
        <w:t> </w:t>
      </w:r>
      <w:r w:rsidRPr="00852120">
        <w:t>с</w:t>
      </w:r>
      <w:r w:rsidR="007F11A4">
        <w:t>.</w:t>
      </w:r>
      <w:r w:rsidRPr="00852120">
        <w:t xml:space="preserve"> </w:t>
      </w:r>
    </w:p>
    <w:p w14:paraId="53A070E6" w14:textId="2D6F9DA9" w:rsidR="00A401CD" w:rsidRPr="00852120" w:rsidRDefault="00A401CD" w:rsidP="00DF00C7">
      <w:pPr>
        <w:pStyle w:val="af4"/>
        <w:numPr>
          <w:ilvl w:val="0"/>
          <w:numId w:val="25"/>
        </w:numPr>
        <w:shd w:val="clear" w:color="auto" w:fill="FEFEFE"/>
        <w:tabs>
          <w:tab w:val="left" w:pos="1134"/>
        </w:tabs>
        <w:ind w:left="-142" w:right="-143" w:firstLine="669"/>
        <w:contextualSpacing/>
      </w:pPr>
      <w:r w:rsidRPr="00852120">
        <w:t>Васильченко О.</w:t>
      </w:r>
      <w:r w:rsidR="007F11A4">
        <w:t xml:space="preserve"> </w:t>
      </w:r>
      <w:r w:rsidRPr="00852120">
        <w:t xml:space="preserve">П. Перспективи розвитку правової доктрини в системі джерел конституційного права. </w:t>
      </w:r>
      <w:r w:rsidRPr="00C470D6">
        <w:rPr>
          <w:i/>
        </w:rPr>
        <w:t>Науковий вісник Ужгородського університету.</w:t>
      </w:r>
      <w:r w:rsidRPr="00852120">
        <w:t xml:space="preserve"> Серія право. 2007. Вип. 8. С. 80–82.</w:t>
      </w:r>
    </w:p>
    <w:p w14:paraId="4D17F7E1" w14:textId="77777777" w:rsidR="00A401CD" w:rsidRPr="00852120" w:rsidRDefault="00A401CD" w:rsidP="00DF00C7">
      <w:pPr>
        <w:pStyle w:val="af4"/>
        <w:numPr>
          <w:ilvl w:val="0"/>
          <w:numId w:val="25"/>
        </w:numPr>
        <w:shd w:val="clear" w:color="auto" w:fill="FEFEFE"/>
        <w:tabs>
          <w:tab w:val="left" w:pos="1134"/>
        </w:tabs>
        <w:ind w:left="-142" w:right="-143" w:firstLine="669"/>
        <w:contextualSpacing/>
      </w:pPr>
      <w:r w:rsidRPr="00852120">
        <w:t>Дворкін Р. Серйозний погляд на права / пер. з англ. А. Фролкіна. К.: Основи, 2000. 519 с.</w:t>
      </w:r>
    </w:p>
    <w:p w14:paraId="2B8D41CA" w14:textId="28AE84D7" w:rsidR="00A401CD" w:rsidRPr="00852120" w:rsidRDefault="00A401CD" w:rsidP="00DF00C7">
      <w:pPr>
        <w:pStyle w:val="af4"/>
        <w:numPr>
          <w:ilvl w:val="0"/>
          <w:numId w:val="25"/>
        </w:numPr>
        <w:shd w:val="clear" w:color="auto" w:fill="FEFEFE"/>
        <w:tabs>
          <w:tab w:val="left" w:pos="1134"/>
        </w:tabs>
        <w:ind w:left="-142" w:right="-143" w:firstLine="669"/>
        <w:contextualSpacing/>
      </w:pPr>
      <w:r w:rsidRPr="00852120">
        <w:t>Задорожний Ю.</w:t>
      </w:r>
      <w:r w:rsidR="007F11A4">
        <w:t xml:space="preserve"> </w:t>
      </w:r>
      <w:r w:rsidRPr="00852120">
        <w:t>А. Римське право – доктринальна першооснова права та юридичної науки в країнах романо-германської правової сім’ї та Україні: дис. ... канд. юрид. наук: 12.00.01. К</w:t>
      </w:r>
      <w:r w:rsidR="007F11A4">
        <w:t>иїв</w:t>
      </w:r>
      <w:r w:rsidRPr="00852120">
        <w:t>, 2008. 214 с.</w:t>
      </w:r>
    </w:p>
    <w:p w14:paraId="6521AE0F" w14:textId="4A2AEC05" w:rsidR="00A401CD" w:rsidRDefault="00A401CD" w:rsidP="00DF00C7">
      <w:pPr>
        <w:pStyle w:val="af4"/>
        <w:numPr>
          <w:ilvl w:val="0"/>
          <w:numId w:val="25"/>
        </w:numPr>
        <w:shd w:val="clear" w:color="auto" w:fill="FEFEFE"/>
        <w:tabs>
          <w:tab w:val="left" w:pos="1134"/>
        </w:tabs>
        <w:ind w:left="-142" w:right="-143" w:firstLine="669"/>
        <w:contextualSpacing/>
      </w:pPr>
      <w:r w:rsidRPr="00852120">
        <w:t>Кармаліта М.</w:t>
      </w:r>
      <w:r w:rsidR="007F11A4">
        <w:t xml:space="preserve"> </w:t>
      </w:r>
      <w:r w:rsidRPr="00852120">
        <w:t xml:space="preserve">В. Правова доктрина у романо-германській та англосаксонській правових сім’ях. </w:t>
      </w:r>
      <w:r w:rsidRPr="00C470D6">
        <w:rPr>
          <w:i/>
        </w:rPr>
        <w:t>Підприємництво, господарство і право</w:t>
      </w:r>
      <w:r w:rsidRPr="00852120">
        <w:t>. 2010. № 2. С. 6–9.</w:t>
      </w:r>
    </w:p>
    <w:p w14:paraId="79E4AC0B" w14:textId="77777777" w:rsidR="000B2770" w:rsidRPr="000B2770" w:rsidRDefault="000B2770" w:rsidP="000B2770">
      <w:pPr>
        <w:pStyle w:val="af4"/>
        <w:numPr>
          <w:ilvl w:val="0"/>
          <w:numId w:val="25"/>
        </w:numPr>
        <w:shd w:val="clear" w:color="auto" w:fill="FEFEFE"/>
        <w:tabs>
          <w:tab w:val="left" w:pos="1134"/>
        </w:tabs>
        <w:ind w:left="-142" w:right="-143" w:firstLine="669"/>
        <w:contextualSpacing/>
      </w:pPr>
      <w:r w:rsidRPr="000B2770">
        <w:t>Коломієць Ю.Ю. Кримінально-правова ідеологія: філософсько-правове дослідження: Монографія / Ю.Ю. Коломієць. - Арциз : ФОП Петров О.С., 2019. - 472с.</w:t>
      </w:r>
    </w:p>
    <w:p w14:paraId="581F60D2" w14:textId="77777777" w:rsidR="00A401CD" w:rsidRPr="00852120" w:rsidRDefault="00A401CD" w:rsidP="00DF00C7">
      <w:pPr>
        <w:pStyle w:val="af4"/>
        <w:numPr>
          <w:ilvl w:val="0"/>
          <w:numId w:val="25"/>
        </w:numPr>
        <w:shd w:val="clear" w:color="auto" w:fill="FEFEFE"/>
        <w:tabs>
          <w:tab w:val="left" w:pos="1134"/>
        </w:tabs>
        <w:ind w:left="-142" w:right="-143" w:firstLine="669"/>
        <w:contextualSpacing/>
      </w:pPr>
      <w:r w:rsidRPr="00852120">
        <w:t xml:space="preserve">Кретова І. Ю. Тлумачення права: доктрини, розвинуті Європейським судом з прав людини  : автореф. дис. ... канд. юрид. наук : 12.00.01 Харків, 2015. 20 с. URL: </w:t>
      </w:r>
      <w:hyperlink r:id="rId22" w:history="1">
        <w:r w:rsidRPr="00852120">
          <w:t>http://nauka.nlu.edu.ua/download/diss/Kretova/d_Kretova.pdf</w:t>
        </w:r>
      </w:hyperlink>
    </w:p>
    <w:p w14:paraId="46D23D4B" w14:textId="482A1E1A" w:rsidR="00A401CD" w:rsidRPr="00852120" w:rsidRDefault="00A401CD" w:rsidP="00DF00C7">
      <w:pPr>
        <w:pStyle w:val="af4"/>
        <w:numPr>
          <w:ilvl w:val="0"/>
          <w:numId w:val="25"/>
        </w:numPr>
        <w:shd w:val="clear" w:color="auto" w:fill="FEFEFE"/>
        <w:tabs>
          <w:tab w:val="left" w:pos="1134"/>
        </w:tabs>
        <w:ind w:left="-142" w:right="-143" w:firstLine="669"/>
        <w:contextualSpacing/>
      </w:pPr>
      <w:r w:rsidRPr="00852120">
        <w:t xml:space="preserve">Легран П. Неможливість «правових трансплантантів». </w:t>
      </w:r>
      <w:r w:rsidRPr="00C470D6">
        <w:rPr>
          <w:i/>
        </w:rPr>
        <w:t>Порівняльне правознавство.</w:t>
      </w:r>
      <w:r w:rsidRPr="00852120">
        <w:t xml:space="preserve"> 2013. № 1. С. 46–60.  </w:t>
      </w:r>
    </w:p>
    <w:p w14:paraId="0F4BB85E" w14:textId="6BAD5355" w:rsidR="00A401CD" w:rsidRPr="00852120" w:rsidRDefault="00A401CD" w:rsidP="00DF00C7">
      <w:pPr>
        <w:pStyle w:val="af4"/>
        <w:numPr>
          <w:ilvl w:val="0"/>
          <w:numId w:val="25"/>
        </w:numPr>
        <w:shd w:val="clear" w:color="auto" w:fill="FEFEFE"/>
        <w:tabs>
          <w:tab w:val="left" w:pos="1134"/>
        </w:tabs>
        <w:ind w:left="-142" w:right="-143" w:firstLine="669"/>
        <w:contextualSpacing/>
      </w:pPr>
      <w:r w:rsidRPr="00852120">
        <w:t>Практика Європейського суду з прав людини щодо України. Том 1-3, Харків, Право 2019-2021</w:t>
      </w:r>
      <w:r w:rsidR="007F11A4">
        <w:t>.</w:t>
      </w:r>
    </w:p>
    <w:p w14:paraId="66ECAC90" w14:textId="37CB3616" w:rsidR="00A401CD" w:rsidRPr="00852120" w:rsidRDefault="00A401CD" w:rsidP="00DF00C7">
      <w:pPr>
        <w:pStyle w:val="af4"/>
        <w:numPr>
          <w:ilvl w:val="0"/>
          <w:numId w:val="25"/>
        </w:numPr>
        <w:shd w:val="clear" w:color="auto" w:fill="FEFEFE"/>
        <w:tabs>
          <w:tab w:val="left" w:pos="1134"/>
        </w:tabs>
        <w:ind w:left="-142" w:right="-143" w:firstLine="669"/>
        <w:contextualSpacing/>
      </w:pPr>
      <w:r w:rsidRPr="00852120">
        <w:t>Манукян В.</w:t>
      </w:r>
      <w:r w:rsidR="007F11A4">
        <w:t xml:space="preserve"> </w:t>
      </w:r>
      <w:r w:rsidRPr="00852120">
        <w:t>І. Європейський суд з прав людини: право, прецеденти, коментарі: наук.-практ. посіб. К</w:t>
      </w:r>
      <w:r w:rsidR="007F11A4">
        <w:t xml:space="preserve">иїв </w:t>
      </w:r>
      <w:r w:rsidRPr="00852120">
        <w:t>: Істина, 2007. 368 с.</w:t>
      </w:r>
    </w:p>
    <w:p w14:paraId="0A863A65" w14:textId="09E6C688" w:rsidR="00A401CD" w:rsidRPr="00852120" w:rsidRDefault="00A401CD" w:rsidP="00DF00C7">
      <w:pPr>
        <w:pStyle w:val="af4"/>
        <w:numPr>
          <w:ilvl w:val="0"/>
          <w:numId w:val="25"/>
        </w:numPr>
        <w:shd w:val="clear" w:color="auto" w:fill="FEFEFE"/>
        <w:tabs>
          <w:tab w:val="left" w:pos="1134"/>
        </w:tabs>
        <w:ind w:left="-142" w:right="-143" w:firstLine="669"/>
        <w:contextualSpacing/>
      </w:pPr>
      <w:r w:rsidRPr="00852120">
        <w:t>Маліцький Б.</w:t>
      </w:r>
      <w:r w:rsidR="007F11A4">
        <w:t xml:space="preserve"> </w:t>
      </w:r>
      <w:r w:rsidRPr="00852120">
        <w:t xml:space="preserve">А. Сучасний стан наукової сфери України та нова стратегічна доктрина її розвитку. </w:t>
      </w:r>
      <w:r w:rsidRPr="00C470D6">
        <w:rPr>
          <w:i/>
        </w:rPr>
        <w:t>Наука та наукознавство</w:t>
      </w:r>
      <w:r w:rsidRPr="00852120">
        <w:t>. 2006. № 2. С. 16–32.</w:t>
      </w:r>
    </w:p>
    <w:p w14:paraId="5A7AE77E" w14:textId="4C3D7FB8" w:rsidR="00A401CD" w:rsidRPr="00852120" w:rsidRDefault="00A401CD" w:rsidP="00DF00C7">
      <w:pPr>
        <w:pStyle w:val="af4"/>
        <w:numPr>
          <w:ilvl w:val="0"/>
          <w:numId w:val="25"/>
        </w:numPr>
        <w:shd w:val="clear" w:color="auto" w:fill="FEFEFE"/>
        <w:tabs>
          <w:tab w:val="left" w:pos="1134"/>
        </w:tabs>
        <w:ind w:left="-142" w:right="-143" w:firstLine="669"/>
        <w:contextualSpacing/>
      </w:pPr>
      <w:r w:rsidRPr="00852120">
        <w:t>Пархоменко Н.</w:t>
      </w:r>
      <w:r w:rsidR="007F11A4">
        <w:t xml:space="preserve"> </w:t>
      </w:r>
      <w:r w:rsidRPr="00852120">
        <w:t>М. Джерела права: проблеми теорії та методології : монографія. К</w:t>
      </w:r>
      <w:r w:rsidR="007F11A4">
        <w:t>иїв</w:t>
      </w:r>
      <w:r w:rsidRPr="00852120">
        <w:t xml:space="preserve">:  ТОВ «Видавництво «Юридична думка», 2008. 336 с. </w:t>
      </w:r>
    </w:p>
    <w:p w14:paraId="380FAC75" w14:textId="77777777" w:rsidR="00A401CD" w:rsidRPr="00852120" w:rsidRDefault="00A401CD" w:rsidP="00DF00C7">
      <w:pPr>
        <w:pStyle w:val="af4"/>
        <w:numPr>
          <w:ilvl w:val="0"/>
          <w:numId w:val="25"/>
        </w:numPr>
        <w:shd w:val="clear" w:color="auto" w:fill="FEFEFE"/>
        <w:tabs>
          <w:tab w:val="left" w:pos="1134"/>
        </w:tabs>
        <w:ind w:left="-142" w:right="-143" w:firstLine="669"/>
        <w:contextualSpacing/>
      </w:pPr>
      <w:r w:rsidRPr="00852120">
        <w:t>Савченко А.В. Порівняльний аналіз кримінального законодавства України та федерального кримінального законодавства Сполучених Штатів Америки: дис. … д-ра юрид. наук: 12.00.08. К., 2007. 616 c.</w:t>
      </w:r>
    </w:p>
    <w:p w14:paraId="4C57DC9F" w14:textId="44680DF0" w:rsidR="00A401CD" w:rsidRPr="00852120" w:rsidRDefault="00A401CD" w:rsidP="00DF00C7">
      <w:pPr>
        <w:pStyle w:val="af4"/>
        <w:numPr>
          <w:ilvl w:val="0"/>
          <w:numId w:val="25"/>
        </w:numPr>
        <w:shd w:val="clear" w:color="auto" w:fill="FEFEFE"/>
        <w:tabs>
          <w:tab w:val="left" w:pos="1134"/>
        </w:tabs>
        <w:ind w:left="-142" w:right="-143" w:firstLine="669"/>
        <w:contextualSpacing/>
      </w:pPr>
      <w:r w:rsidRPr="00852120">
        <w:t>Семеніхін І.</w:t>
      </w:r>
      <w:r w:rsidR="007F11A4">
        <w:t xml:space="preserve"> </w:t>
      </w:r>
      <w:r w:rsidRPr="00852120">
        <w:t>В. Правова доктрина: загальнотеоретичний аналіз / под наук. ред. О.В. Петришина. Х</w:t>
      </w:r>
      <w:r w:rsidR="007F11A4">
        <w:t>арків</w:t>
      </w:r>
      <w:r w:rsidRPr="00852120">
        <w:t>, 2012. 88 с.</w:t>
      </w:r>
    </w:p>
    <w:p w14:paraId="61B78A9D" w14:textId="349DFC0D" w:rsidR="00A401CD" w:rsidRPr="00852120" w:rsidRDefault="00A401CD" w:rsidP="00DF00C7">
      <w:pPr>
        <w:pStyle w:val="af4"/>
        <w:numPr>
          <w:ilvl w:val="0"/>
          <w:numId w:val="25"/>
        </w:numPr>
        <w:shd w:val="clear" w:color="auto" w:fill="FEFEFE"/>
        <w:tabs>
          <w:tab w:val="left" w:pos="1134"/>
        </w:tabs>
        <w:ind w:left="-142" w:right="-143" w:firstLine="669"/>
        <w:contextualSpacing/>
      </w:pPr>
      <w:r w:rsidRPr="00852120">
        <w:t>Сердюк П.</w:t>
      </w:r>
      <w:r w:rsidR="007F11A4">
        <w:t xml:space="preserve"> </w:t>
      </w:r>
      <w:r w:rsidRPr="00852120">
        <w:t>П. Теоретичні й методологічні проблеми сучасного кримінального права</w:t>
      </w:r>
      <w:r w:rsidR="007F11A4">
        <w:t xml:space="preserve"> :</w:t>
      </w:r>
      <w:r w:rsidRPr="00852120">
        <w:t xml:space="preserve"> </w:t>
      </w:r>
      <w:r w:rsidR="007F11A4">
        <w:t>м</w:t>
      </w:r>
      <w:r w:rsidRPr="00852120">
        <w:t>онографія. Запоріжжя: Акцент Інвест-Трейд, 2012. 800 с. </w:t>
      </w:r>
    </w:p>
    <w:p w14:paraId="594D947B" w14:textId="2BDB5C89" w:rsidR="00A401CD" w:rsidRPr="00852120" w:rsidRDefault="00A401CD" w:rsidP="00DF00C7">
      <w:pPr>
        <w:pStyle w:val="af4"/>
        <w:numPr>
          <w:ilvl w:val="0"/>
          <w:numId w:val="25"/>
        </w:numPr>
        <w:shd w:val="clear" w:color="auto" w:fill="FEFEFE"/>
        <w:tabs>
          <w:tab w:val="left" w:pos="1134"/>
        </w:tabs>
        <w:ind w:left="-142" w:right="-143" w:firstLine="669"/>
        <w:contextualSpacing/>
      </w:pPr>
      <w:r w:rsidRPr="00852120">
        <w:t>Сьома М.</w:t>
      </w:r>
      <w:r w:rsidR="007F11A4">
        <w:t xml:space="preserve"> </w:t>
      </w:r>
      <w:r w:rsidRPr="00852120">
        <w:t>О. Проблема права в філософії Джеремі Бентама: дис. ... канд. філос. наук: 09.00.05. Київ, 2013. 170 с.</w:t>
      </w:r>
    </w:p>
    <w:p w14:paraId="16C30EB6" w14:textId="7C231128" w:rsidR="00A401CD" w:rsidRPr="00852120" w:rsidRDefault="00A401CD" w:rsidP="00DF00C7">
      <w:pPr>
        <w:pStyle w:val="af4"/>
        <w:numPr>
          <w:ilvl w:val="0"/>
          <w:numId w:val="25"/>
        </w:numPr>
        <w:shd w:val="clear" w:color="auto" w:fill="FEFEFE"/>
        <w:tabs>
          <w:tab w:val="left" w:pos="1134"/>
        </w:tabs>
        <w:ind w:left="-142" w:right="-143" w:firstLine="669"/>
        <w:contextualSpacing/>
      </w:pPr>
      <w:r w:rsidRPr="00852120">
        <w:t>Сорока О.</w:t>
      </w:r>
      <w:r w:rsidR="007F11A4">
        <w:t xml:space="preserve"> </w:t>
      </w:r>
      <w:r w:rsidRPr="00852120">
        <w:t>О. Реалізація практики Європейського суду з прав людини у кримінальному праві України. Дис. ... к.ю.н. Спец. 12.00.08 Київ, 2015. 254 с.</w:t>
      </w:r>
    </w:p>
    <w:p w14:paraId="54182746" w14:textId="64EFB1D7" w:rsidR="00A401CD" w:rsidRPr="00852120" w:rsidRDefault="00A401CD" w:rsidP="00DF00C7">
      <w:pPr>
        <w:pStyle w:val="af4"/>
        <w:numPr>
          <w:ilvl w:val="0"/>
          <w:numId w:val="25"/>
        </w:numPr>
        <w:shd w:val="clear" w:color="auto" w:fill="FEFEFE"/>
        <w:tabs>
          <w:tab w:val="left" w:pos="1134"/>
        </w:tabs>
        <w:ind w:left="-142" w:right="-143" w:firstLine="669"/>
        <w:contextualSpacing/>
      </w:pPr>
      <w:r w:rsidRPr="00852120">
        <w:t>Тлумачення та застосування Конвенції про захист прав людини і основоположних свобод Європейським судом з прав людини та судами України: навч. посіб. / М.</w:t>
      </w:r>
      <w:r w:rsidR="007F11A4">
        <w:t xml:space="preserve"> </w:t>
      </w:r>
      <w:r w:rsidRPr="00852120">
        <w:t>В. Мазур, Є.</w:t>
      </w:r>
      <w:r w:rsidR="007F11A4">
        <w:t xml:space="preserve"> </w:t>
      </w:r>
      <w:r w:rsidRPr="00852120">
        <w:t>Р.Тагіев, А.</w:t>
      </w:r>
      <w:r w:rsidR="007F11A4">
        <w:t xml:space="preserve"> </w:t>
      </w:r>
      <w:r w:rsidRPr="00852120">
        <w:t>С. Беніцький, В.</w:t>
      </w:r>
      <w:r w:rsidR="007F11A4">
        <w:t xml:space="preserve"> </w:t>
      </w:r>
      <w:r w:rsidRPr="00852120">
        <w:t>В. Кострицький. Луганськ: Луг. держ. ун-т внутр. справ, 2006. 600 с.</w:t>
      </w:r>
    </w:p>
    <w:p w14:paraId="10461EA9" w14:textId="5A86829C" w:rsidR="00A401CD" w:rsidRPr="00852120" w:rsidRDefault="00A401CD" w:rsidP="00DF00C7">
      <w:pPr>
        <w:pStyle w:val="af4"/>
        <w:numPr>
          <w:ilvl w:val="0"/>
          <w:numId w:val="25"/>
        </w:numPr>
        <w:shd w:val="clear" w:color="auto" w:fill="FEFEFE"/>
        <w:tabs>
          <w:tab w:val="left" w:pos="1134"/>
        </w:tabs>
        <w:ind w:left="-142" w:right="-143" w:firstLine="669"/>
        <w:contextualSpacing/>
      </w:pPr>
      <w:r w:rsidRPr="00852120">
        <w:t>Тихолаз А.</w:t>
      </w:r>
      <w:r w:rsidR="007F11A4">
        <w:t xml:space="preserve"> </w:t>
      </w:r>
      <w:r w:rsidRPr="00852120">
        <w:t>Г. Утилітаризм Джеремі Бентама та витоки англійського правового позитивізму. Наукові записки НаУКМА. К., 2001. Т. 19 : спец. вип.: у 2 ч., ч. 1. C. 99–106.</w:t>
      </w:r>
    </w:p>
    <w:p w14:paraId="6D12E30D" w14:textId="38E8A6D7" w:rsidR="00A401CD" w:rsidRPr="00852120" w:rsidRDefault="00A401CD" w:rsidP="00DF00C7">
      <w:pPr>
        <w:pStyle w:val="af4"/>
        <w:numPr>
          <w:ilvl w:val="0"/>
          <w:numId w:val="25"/>
        </w:numPr>
        <w:shd w:val="clear" w:color="auto" w:fill="FEFEFE"/>
        <w:tabs>
          <w:tab w:val="left" w:pos="1134"/>
        </w:tabs>
        <w:ind w:left="-142" w:right="-143" w:firstLine="669"/>
        <w:contextualSpacing/>
      </w:pPr>
      <w:r w:rsidRPr="00852120">
        <w:t>Саченко А.</w:t>
      </w:r>
      <w:r w:rsidR="007F11A4">
        <w:t xml:space="preserve"> </w:t>
      </w:r>
      <w:r w:rsidRPr="00852120">
        <w:t>П. Практика Європейського суду з прав людини. Кримінальний аспект. Київ, Дакор, 2021</w:t>
      </w:r>
      <w:r w:rsidR="007F11A4">
        <w:t>.</w:t>
      </w:r>
      <w:r w:rsidRPr="00852120">
        <w:t xml:space="preserve"> 250 .с</w:t>
      </w:r>
    </w:p>
    <w:p w14:paraId="089D69A1" w14:textId="1CB9F550" w:rsidR="00A401CD" w:rsidRPr="00852120" w:rsidRDefault="00A401CD" w:rsidP="00DF00C7">
      <w:pPr>
        <w:pStyle w:val="af4"/>
        <w:numPr>
          <w:ilvl w:val="0"/>
          <w:numId w:val="25"/>
        </w:numPr>
        <w:shd w:val="clear" w:color="auto" w:fill="FEFEFE"/>
        <w:tabs>
          <w:tab w:val="left" w:pos="1134"/>
        </w:tabs>
        <w:ind w:left="-142" w:right="-143" w:firstLine="669"/>
        <w:contextualSpacing/>
      </w:pPr>
      <w:r w:rsidRPr="00C470D6">
        <w:rPr>
          <w:bCs/>
        </w:rPr>
        <w:t>Стрельцов Є.</w:t>
      </w:r>
      <w:r w:rsidR="007F11A4">
        <w:rPr>
          <w:bCs/>
        </w:rPr>
        <w:t xml:space="preserve"> </w:t>
      </w:r>
      <w:r w:rsidRPr="00C470D6">
        <w:rPr>
          <w:bCs/>
        </w:rPr>
        <w:t xml:space="preserve">Л. </w:t>
      </w:r>
      <w:r w:rsidRPr="00C470D6">
        <w:rPr>
          <w:bCs/>
          <w:iCs/>
        </w:rPr>
        <w:t xml:space="preserve">Про основні складові кримінального права. </w:t>
      </w:r>
      <w:r w:rsidRPr="00C470D6">
        <w:rPr>
          <w:bCs/>
          <w:i/>
          <w:iCs/>
        </w:rPr>
        <w:t>Вісник Південного регіонального центру Національної академії правових наук України</w:t>
      </w:r>
      <w:r w:rsidRPr="00C470D6">
        <w:rPr>
          <w:bCs/>
          <w:iCs/>
        </w:rPr>
        <w:t xml:space="preserve"> 2020</w:t>
      </w:r>
      <w:r w:rsidR="007F11A4">
        <w:rPr>
          <w:bCs/>
          <w:iCs/>
        </w:rPr>
        <w:t>.</w:t>
      </w:r>
      <w:r w:rsidRPr="00C470D6">
        <w:rPr>
          <w:bCs/>
          <w:iCs/>
        </w:rPr>
        <w:t xml:space="preserve"> № 2</w:t>
      </w:r>
      <w:r w:rsidR="007F11A4">
        <w:rPr>
          <w:bCs/>
          <w:iCs/>
        </w:rPr>
        <w:t>.</w:t>
      </w:r>
      <w:r w:rsidRPr="00C470D6">
        <w:rPr>
          <w:bCs/>
          <w:iCs/>
        </w:rPr>
        <w:t xml:space="preserve"> </w:t>
      </w:r>
      <w:r w:rsidR="007F11A4">
        <w:rPr>
          <w:bCs/>
          <w:iCs/>
        </w:rPr>
        <w:t>С</w:t>
      </w:r>
      <w:r w:rsidRPr="00C470D6">
        <w:rPr>
          <w:bCs/>
          <w:iCs/>
        </w:rPr>
        <w:t>. 45 – 52</w:t>
      </w:r>
      <w:r w:rsidR="007F11A4">
        <w:rPr>
          <w:bCs/>
          <w:iCs/>
        </w:rPr>
        <w:t>.</w:t>
      </w:r>
    </w:p>
    <w:p w14:paraId="19E9FB5D" w14:textId="4CB75356" w:rsidR="00A401CD" w:rsidRPr="00852120" w:rsidRDefault="00A401CD" w:rsidP="00DF00C7">
      <w:pPr>
        <w:pStyle w:val="af4"/>
        <w:numPr>
          <w:ilvl w:val="0"/>
          <w:numId w:val="25"/>
        </w:numPr>
        <w:shd w:val="clear" w:color="auto" w:fill="FEFEFE"/>
        <w:tabs>
          <w:tab w:val="left" w:pos="1134"/>
        </w:tabs>
        <w:ind w:left="-142" w:right="-143" w:firstLine="669"/>
        <w:contextualSpacing/>
      </w:pPr>
      <w:r w:rsidRPr="00852120">
        <w:t>Туляков В. О. Пеналізаційна практика у європейському кримінальному дискурсі : навчальний посібник / В. О. Туляков, Ф. Ш. Іскендеров, А. С. Хильченко. Одеса : Гельветика, 2020. 116 с.</w:t>
      </w:r>
    </w:p>
    <w:p w14:paraId="405CE944" w14:textId="625A3013" w:rsidR="00A401CD" w:rsidRPr="00852120" w:rsidRDefault="00A401CD" w:rsidP="00DF00C7">
      <w:pPr>
        <w:pStyle w:val="af4"/>
        <w:numPr>
          <w:ilvl w:val="0"/>
          <w:numId w:val="25"/>
        </w:numPr>
        <w:shd w:val="clear" w:color="auto" w:fill="FEFEFE"/>
        <w:tabs>
          <w:tab w:val="left" w:pos="1134"/>
        </w:tabs>
        <w:ind w:left="-142" w:right="-143" w:firstLine="669"/>
        <w:contextualSpacing/>
      </w:pPr>
      <w:r w:rsidRPr="00852120">
        <w:t>Туляков В.</w:t>
      </w:r>
      <w:r w:rsidR="007F11A4">
        <w:t xml:space="preserve"> </w:t>
      </w:r>
      <w:r w:rsidRPr="00852120">
        <w:t>О. Матриця неокриміналізації: шляхи оптимізації кримінально-правового реагування</w:t>
      </w:r>
      <w:r w:rsidR="007F11A4">
        <w:t>.</w:t>
      </w:r>
      <w:r w:rsidRPr="00852120">
        <w:t xml:space="preserve"> </w:t>
      </w:r>
      <w:r w:rsidRPr="00C470D6">
        <w:rPr>
          <w:i/>
        </w:rPr>
        <w:t xml:space="preserve">Концептуальні основи кримінальної законотворчості : </w:t>
      </w:r>
      <w:r w:rsidRPr="00852120">
        <w:t xml:space="preserve">Матеріали міжнародної науково-практичної конференції (19 жовт. 2017 р., м. Одеса). Одеса : НУ "ОЮА", 2017. </w:t>
      </w:r>
      <w:r w:rsidR="007F11A4">
        <w:t>С</w:t>
      </w:r>
      <w:r w:rsidRPr="00852120">
        <w:t>. 156-165.</w:t>
      </w:r>
    </w:p>
    <w:p w14:paraId="476D9E4F" w14:textId="0F660E45" w:rsidR="00A401CD" w:rsidRPr="00852120" w:rsidRDefault="00A401CD" w:rsidP="00DF00C7">
      <w:pPr>
        <w:pStyle w:val="af4"/>
        <w:numPr>
          <w:ilvl w:val="0"/>
          <w:numId w:val="25"/>
        </w:numPr>
        <w:shd w:val="clear" w:color="auto" w:fill="FEFEFE"/>
        <w:tabs>
          <w:tab w:val="left" w:pos="1134"/>
        </w:tabs>
        <w:ind w:left="-142" w:right="-143" w:firstLine="669"/>
        <w:contextualSpacing/>
      </w:pPr>
      <w:r w:rsidRPr="00852120">
        <w:t>Туляков В.</w:t>
      </w:r>
      <w:r w:rsidR="007F11A4">
        <w:t xml:space="preserve"> </w:t>
      </w:r>
      <w:r w:rsidRPr="00852120">
        <w:t>О. Принцип законності в динаміці рішень ЄСПЛ та розвиток кримінального законодавства України</w:t>
      </w:r>
      <w:r w:rsidR="007F11A4">
        <w:t>.</w:t>
      </w:r>
      <w:r w:rsidRPr="00852120">
        <w:t xml:space="preserve"> </w:t>
      </w:r>
      <w:r w:rsidRPr="00C470D6">
        <w:rPr>
          <w:i/>
        </w:rPr>
        <w:t>Концептуальні засади нової редакції Кримінального кодексу України</w:t>
      </w:r>
      <w:r w:rsidR="003C703E">
        <w:rPr>
          <w:i/>
        </w:rPr>
        <w:t xml:space="preserve"> : </w:t>
      </w:r>
      <w:r w:rsidR="003C703E" w:rsidRPr="00852120">
        <w:t>Матеріали міжнародної наукової конференції</w:t>
      </w:r>
      <w:r w:rsidRPr="00852120">
        <w:t xml:space="preserve"> </w:t>
      </w:r>
      <w:r w:rsidR="003C703E">
        <w:t>(</w:t>
      </w:r>
      <w:r w:rsidR="003C703E">
        <w:rPr>
          <w:rStyle w:val="markedcontent"/>
          <w:sz w:val="27"/>
          <w:szCs w:val="27"/>
        </w:rPr>
        <w:t>м. Харків, 17–19 жовтня 2019 року</w:t>
      </w:r>
      <w:r w:rsidR="003C703E">
        <w:t>). Харків : «Право», 2019. С. 125-129.</w:t>
      </w:r>
    </w:p>
    <w:p w14:paraId="535F16E9" w14:textId="1889D983" w:rsidR="00A401CD" w:rsidRPr="00852120" w:rsidRDefault="00A401CD" w:rsidP="00DF00C7">
      <w:pPr>
        <w:pStyle w:val="af2"/>
        <w:numPr>
          <w:ilvl w:val="0"/>
          <w:numId w:val="25"/>
        </w:numPr>
        <w:tabs>
          <w:tab w:val="left" w:pos="1134"/>
        </w:tabs>
        <w:spacing w:after="0"/>
        <w:ind w:left="-142" w:right="-143" w:firstLine="669"/>
        <w:jc w:val="both"/>
        <w:rPr>
          <w:sz w:val="28"/>
          <w:szCs w:val="28"/>
          <w:lang w:val="uk-UA"/>
        </w:rPr>
      </w:pPr>
      <w:r w:rsidRPr="00852120">
        <w:rPr>
          <w:sz w:val="28"/>
          <w:szCs w:val="28"/>
          <w:lang w:val="uk-UA"/>
        </w:rPr>
        <w:t xml:space="preserve">Туляков В. О., Савінова Н. А. Кримінально-політичні інновації в епоху сингулярності. </w:t>
      </w:r>
      <w:r w:rsidRPr="00852120">
        <w:rPr>
          <w:i/>
          <w:iCs/>
          <w:sz w:val="28"/>
          <w:szCs w:val="28"/>
          <w:lang w:val="uk-UA"/>
        </w:rPr>
        <w:t>Злочинність і протидія їй в умовах сингулярності: тенденції та інновації</w:t>
      </w:r>
      <w:r w:rsidRPr="00852120">
        <w:rPr>
          <w:sz w:val="28"/>
          <w:szCs w:val="28"/>
          <w:lang w:val="uk-UA"/>
        </w:rPr>
        <w:t xml:space="preserve"> </w:t>
      </w:r>
      <w:r w:rsidR="003C703E">
        <w:rPr>
          <w:sz w:val="28"/>
          <w:szCs w:val="28"/>
          <w:lang w:val="uk-UA"/>
        </w:rPr>
        <w:t>.</w:t>
      </w:r>
      <w:r w:rsidRPr="00852120">
        <w:rPr>
          <w:sz w:val="28"/>
          <w:szCs w:val="28"/>
          <w:lang w:val="uk-UA"/>
        </w:rPr>
        <w:t xml:space="preserve"> Харків : ХНУВС, 2021. 464 с.</w:t>
      </w:r>
      <w:r w:rsidR="003C703E">
        <w:rPr>
          <w:sz w:val="28"/>
          <w:szCs w:val="28"/>
          <w:lang w:val="uk-UA"/>
        </w:rPr>
        <w:t xml:space="preserve"> С. </w:t>
      </w:r>
      <w:r w:rsidRPr="00852120">
        <w:rPr>
          <w:sz w:val="28"/>
          <w:szCs w:val="28"/>
          <w:lang w:val="uk-UA"/>
        </w:rPr>
        <w:t>153-155.</w:t>
      </w:r>
    </w:p>
    <w:p w14:paraId="01FEDD2A" w14:textId="0034A008" w:rsidR="00A401CD" w:rsidRPr="00852120" w:rsidRDefault="00A401CD" w:rsidP="00DF00C7">
      <w:pPr>
        <w:pStyle w:val="af2"/>
        <w:numPr>
          <w:ilvl w:val="0"/>
          <w:numId w:val="25"/>
        </w:numPr>
        <w:tabs>
          <w:tab w:val="left" w:pos="1134"/>
        </w:tabs>
        <w:spacing w:after="0"/>
        <w:ind w:left="-142" w:right="-143" w:firstLine="669"/>
        <w:jc w:val="both"/>
        <w:rPr>
          <w:sz w:val="28"/>
          <w:szCs w:val="28"/>
          <w:lang w:val="uk-UA"/>
        </w:rPr>
      </w:pPr>
      <w:r w:rsidRPr="00852120">
        <w:rPr>
          <w:sz w:val="28"/>
          <w:szCs w:val="28"/>
          <w:lang w:val="uk-UA"/>
        </w:rPr>
        <w:t>Туляков В.</w:t>
      </w:r>
      <w:r w:rsidR="003C703E">
        <w:rPr>
          <w:sz w:val="28"/>
          <w:szCs w:val="28"/>
          <w:lang w:val="uk-UA"/>
        </w:rPr>
        <w:t xml:space="preserve"> </w:t>
      </w:r>
      <w:r w:rsidRPr="00852120">
        <w:rPr>
          <w:sz w:val="28"/>
          <w:szCs w:val="28"/>
          <w:lang w:val="uk-UA"/>
        </w:rPr>
        <w:t>О. «Кримістративні» санкції питання визначеності в контексті верховенства права</w:t>
      </w:r>
      <w:r w:rsidRPr="00852120">
        <w:rPr>
          <w:i/>
          <w:iCs/>
          <w:sz w:val="28"/>
          <w:szCs w:val="28"/>
          <w:lang w:val="uk-UA"/>
        </w:rPr>
        <w:t>. Наука та суспільне життя України в епоху глобальних викликів людства у цифрову еру (з нагоди 30-річчя проголошення незалежності України та 25-річчя прийняття Конституції України</w:t>
      </w:r>
      <w:r w:rsidR="003C703E">
        <w:rPr>
          <w:i/>
          <w:iCs/>
          <w:sz w:val="28"/>
          <w:szCs w:val="28"/>
          <w:lang w:val="uk-UA"/>
        </w:rPr>
        <w:t>).</w:t>
      </w:r>
      <w:r w:rsidRPr="00852120">
        <w:rPr>
          <w:sz w:val="28"/>
          <w:szCs w:val="28"/>
          <w:lang w:val="uk-UA"/>
        </w:rPr>
        <w:t xml:space="preserve"> Одеса : Видавничий дім «Гельветика», 2021. Т. 2. 704 с. С.149-153</w:t>
      </w:r>
      <w:r w:rsidR="003C703E">
        <w:rPr>
          <w:sz w:val="28"/>
          <w:szCs w:val="28"/>
          <w:lang w:val="uk-UA"/>
        </w:rPr>
        <w:t>.</w:t>
      </w:r>
    </w:p>
    <w:p w14:paraId="297732AE" w14:textId="26388C74" w:rsidR="00A401CD" w:rsidRDefault="00A401CD" w:rsidP="00DF00C7">
      <w:pPr>
        <w:pStyle w:val="af2"/>
        <w:numPr>
          <w:ilvl w:val="0"/>
          <w:numId w:val="25"/>
        </w:numPr>
        <w:tabs>
          <w:tab w:val="left" w:pos="1134"/>
        </w:tabs>
        <w:spacing w:after="0"/>
        <w:ind w:left="-142" w:right="-143" w:firstLine="669"/>
        <w:jc w:val="both"/>
        <w:rPr>
          <w:sz w:val="28"/>
          <w:szCs w:val="28"/>
          <w:lang w:val="uk-UA"/>
        </w:rPr>
      </w:pPr>
      <w:r w:rsidRPr="00852120">
        <w:rPr>
          <w:sz w:val="28"/>
          <w:szCs w:val="28"/>
          <w:lang w:val="uk-UA"/>
        </w:rPr>
        <w:t>Туляков В.</w:t>
      </w:r>
      <w:r w:rsidR="003C703E">
        <w:rPr>
          <w:sz w:val="28"/>
          <w:szCs w:val="28"/>
          <w:lang w:val="uk-UA"/>
        </w:rPr>
        <w:t xml:space="preserve"> </w:t>
      </w:r>
      <w:r w:rsidRPr="00852120">
        <w:rPr>
          <w:sz w:val="28"/>
          <w:szCs w:val="28"/>
          <w:lang w:val="uk-UA"/>
        </w:rPr>
        <w:t xml:space="preserve">О. Нейрокримінологія та питання реформи кримінального права. </w:t>
      </w:r>
      <w:r w:rsidRPr="00852120">
        <w:rPr>
          <w:i/>
          <w:iCs/>
          <w:sz w:val="28"/>
          <w:szCs w:val="28"/>
          <w:lang w:val="uk-UA"/>
        </w:rPr>
        <w:t>Кримінально-правова правотворчість: визначення та значення</w:t>
      </w:r>
      <w:r w:rsidRPr="00852120">
        <w:rPr>
          <w:sz w:val="28"/>
          <w:szCs w:val="28"/>
          <w:lang w:val="uk-UA"/>
        </w:rPr>
        <w:t xml:space="preserve"> матеріали Міжнародної науково-практичної конференція «Кримінально-правова правотворчість: визначення та значення», (м. Одеса, 28 травня 2021 року).</w:t>
      </w:r>
      <w:r w:rsidR="003C703E">
        <w:rPr>
          <w:sz w:val="28"/>
          <w:szCs w:val="28"/>
          <w:lang w:val="uk-UA"/>
        </w:rPr>
        <w:t xml:space="preserve"> </w:t>
      </w:r>
      <w:r w:rsidRPr="00852120">
        <w:rPr>
          <w:sz w:val="28"/>
          <w:szCs w:val="28"/>
          <w:lang w:val="uk-UA"/>
        </w:rPr>
        <w:t>Одеса, 2021.</w:t>
      </w:r>
      <w:r w:rsidR="003C703E">
        <w:rPr>
          <w:sz w:val="28"/>
          <w:szCs w:val="28"/>
          <w:lang w:val="uk-UA"/>
        </w:rPr>
        <w:t xml:space="preserve"> </w:t>
      </w:r>
      <w:r w:rsidRPr="00852120">
        <w:rPr>
          <w:sz w:val="28"/>
          <w:szCs w:val="28"/>
          <w:lang w:val="uk-UA"/>
        </w:rPr>
        <w:t>С.37-41</w:t>
      </w:r>
      <w:r w:rsidR="003C703E">
        <w:rPr>
          <w:sz w:val="28"/>
          <w:szCs w:val="28"/>
          <w:lang w:val="uk-UA"/>
        </w:rPr>
        <w:t>.</w:t>
      </w:r>
    </w:p>
    <w:p w14:paraId="777A920F" w14:textId="75830CF2" w:rsidR="007B6EE2" w:rsidRPr="00852120" w:rsidRDefault="007B6EE2" w:rsidP="00DF00C7">
      <w:pPr>
        <w:pStyle w:val="af2"/>
        <w:numPr>
          <w:ilvl w:val="0"/>
          <w:numId w:val="25"/>
        </w:numPr>
        <w:tabs>
          <w:tab w:val="left" w:pos="1134"/>
        </w:tabs>
        <w:spacing w:after="0"/>
        <w:ind w:left="-142" w:right="-143" w:firstLine="669"/>
        <w:jc w:val="both"/>
        <w:rPr>
          <w:sz w:val="28"/>
          <w:szCs w:val="28"/>
          <w:lang w:val="uk-UA"/>
        </w:rPr>
      </w:pPr>
      <w:r w:rsidRPr="00C532AB">
        <w:rPr>
          <w:color w:val="000000" w:themeColor="text1"/>
          <w:sz w:val="28"/>
          <w:szCs w:val="28"/>
          <w:lang w:val="uk-UA"/>
        </w:rPr>
        <w:t>Туляков В.О. Апроксимація кримінального законодавства України</w:t>
      </w:r>
      <w:r w:rsidRPr="00B147FC">
        <w:rPr>
          <w:color w:val="000000" w:themeColor="text1"/>
          <w:sz w:val="28"/>
          <w:szCs w:val="28"/>
          <w:lang w:val="uk-UA"/>
        </w:rPr>
        <w:t xml:space="preserve"> </w:t>
      </w:r>
      <w:r w:rsidRPr="00C532AB">
        <w:rPr>
          <w:color w:val="000000" w:themeColor="text1"/>
          <w:sz w:val="28"/>
          <w:szCs w:val="28"/>
          <w:lang w:val="uk-UA"/>
        </w:rPr>
        <w:t xml:space="preserve">до права Європейського Союзу (методологія питання) </w:t>
      </w:r>
      <w:r w:rsidRPr="00C532AB">
        <w:rPr>
          <w:i/>
          <w:iCs/>
          <w:color w:val="000000" w:themeColor="text1"/>
          <w:sz w:val="28"/>
          <w:szCs w:val="28"/>
          <w:lang w:val="uk-UA"/>
        </w:rPr>
        <w:t>Право України</w:t>
      </w:r>
      <w:r w:rsidRPr="00C532AB">
        <w:rPr>
          <w:color w:val="000000" w:themeColor="text1"/>
          <w:sz w:val="28"/>
          <w:szCs w:val="28"/>
          <w:lang w:val="uk-UA"/>
        </w:rPr>
        <w:t>, 2023, № 3, с. 101-114.</w:t>
      </w:r>
      <w:r w:rsidRPr="00B147FC">
        <w:rPr>
          <w:color w:val="000000" w:themeColor="text1"/>
          <w:sz w:val="28"/>
          <w:szCs w:val="28"/>
          <w:lang w:val="uk-UA"/>
        </w:rPr>
        <w:t>.</w:t>
      </w:r>
    </w:p>
    <w:p w14:paraId="5CE00D4F" w14:textId="62711462" w:rsidR="00A401CD" w:rsidRPr="00852120" w:rsidRDefault="00A401CD" w:rsidP="00DF00C7">
      <w:pPr>
        <w:pStyle w:val="af4"/>
        <w:numPr>
          <w:ilvl w:val="0"/>
          <w:numId w:val="25"/>
        </w:numPr>
        <w:shd w:val="clear" w:color="auto" w:fill="FEFEFE"/>
        <w:tabs>
          <w:tab w:val="left" w:pos="1134"/>
        </w:tabs>
        <w:ind w:left="-142" w:right="-143" w:firstLine="669"/>
        <w:contextualSpacing/>
      </w:pPr>
      <w:r w:rsidRPr="00852120">
        <w:t>Хилюк С.</w:t>
      </w:r>
      <w:r w:rsidR="003C703E">
        <w:t xml:space="preserve"> </w:t>
      </w:r>
      <w:r w:rsidRPr="00852120">
        <w:t xml:space="preserve">В. Lex stricta як складова принципу законності у кримінальному праві в інтерпретації Європейського суду з прав людини </w:t>
      </w:r>
      <w:r w:rsidRPr="00C470D6">
        <w:rPr>
          <w:i/>
          <w:iCs/>
        </w:rPr>
        <w:t>Часопис Академії адвокатури</w:t>
      </w:r>
      <w:r w:rsidRPr="00852120">
        <w:t>. 2014. № 3. С. 92 – 104.</w:t>
      </w:r>
    </w:p>
    <w:p w14:paraId="1A6B8736" w14:textId="2727D011" w:rsidR="00A401CD" w:rsidRPr="00852120" w:rsidRDefault="00A401CD" w:rsidP="00DF00C7">
      <w:pPr>
        <w:pStyle w:val="af4"/>
        <w:numPr>
          <w:ilvl w:val="0"/>
          <w:numId w:val="25"/>
        </w:numPr>
        <w:shd w:val="clear" w:color="auto" w:fill="FEFEFE"/>
        <w:tabs>
          <w:tab w:val="left" w:pos="1134"/>
        </w:tabs>
        <w:ind w:left="-142" w:right="-143" w:firstLine="669"/>
        <w:contextualSpacing/>
      </w:pPr>
      <w:r w:rsidRPr="00852120">
        <w:t>Хилюк С.</w:t>
      </w:r>
      <w:r w:rsidR="003C703E">
        <w:t xml:space="preserve"> </w:t>
      </w:r>
      <w:r w:rsidRPr="00852120">
        <w:t xml:space="preserve">В. Nulla poena sine lege як складова принципу законності у практиці Європейського суду з прав людини </w:t>
      </w:r>
      <w:r w:rsidRPr="00C470D6">
        <w:rPr>
          <w:i/>
          <w:iCs/>
        </w:rPr>
        <w:t>Науковий вісник Львівського державного університету внутрішніх справ</w:t>
      </w:r>
      <w:r w:rsidRPr="00852120">
        <w:t>. 2013. № 2. С. 334 – 345.</w:t>
      </w:r>
    </w:p>
    <w:p w14:paraId="2A2EF198" w14:textId="0218F0DF" w:rsidR="00A401CD" w:rsidRPr="00852120" w:rsidRDefault="00A401CD" w:rsidP="00DF00C7">
      <w:pPr>
        <w:pStyle w:val="af4"/>
        <w:numPr>
          <w:ilvl w:val="0"/>
          <w:numId w:val="25"/>
        </w:numPr>
        <w:shd w:val="clear" w:color="auto" w:fill="FEFEFE"/>
        <w:tabs>
          <w:tab w:val="left" w:pos="1134"/>
        </w:tabs>
        <w:ind w:left="-142" w:right="-143" w:firstLine="669"/>
        <w:contextualSpacing/>
      </w:pPr>
      <w:r w:rsidRPr="00852120">
        <w:t>Хилюк С.</w:t>
      </w:r>
      <w:r w:rsidR="003C703E">
        <w:t xml:space="preserve"> </w:t>
      </w:r>
      <w:r w:rsidRPr="00852120">
        <w:t>В. Кримінально-правові аспекти правила non bis in idem у практиці Європейського Суду з прав людини</w:t>
      </w:r>
      <w:r w:rsidR="003C703E">
        <w:t>.</w:t>
      </w:r>
      <w:r w:rsidRPr="00852120">
        <w:t xml:space="preserve"> </w:t>
      </w:r>
      <w:r w:rsidRPr="00C470D6">
        <w:rPr>
          <w:i/>
          <w:iCs/>
        </w:rPr>
        <w:t>Вісник Львівського університету. Серія юридична</w:t>
      </w:r>
      <w:r w:rsidRPr="00852120">
        <w:t>. 2012.  Вип. 55.  С. 254 – 265.</w:t>
      </w:r>
    </w:p>
    <w:p w14:paraId="65F718ED" w14:textId="46067DE7" w:rsidR="00A401CD" w:rsidRPr="00852120" w:rsidRDefault="00A401CD" w:rsidP="00DF00C7">
      <w:pPr>
        <w:pStyle w:val="af4"/>
        <w:numPr>
          <w:ilvl w:val="0"/>
          <w:numId w:val="25"/>
        </w:numPr>
        <w:shd w:val="clear" w:color="auto" w:fill="FEFEFE"/>
        <w:tabs>
          <w:tab w:val="left" w:pos="1134"/>
        </w:tabs>
        <w:ind w:left="-142" w:right="-143" w:firstLine="669"/>
        <w:contextualSpacing/>
      </w:pPr>
      <w:r w:rsidRPr="00852120">
        <w:t>Хилюк С.</w:t>
      </w:r>
      <w:r w:rsidR="003C703E">
        <w:t xml:space="preserve"> </w:t>
      </w:r>
      <w:r w:rsidRPr="00852120">
        <w:t>В. Правила дії правових положень про злочин та покарання в часі з урахуванням практики Європейського суду з прав людини</w:t>
      </w:r>
      <w:r w:rsidR="003C703E">
        <w:t>.</w:t>
      </w:r>
      <w:r w:rsidRPr="00852120">
        <w:t xml:space="preserve"> </w:t>
      </w:r>
      <w:r w:rsidRPr="00C470D6">
        <w:rPr>
          <w:i/>
          <w:iCs/>
        </w:rPr>
        <w:t>Вісник Львівського університету</w:t>
      </w:r>
      <w:r w:rsidRPr="00852120">
        <w:t>. Серія юридична. 2014. Вип 60.  С. 270 – 277.</w:t>
      </w:r>
    </w:p>
    <w:p w14:paraId="53842B97" w14:textId="712D2DB0" w:rsidR="00A401CD" w:rsidRPr="00852120" w:rsidRDefault="00A401CD" w:rsidP="00DF00C7">
      <w:pPr>
        <w:pStyle w:val="af4"/>
        <w:numPr>
          <w:ilvl w:val="0"/>
          <w:numId w:val="25"/>
        </w:numPr>
        <w:shd w:val="clear" w:color="auto" w:fill="FEFEFE"/>
        <w:tabs>
          <w:tab w:val="left" w:pos="1134"/>
        </w:tabs>
        <w:ind w:left="-142" w:right="-143" w:firstLine="669"/>
        <w:contextualSpacing/>
      </w:pPr>
      <w:r w:rsidRPr="00852120">
        <w:t>Хилюк С.</w:t>
      </w:r>
      <w:r w:rsidR="003C703E">
        <w:t xml:space="preserve"> </w:t>
      </w:r>
      <w:r w:rsidRPr="00852120">
        <w:t>В. Правило nullum crimen sine lege в інтерпретації Європейського суду з прав людини</w:t>
      </w:r>
      <w:r w:rsidR="003C703E">
        <w:t>.</w:t>
      </w:r>
      <w:r w:rsidRPr="00852120">
        <w:t xml:space="preserve"> </w:t>
      </w:r>
      <w:r w:rsidRPr="00C470D6">
        <w:rPr>
          <w:i/>
          <w:iCs/>
        </w:rPr>
        <w:t>Підприємництво, господарство і право.</w:t>
      </w:r>
      <w:r w:rsidRPr="00852120">
        <w:t xml:space="preserve"> 2013.  № 4. С. 47 – 52.</w:t>
      </w:r>
    </w:p>
    <w:p w14:paraId="1089247D" w14:textId="0EEE89CF" w:rsidR="00A401CD" w:rsidRPr="00852120" w:rsidRDefault="00A401CD" w:rsidP="00DF00C7">
      <w:pPr>
        <w:pStyle w:val="af5"/>
        <w:numPr>
          <w:ilvl w:val="0"/>
          <w:numId w:val="25"/>
        </w:numPr>
        <w:tabs>
          <w:tab w:val="left" w:pos="1134"/>
        </w:tabs>
        <w:ind w:left="-142" w:right="-143" w:firstLine="669"/>
        <w:contextualSpacing/>
        <w:rPr>
          <w:rStyle w:val="a6"/>
          <w:color w:val="auto"/>
          <w:u w:val="none"/>
        </w:rPr>
      </w:pPr>
      <w:r w:rsidRPr="00852120">
        <w:t>Христова Г. Конструкція зобов’язань держави у сфері прав людини: порівняльний аналіз міжнародних та європейських підходів</w:t>
      </w:r>
      <w:r w:rsidR="003C703E">
        <w:t>.</w:t>
      </w:r>
      <w:r w:rsidRPr="00852120">
        <w:t xml:space="preserve"> </w:t>
      </w:r>
      <w:r w:rsidRPr="00852120">
        <w:rPr>
          <w:i/>
          <w:iCs/>
        </w:rPr>
        <w:t xml:space="preserve">Вісник Національної академії правових наук України. </w:t>
      </w:r>
      <w:r w:rsidRPr="00852120">
        <w:t>2014.  № 4. С. 25-36. URL:</w:t>
      </w:r>
      <w:r w:rsidR="003C703E">
        <w:t xml:space="preserve"> </w:t>
      </w:r>
      <w:hyperlink r:id="rId23" w:history="1">
        <w:r w:rsidR="003C703E" w:rsidRPr="003C703E">
          <w:rPr>
            <w:rStyle w:val="a6"/>
            <w:color w:val="auto"/>
            <w:u w:val="none"/>
          </w:rPr>
          <w:t>http://nbuv.gov.ua/j-pdf/vapny_2014_4_5.pdf</w:t>
        </w:r>
      </w:hyperlink>
    </w:p>
    <w:p w14:paraId="21854101" w14:textId="22F4DE35" w:rsidR="00A401CD" w:rsidRPr="00852120" w:rsidRDefault="00A401CD" w:rsidP="00DF00C7">
      <w:pPr>
        <w:pStyle w:val="af5"/>
        <w:numPr>
          <w:ilvl w:val="0"/>
          <w:numId w:val="25"/>
        </w:numPr>
        <w:tabs>
          <w:tab w:val="left" w:pos="1134"/>
        </w:tabs>
        <w:ind w:left="-142" w:right="-143" w:firstLine="669"/>
        <w:contextualSpacing/>
        <w:rPr>
          <w:rStyle w:val="a6"/>
          <w:color w:val="auto"/>
          <w:u w:val="none"/>
        </w:rPr>
      </w:pPr>
      <w:r w:rsidRPr="00852120">
        <w:t xml:space="preserve">Проект нового Кримінального кодексу України. </w:t>
      </w:r>
      <w:r w:rsidR="003C703E" w:rsidRPr="00852120">
        <w:t>URL:</w:t>
      </w:r>
      <w:r w:rsidR="003C703E">
        <w:t xml:space="preserve"> </w:t>
      </w:r>
      <w:r w:rsidRPr="00852120">
        <w:t>https://newcriminalcode.org.ua/</w:t>
      </w:r>
    </w:p>
    <w:sectPr w:rsidR="00A401CD" w:rsidRPr="00852120" w:rsidSect="001E2D5E">
      <w:footerReference w:type="even" r:id="rId24"/>
      <w:footerReference w:type="default" r:id="rId25"/>
      <w:pgSz w:w="11906" w:h="16838"/>
      <w:pgMar w:top="567" w:right="1134" w:bottom="567" w:left="1276" w:header="709" w:footer="709"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44CD8DC" w14:textId="77777777" w:rsidR="005136FB" w:rsidRDefault="005136FB" w:rsidP="00485B01">
      <w:r>
        <w:separator/>
      </w:r>
    </w:p>
  </w:endnote>
  <w:endnote w:type="continuationSeparator" w:id="0">
    <w:p w14:paraId="032B3107" w14:textId="77777777" w:rsidR="005136FB" w:rsidRDefault="005136FB" w:rsidP="00485B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Calibri">
    <w:panose1 w:val="020F0502020204030204"/>
    <w:charset w:val="CC"/>
    <w:family w:val="swiss"/>
    <w:pitch w:val="variable"/>
    <w:sig w:usb0="E00002FF" w:usb1="4000ACFF" w:usb2="00000001" w:usb3="00000000" w:csb0="0000019F" w:csb1="00000000"/>
  </w:font>
  <w:font w:name="NewtonCTT">
    <w:altName w:val="Times New Roman"/>
    <w:charset w:val="CC"/>
    <w:family w:val="roman"/>
    <w:pitch w:val="variable"/>
    <w:sig w:usb0="00000001" w:usb1="00000000" w:usb2="00000000" w:usb3="00000000" w:csb0="00000005" w:csb1="00000000"/>
  </w:font>
  <w:font w:name="Century Gothic">
    <w:panose1 w:val="020B0502020202020204"/>
    <w:charset w:val="CC"/>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9099AD" w14:textId="5C814D93" w:rsidR="001E2D5E" w:rsidRDefault="001E2D5E" w:rsidP="001503D6">
    <w:pPr>
      <w:pStyle w:val="a4"/>
      <w:rPr>
        <w:rStyle w:val="a5"/>
      </w:rPr>
    </w:pPr>
  </w:p>
  <w:p w14:paraId="18647923" w14:textId="77777777" w:rsidR="001E2D5E" w:rsidRDefault="001E2D5E" w:rsidP="001503D6">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BA0918" w14:textId="77777777" w:rsidR="001E2D5E" w:rsidRDefault="001E2D5E" w:rsidP="00EE2636">
    <w:pPr>
      <w:pStyle w:val="a4"/>
      <w:jc w:val="center"/>
      <w:rPr>
        <w:rStyle w:val="a5"/>
      </w:rPr>
    </w:pPr>
    <w:r>
      <w:rPr>
        <w:rStyle w:val="a5"/>
      </w:rPr>
      <w:fldChar w:fldCharType="begin"/>
    </w:r>
    <w:r>
      <w:rPr>
        <w:rStyle w:val="a5"/>
      </w:rPr>
      <w:instrText xml:space="preserve">PAGE  </w:instrText>
    </w:r>
    <w:r>
      <w:rPr>
        <w:rStyle w:val="a5"/>
      </w:rPr>
      <w:fldChar w:fldCharType="separate"/>
    </w:r>
    <w:r w:rsidR="009A0359">
      <w:rPr>
        <w:rStyle w:val="a5"/>
        <w:noProof/>
      </w:rPr>
      <w:t>9</w:t>
    </w:r>
    <w:r>
      <w:rPr>
        <w:rStyle w:val="a5"/>
      </w:rPr>
      <w:fldChar w:fldCharType="end"/>
    </w:r>
  </w:p>
  <w:p w14:paraId="19FBA5BA" w14:textId="77777777" w:rsidR="001E2D5E" w:rsidRDefault="001E2D5E" w:rsidP="001503D6">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7A3B974" w14:textId="77777777" w:rsidR="005136FB" w:rsidRDefault="005136FB" w:rsidP="00485B01">
      <w:r>
        <w:separator/>
      </w:r>
    </w:p>
  </w:footnote>
  <w:footnote w:type="continuationSeparator" w:id="0">
    <w:p w14:paraId="4F2CACFE" w14:textId="77777777" w:rsidR="005136FB" w:rsidRDefault="005136FB" w:rsidP="00485B01">
      <w:r>
        <w:continuationSeparator/>
      </w:r>
    </w:p>
  </w:footnote>
  <w:footnote w:id="1">
    <w:p w14:paraId="50000445" w14:textId="7CB774AE" w:rsidR="00CC65A7" w:rsidRPr="00CC65A7" w:rsidRDefault="00CC65A7" w:rsidP="00CC65A7">
      <w:pPr>
        <w:pStyle w:val="af"/>
        <w:jc w:val="both"/>
        <w:rPr>
          <w:rFonts w:ascii="Times New Roman" w:hAnsi="Times New Roman"/>
          <w:sz w:val="24"/>
          <w:szCs w:val="24"/>
          <w:lang w:val="uk-UA"/>
        </w:rPr>
      </w:pPr>
      <w:r w:rsidRPr="00CC65A7">
        <w:rPr>
          <w:rStyle w:val="af1"/>
          <w:rFonts w:ascii="Times New Roman" w:hAnsi="Times New Roman"/>
          <w:sz w:val="24"/>
          <w:szCs w:val="24"/>
        </w:rPr>
        <w:footnoteRef/>
      </w:r>
      <w:r w:rsidRPr="00CC65A7">
        <w:rPr>
          <w:rFonts w:ascii="Times New Roman" w:hAnsi="Times New Roman"/>
          <w:sz w:val="24"/>
          <w:szCs w:val="24"/>
        </w:rPr>
        <w:t xml:space="preserve"> </w:t>
      </w:r>
      <w:r w:rsidRPr="00CC65A7">
        <w:rPr>
          <w:rFonts w:ascii="Times New Roman" w:hAnsi="Times New Roman"/>
          <w:color w:val="444444"/>
          <w:sz w:val="24"/>
          <w:szCs w:val="24"/>
        </w:rPr>
        <w:t>Туляков В. О. Парадигми кримінального права : навчально-методичний посібник / В. О. Туляков. – Одеса : НУ «ОЮА», 2022. – 41 с.</w:t>
      </w:r>
      <w:r w:rsidRPr="00CC65A7">
        <w:rPr>
          <w:rFonts w:ascii="Times New Roman" w:hAnsi="Times New Roman"/>
          <w:color w:val="444444"/>
          <w:sz w:val="24"/>
          <w:szCs w:val="24"/>
          <w:lang w:val="uk-UA"/>
        </w:rPr>
        <w:t xml:space="preserve"> </w:t>
      </w:r>
      <w:r w:rsidRPr="00CC65A7">
        <w:rPr>
          <w:rFonts w:ascii="Times New Roman" w:hAnsi="Times New Roman"/>
          <w:color w:val="444444"/>
          <w:sz w:val="24"/>
          <w:szCs w:val="24"/>
          <w:lang w:val="en-US"/>
        </w:rPr>
        <w:t>URL</w:t>
      </w:r>
      <w:r w:rsidRPr="00CC65A7">
        <w:rPr>
          <w:rFonts w:ascii="Times New Roman" w:hAnsi="Times New Roman"/>
          <w:color w:val="444444"/>
          <w:sz w:val="24"/>
          <w:szCs w:val="24"/>
          <w:lang w:val="uk-UA"/>
        </w:rPr>
        <w:t>:</w:t>
      </w:r>
      <w:r w:rsidRPr="00CC65A7">
        <w:rPr>
          <w:rFonts w:ascii="Times New Roman" w:hAnsi="Times New Roman"/>
          <w:sz w:val="24"/>
          <w:szCs w:val="24"/>
        </w:rPr>
        <w:t xml:space="preserve"> </w:t>
      </w:r>
      <w:r w:rsidRPr="00CC65A7">
        <w:rPr>
          <w:rFonts w:ascii="Times New Roman" w:hAnsi="Times New Roman"/>
          <w:color w:val="444444"/>
          <w:sz w:val="24"/>
          <w:szCs w:val="24"/>
          <w:lang w:val="uk-UA"/>
        </w:rPr>
        <w:t>http://dspace.onua.edu.ua/handle/11300/16172</w:t>
      </w:r>
    </w:p>
  </w:footnote>
  <w:footnote w:id="2">
    <w:p w14:paraId="7E45541A" w14:textId="7E43765D" w:rsidR="001E2D5E" w:rsidRPr="00CC65A7" w:rsidRDefault="001E2D5E" w:rsidP="00CC65A7">
      <w:pPr>
        <w:pStyle w:val="af"/>
        <w:jc w:val="both"/>
        <w:rPr>
          <w:rFonts w:ascii="Times New Roman" w:hAnsi="Times New Roman"/>
          <w:sz w:val="24"/>
          <w:szCs w:val="24"/>
        </w:rPr>
      </w:pPr>
      <w:r w:rsidRPr="00CC65A7">
        <w:rPr>
          <w:rStyle w:val="af1"/>
          <w:rFonts w:ascii="Times New Roman" w:hAnsi="Times New Roman"/>
          <w:sz w:val="24"/>
          <w:szCs w:val="24"/>
        </w:rPr>
        <w:footnoteRef/>
      </w:r>
      <w:r w:rsidRPr="00CC65A7">
        <w:rPr>
          <w:rFonts w:ascii="Times New Roman" w:hAnsi="Times New Roman"/>
          <w:sz w:val="24"/>
          <w:szCs w:val="24"/>
        </w:rPr>
        <w:t xml:space="preserve"> </w:t>
      </w:r>
      <w:r w:rsidRPr="00CC65A7">
        <w:rPr>
          <w:rFonts w:ascii="Times New Roman" w:hAnsi="Times New Roman"/>
          <w:sz w:val="24"/>
          <w:szCs w:val="24"/>
          <w:lang w:val="uk-UA"/>
        </w:rPr>
        <w:t>Новий Кримінальний кодекс України</w:t>
      </w:r>
      <w:r w:rsidR="00852120" w:rsidRPr="00CC65A7">
        <w:rPr>
          <w:rFonts w:ascii="Times New Roman" w:hAnsi="Times New Roman"/>
          <w:sz w:val="24"/>
          <w:szCs w:val="24"/>
          <w:lang w:val="uk-UA"/>
        </w:rPr>
        <w:t>.</w:t>
      </w:r>
      <w:r w:rsidRPr="00CC65A7">
        <w:rPr>
          <w:rFonts w:ascii="Times New Roman" w:hAnsi="Times New Roman"/>
          <w:sz w:val="24"/>
          <w:szCs w:val="24"/>
          <w:lang w:val="uk-UA"/>
        </w:rPr>
        <w:t xml:space="preserve"> </w:t>
      </w:r>
      <w:r w:rsidRPr="00CC65A7">
        <w:rPr>
          <w:rFonts w:ascii="Times New Roman" w:hAnsi="Times New Roman"/>
          <w:sz w:val="24"/>
          <w:szCs w:val="24"/>
          <w:lang w:val="en-US"/>
        </w:rPr>
        <w:t>URL</w:t>
      </w:r>
      <w:r w:rsidRPr="00CC65A7">
        <w:rPr>
          <w:rFonts w:ascii="Times New Roman" w:hAnsi="Times New Roman"/>
          <w:sz w:val="24"/>
          <w:szCs w:val="24"/>
          <w:lang w:val="uk-UA"/>
        </w:rPr>
        <w:t xml:space="preserve">: </w:t>
      </w:r>
      <w:r w:rsidRPr="00CC65A7">
        <w:rPr>
          <w:rFonts w:ascii="Times New Roman" w:hAnsi="Times New Roman"/>
          <w:sz w:val="24"/>
          <w:szCs w:val="24"/>
          <w:lang w:val="en-US"/>
        </w:rPr>
        <w:t>https</w:t>
      </w:r>
      <w:r w:rsidRPr="00CC65A7">
        <w:rPr>
          <w:rFonts w:ascii="Times New Roman" w:hAnsi="Times New Roman"/>
          <w:sz w:val="24"/>
          <w:szCs w:val="24"/>
        </w:rPr>
        <w:t>://</w:t>
      </w:r>
      <w:r w:rsidRPr="00CC65A7">
        <w:rPr>
          <w:rFonts w:ascii="Times New Roman" w:hAnsi="Times New Roman"/>
          <w:sz w:val="24"/>
          <w:szCs w:val="24"/>
          <w:lang w:val="en-US"/>
        </w:rPr>
        <w:t>newcriminalcode</w:t>
      </w:r>
      <w:r w:rsidRPr="00CC65A7">
        <w:rPr>
          <w:rFonts w:ascii="Times New Roman" w:hAnsi="Times New Roman"/>
          <w:sz w:val="24"/>
          <w:szCs w:val="24"/>
        </w:rPr>
        <w:t>.</w:t>
      </w:r>
      <w:r w:rsidRPr="00CC65A7">
        <w:rPr>
          <w:rFonts w:ascii="Times New Roman" w:hAnsi="Times New Roman"/>
          <w:sz w:val="24"/>
          <w:szCs w:val="24"/>
          <w:lang w:val="en-US"/>
        </w:rPr>
        <w:t>org</w:t>
      </w:r>
      <w:r w:rsidRPr="00CC65A7">
        <w:rPr>
          <w:rFonts w:ascii="Times New Roman" w:hAnsi="Times New Roman"/>
          <w:sz w:val="24"/>
          <w:szCs w:val="24"/>
        </w:rPr>
        <w:t>.</w:t>
      </w:r>
      <w:r w:rsidRPr="00CC65A7">
        <w:rPr>
          <w:rFonts w:ascii="Times New Roman" w:hAnsi="Times New Roman"/>
          <w:sz w:val="24"/>
          <w:szCs w:val="24"/>
          <w:lang w:val="en-US"/>
        </w:rPr>
        <w:t>ua</w:t>
      </w:r>
      <w:r w:rsidRPr="00CC65A7">
        <w:rPr>
          <w:rFonts w:ascii="Times New Roman" w:hAnsi="Times New Roman"/>
          <w:sz w:val="24"/>
          <w:szCs w:val="24"/>
        </w:rPr>
        <w:t>/</w:t>
      </w:r>
    </w:p>
  </w:footnote>
  <w:footnote w:id="3">
    <w:p w14:paraId="44B86D2B" w14:textId="1F31CE27" w:rsidR="001E2D5E" w:rsidRPr="00CC65A7" w:rsidRDefault="001E2D5E" w:rsidP="00CC65A7">
      <w:pPr>
        <w:pStyle w:val="af"/>
        <w:jc w:val="both"/>
        <w:rPr>
          <w:rFonts w:ascii="Times New Roman" w:hAnsi="Times New Roman"/>
          <w:sz w:val="24"/>
          <w:szCs w:val="24"/>
        </w:rPr>
      </w:pPr>
      <w:r w:rsidRPr="00CC65A7">
        <w:rPr>
          <w:rStyle w:val="af1"/>
          <w:rFonts w:ascii="Times New Roman" w:hAnsi="Times New Roman"/>
          <w:sz w:val="24"/>
          <w:szCs w:val="24"/>
        </w:rPr>
        <w:footnoteRef/>
      </w:r>
      <w:r w:rsidRPr="00CC65A7">
        <w:rPr>
          <w:rFonts w:ascii="Times New Roman" w:hAnsi="Times New Roman"/>
          <w:sz w:val="24"/>
          <w:szCs w:val="24"/>
        </w:rPr>
        <w:t xml:space="preserve">  Шевчук С. Судовий захист прав людини: практика Європейського суду з прав людини у контексті західної правової традиції. К</w:t>
      </w:r>
      <w:r w:rsidR="00852120" w:rsidRPr="00CC65A7">
        <w:rPr>
          <w:rFonts w:ascii="Times New Roman" w:hAnsi="Times New Roman"/>
          <w:sz w:val="24"/>
          <w:szCs w:val="24"/>
          <w:lang w:val="uk-UA"/>
        </w:rPr>
        <w:t>иїв</w:t>
      </w:r>
      <w:r w:rsidRPr="00CC65A7">
        <w:rPr>
          <w:rFonts w:ascii="Times New Roman" w:hAnsi="Times New Roman"/>
          <w:sz w:val="24"/>
          <w:szCs w:val="24"/>
        </w:rPr>
        <w:t xml:space="preserve"> : Реферат, 2006. 848 с.</w:t>
      </w:r>
    </w:p>
  </w:footnote>
  <w:footnote w:id="4">
    <w:p w14:paraId="7240F10C" w14:textId="77777777" w:rsidR="001E2D5E" w:rsidRPr="00CC65A7" w:rsidRDefault="001E2D5E" w:rsidP="00CC65A7">
      <w:pPr>
        <w:shd w:val="clear" w:color="auto" w:fill="FFFFFF"/>
        <w:ind w:firstLine="0"/>
        <w:rPr>
          <w:sz w:val="24"/>
          <w:szCs w:val="24"/>
        </w:rPr>
      </w:pPr>
      <w:r w:rsidRPr="00CC65A7">
        <w:rPr>
          <w:rStyle w:val="af1"/>
          <w:sz w:val="24"/>
          <w:szCs w:val="24"/>
        </w:rPr>
        <w:footnoteRef/>
      </w:r>
      <w:r w:rsidRPr="00CC65A7">
        <w:rPr>
          <w:sz w:val="24"/>
          <w:szCs w:val="24"/>
        </w:rPr>
        <w:t xml:space="preserve"> ЄСПЛ, «Nachova і Інші проти Болгарії», № 43577/98 і 43579/98, рішення від 6 липня 2005 р. </w:t>
      </w:r>
      <w:r w:rsidRPr="00CC65A7">
        <w:rPr>
          <w:sz w:val="24"/>
          <w:szCs w:val="24"/>
          <w:lang w:val="en-US"/>
        </w:rPr>
        <w:t>URL</w:t>
      </w:r>
      <w:r w:rsidRPr="00CC65A7">
        <w:rPr>
          <w:sz w:val="24"/>
          <w:szCs w:val="24"/>
        </w:rPr>
        <w:t xml:space="preserve">: </w:t>
      </w:r>
    </w:p>
  </w:footnote>
  <w:footnote w:id="5">
    <w:p w14:paraId="406C3ED0" w14:textId="77777777" w:rsidR="001E2D5E" w:rsidRPr="00CC65A7" w:rsidRDefault="001E2D5E" w:rsidP="00CC65A7">
      <w:pPr>
        <w:shd w:val="clear" w:color="auto" w:fill="FFFFFF"/>
        <w:ind w:firstLine="0"/>
        <w:rPr>
          <w:sz w:val="24"/>
          <w:szCs w:val="24"/>
        </w:rPr>
      </w:pPr>
      <w:r w:rsidRPr="00CC65A7">
        <w:rPr>
          <w:sz w:val="24"/>
          <w:szCs w:val="24"/>
          <w:vertAlign w:val="superscript"/>
        </w:rPr>
        <w:footnoteRef/>
      </w:r>
      <w:r w:rsidRPr="00CC65A7">
        <w:rPr>
          <w:sz w:val="24"/>
          <w:szCs w:val="24"/>
        </w:rPr>
        <w:t xml:space="preserve"> </w:t>
      </w:r>
      <w:bookmarkStart w:id="3" w:name="To"/>
      <w:r w:rsidRPr="00CC65A7">
        <w:rPr>
          <w:sz w:val="24"/>
          <w:szCs w:val="24"/>
        </w:rPr>
        <w:t xml:space="preserve">ЄСПЛ, «Дрелінгас проти Літви» </w:t>
      </w:r>
      <w:bookmarkEnd w:id="3"/>
      <w:r w:rsidRPr="00CC65A7">
        <w:rPr>
          <w:sz w:val="24"/>
          <w:szCs w:val="24"/>
        </w:rPr>
        <w:t>№. </w:t>
      </w:r>
      <w:hyperlink r:id="rId1" w:anchor="{%22appno%22:[%2228859/16%22]}" w:tgtFrame="_blank" w:history="1">
        <w:r w:rsidRPr="00CC65A7">
          <w:rPr>
            <w:sz w:val="24"/>
            <w:szCs w:val="24"/>
          </w:rPr>
          <w:t>28859/16</w:t>
        </w:r>
      </w:hyperlink>
      <w:r w:rsidRPr="00CC65A7">
        <w:rPr>
          <w:sz w:val="24"/>
          <w:szCs w:val="24"/>
        </w:rPr>
        <w:t>, рішення від 12 Березня 2019 р URL: https://hudoc.echr.coe.int/eng?i=001-191702</w:t>
      </w:r>
    </w:p>
  </w:footnote>
  <w:footnote w:id="6">
    <w:p w14:paraId="13B2894E" w14:textId="54BE8409" w:rsidR="001E2D5E" w:rsidRPr="00CC65A7" w:rsidRDefault="001E2D5E" w:rsidP="00CC65A7">
      <w:pPr>
        <w:shd w:val="clear" w:color="auto" w:fill="FFFFFF"/>
        <w:ind w:firstLine="0"/>
        <w:rPr>
          <w:sz w:val="24"/>
          <w:szCs w:val="24"/>
        </w:rPr>
      </w:pPr>
      <w:r w:rsidRPr="00CC65A7">
        <w:rPr>
          <w:sz w:val="24"/>
          <w:szCs w:val="24"/>
          <w:vertAlign w:val="superscript"/>
        </w:rPr>
        <w:footnoteRef/>
      </w:r>
      <w:r w:rsidRPr="00CC65A7">
        <w:rPr>
          <w:sz w:val="24"/>
          <w:szCs w:val="24"/>
          <w:vertAlign w:val="superscript"/>
        </w:rPr>
        <w:t xml:space="preserve"> </w:t>
      </w:r>
      <w:r w:rsidRPr="00CC65A7">
        <w:rPr>
          <w:sz w:val="24"/>
          <w:szCs w:val="24"/>
        </w:rPr>
        <w:t>«Енгель та інші проти Нідерландів» №  5100/71; 5101/71; 5102/71; </w:t>
      </w:r>
      <w:hyperlink r:id="rId2" w:anchor="{%22appno%22:[%225354/72%22]}" w:tgtFrame="_blank" w:history="1">
        <w:r w:rsidRPr="00CC65A7">
          <w:rPr>
            <w:sz w:val="24"/>
            <w:szCs w:val="24"/>
          </w:rPr>
          <w:t>5354/72</w:t>
        </w:r>
      </w:hyperlink>
      <w:r w:rsidRPr="00CC65A7">
        <w:rPr>
          <w:sz w:val="24"/>
          <w:szCs w:val="24"/>
        </w:rPr>
        <w:t>; </w:t>
      </w:r>
      <w:hyperlink r:id="rId3" w:anchor="{%22appno%22:[%225370/72%22]}" w:tgtFrame="_blank" w:history="1">
        <w:r w:rsidRPr="00CC65A7">
          <w:rPr>
            <w:sz w:val="24"/>
            <w:szCs w:val="24"/>
          </w:rPr>
          <w:t>5370/72</w:t>
        </w:r>
      </w:hyperlink>
      <w:r w:rsidRPr="00CC65A7">
        <w:rPr>
          <w:sz w:val="24"/>
          <w:szCs w:val="24"/>
        </w:rPr>
        <w:t xml:space="preserve">, рішення від 23 листопада 1976 р. URL: </w:t>
      </w:r>
      <w:hyperlink r:id="rId4" w:history="1">
        <w:r w:rsidRPr="00CC65A7">
          <w:rPr>
            <w:sz w:val="24"/>
            <w:szCs w:val="24"/>
          </w:rPr>
          <w:t>http://hudoc.echr.coe.int/fre?i=001-57478</w:t>
        </w:r>
      </w:hyperlink>
    </w:p>
  </w:footnote>
  <w:footnote w:id="7">
    <w:p w14:paraId="434A43B6" w14:textId="77777777" w:rsidR="001E2D5E" w:rsidRPr="00CC65A7" w:rsidRDefault="001E2D5E" w:rsidP="00CC65A7">
      <w:pPr>
        <w:autoSpaceDE w:val="0"/>
        <w:autoSpaceDN w:val="0"/>
        <w:adjustRightInd w:val="0"/>
        <w:ind w:firstLine="0"/>
        <w:rPr>
          <w:rStyle w:val="a6"/>
          <w:color w:val="auto"/>
          <w:sz w:val="24"/>
          <w:szCs w:val="24"/>
          <w:u w:val="none"/>
          <w:lang w:val="en-US"/>
        </w:rPr>
      </w:pPr>
      <w:r w:rsidRPr="00CC65A7">
        <w:rPr>
          <w:rStyle w:val="af1"/>
          <w:sz w:val="24"/>
          <w:szCs w:val="24"/>
        </w:rPr>
        <w:footnoteRef/>
      </w:r>
      <w:r w:rsidRPr="00CC65A7">
        <w:rPr>
          <w:sz w:val="24"/>
          <w:szCs w:val="24"/>
          <w:lang w:val="en-US"/>
        </w:rPr>
        <w:t xml:space="preserve"> Case “</w:t>
      </w:r>
      <w:r w:rsidRPr="00CC65A7">
        <w:rPr>
          <w:sz w:val="24"/>
          <w:szCs w:val="24"/>
        </w:rPr>
        <w:t>Gestur Jónsson аnd Ragnar Halldór Hall v. Iceland</w:t>
      </w:r>
      <w:r w:rsidRPr="00CC65A7">
        <w:rPr>
          <w:sz w:val="24"/>
          <w:szCs w:val="24"/>
          <w:lang w:val="en-US"/>
        </w:rPr>
        <w:t>”</w:t>
      </w:r>
      <w:r w:rsidRPr="00CC65A7">
        <w:rPr>
          <w:sz w:val="24"/>
          <w:szCs w:val="24"/>
        </w:rPr>
        <w:t>.</w:t>
      </w:r>
      <w:r w:rsidRPr="00CC65A7">
        <w:rPr>
          <w:sz w:val="24"/>
          <w:szCs w:val="24"/>
          <w:lang w:val="en-US"/>
        </w:rPr>
        <w:t xml:space="preserve"> URL: </w:t>
      </w:r>
      <w:hyperlink r:id="rId5" w:history="1">
        <w:r w:rsidRPr="00CC65A7">
          <w:rPr>
            <w:rStyle w:val="a6"/>
            <w:color w:val="auto"/>
            <w:sz w:val="24"/>
            <w:szCs w:val="24"/>
            <w:u w:val="none"/>
            <w:lang w:val="en-US"/>
          </w:rPr>
          <w:t>http://hudoc.echr.coe.int/fre?i=001-207115</w:t>
        </w:r>
      </w:hyperlink>
    </w:p>
    <w:p w14:paraId="131476CF" w14:textId="1343A81D" w:rsidR="001E2D5E" w:rsidRPr="00CC65A7" w:rsidRDefault="001E2D5E" w:rsidP="00CC65A7">
      <w:pPr>
        <w:autoSpaceDE w:val="0"/>
        <w:autoSpaceDN w:val="0"/>
        <w:adjustRightInd w:val="0"/>
        <w:ind w:firstLine="0"/>
        <w:rPr>
          <w:sz w:val="24"/>
          <w:szCs w:val="24"/>
        </w:rPr>
      </w:pPr>
      <w:r w:rsidRPr="00CC65A7">
        <w:rPr>
          <w:sz w:val="24"/>
          <w:szCs w:val="24"/>
          <w:lang w:val="en-US"/>
        </w:rPr>
        <w:t>Agnė Andrijauskaitė. The Case of Gestur Jónsson and Ragnar Halldór Hall v Iceland: Between Two Paradigms of Punishment.  URL</w:t>
      </w:r>
      <w:r w:rsidRPr="00CC65A7">
        <w:rPr>
          <w:sz w:val="24"/>
          <w:szCs w:val="24"/>
        </w:rPr>
        <w:t xml:space="preserve">: </w:t>
      </w:r>
      <w:hyperlink r:id="rId6" w:history="1">
        <w:r w:rsidRPr="00CC65A7">
          <w:rPr>
            <w:rStyle w:val="a6"/>
            <w:color w:val="auto"/>
            <w:sz w:val="24"/>
            <w:szCs w:val="24"/>
            <w:u w:val="none"/>
            <w:lang w:val="en-US"/>
          </w:rPr>
          <w:t>February 19, 2021</w:t>
        </w:r>
      </w:hyperlink>
      <w:r w:rsidRPr="00CC65A7">
        <w:rPr>
          <w:sz w:val="24"/>
          <w:szCs w:val="24"/>
          <w:lang w:val="en-US"/>
        </w:rPr>
        <w:t> https://strasbourgobservers.com/2021/02/19/the-case-of-gestur-jonsson-and-ragnar-halldor-hall-v-iceland-between-two-paradigms-of-punishment/</w:t>
      </w:r>
    </w:p>
  </w:footnote>
  <w:footnote w:id="8">
    <w:p w14:paraId="131EA6F0" w14:textId="77777777" w:rsidR="001E2D5E" w:rsidRPr="00CC65A7" w:rsidRDefault="001E2D5E" w:rsidP="00CC65A7">
      <w:pPr>
        <w:autoSpaceDE w:val="0"/>
        <w:autoSpaceDN w:val="0"/>
        <w:adjustRightInd w:val="0"/>
        <w:ind w:firstLine="0"/>
        <w:rPr>
          <w:sz w:val="24"/>
          <w:szCs w:val="24"/>
        </w:rPr>
      </w:pPr>
      <w:r w:rsidRPr="00CC65A7">
        <w:rPr>
          <w:rStyle w:val="af1"/>
          <w:sz w:val="24"/>
          <w:szCs w:val="24"/>
        </w:rPr>
        <w:footnoteRef/>
      </w:r>
      <w:r w:rsidRPr="00CC65A7">
        <w:rPr>
          <w:sz w:val="24"/>
          <w:szCs w:val="24"/>
          <w:lang w:val="en-US"/>
        </w:rPr>
        <w:t xml:space="preserve"> </w:t>
      </w:r>
      <w:r w:rsidRPr="00CC65A7">
        <w:rPr>
          <w:sz w:val="24"/>
          <w:szCs w:val="24"/>
        </w:rPr>
        <w:t>Joint dissenting opinion of judges Sicilianos, Ravarani and Serghides. Case “Gestur Jónsson аnd Ragnar Halldór Hall v. Iceland”. Ibid. art.22</w:t>
      </w:r>
    </w:p>
  </w:footnote>
  <w:footnote w:id="9">
    <w:p w14:paraId="19F70075" w14:textId="575CE384" w:rsidR="001E2D5E" w:rsidRPr="00CC65A7" w:rsidRDefault="001E2D5E" w:rsidP="00CC65A7">
      <w:pPr>
        <w:autoSpaceDE w:val="0"/>
        <w:autoSpaceDN w:val="0"/>
        <w:adjustRightInd w:val="0"/>
        <w:ind w:firstLine="0"/>
        <w:rPr>
          <w:sz w:val="24"/>
          <w:szCs w:val="24"/>
        </w:rPr>
      </w:pPr>
      <w:r w:rsidRPr="00CC65A7">
        <w:rPr>
          <w:rStyle w:val="af1"/>
          <w:sz w:val="24"/>
          <w:szCs w:val="24"/>
        </w:rPr>
        <w:footnoteRef/>
      </w:r>
      <w:r w:rsidRPr="00CC65A7">
        <w:rPr>
          <w:sz w:val="24"/>
          <w:szCs w:val="24"/>
        </w:rPr>
        <w:t xml:space="preserve"> </w:t>
      </w:r>
      <w:r w:rsidRPr="00CC65A7">
        <w:rPr>
          <w:sz w:val="24"/>
          <w:szCs w:val="24"/>
          <w:lang w:val="en-US"/>
        </w:rPr>
        <w:t>Salvatore Providenti</w:t>
      </w:r>
      <w:r w:rsidRPr="00CC65A7">
        <w:rPr>
          <w:sz w:val="24"/>
          <w:szCs w:val="24"/>
        </w:rPr>
        <w:t xml:space="preserve">. </w:t>
      </w:r>
      <w:r w:rsidRPr="00CC65A7">
        <w:rPr>
          <w:sz w:val="24"/>
          <w:szCs w:val="24"/>
          <w:lang w:val="en-US"/>
        </w:rPr>
        <w:t>Administrative and criminal sanctions and ne bis</w:t>
      </w:r>
      <w:r w:rsidRPr="00CC65A7">
        <w:rPr>
          <w:sz w:val="24"/>
          <w:szCs w:val="24"/>
        </w:rPr>
        <w:t xml:space="preserve"> </w:t>
      </w:r>
      <w:r w:rsidRPr="00CC65A7">
        <w:rPr>
          <w:sz w:val="24"/>
          <w:szCs w:val="24"/>
          <w:lang w:val="en-US"/>
        </w:rPr>
        <w:t>in  idem: how to reconcile the views of the CJEU, the  ECHR and of national Constitutional Courts?</w:t>
      </w:r>
      <w:r w:rsidRPr="00CC65A7">
        <w:rPr>
          <w:sz w:val="24"/>
          <w:szCs w:val="24"/>
        </w:rPr>
        <w:t xml:space="preserve"> </w:t>
      </w:r>
      <w:r w:rsidRPr="00CC65A7">
        <w:rPr>
          <w:sz w:val="24"/>
          <w:szCs w:val="24"/>
          <w:lang w:val="en-US"/>
        </w:rPr>
        <w:t xml:space="preserve">URL: </w:t>
      </w:r>
      <w:hyperlink r:id="rId7" w:history="1">
        <w:r w:rsidRPr="00CC65A7">
          <w:rPr>
            <w:rStyle w:val="a6"/>
            <w:color w:val="auto"/>
            <w:sz w:val="24"/>
            <w:szCs w:val="24"/>
            <w:u w:val="none"/>
            <w:lang w:val="en-US"/>
          </w:rPr>
          <w:t>http://www.ebi-europa.eu/wp-content/uploads/2016/12/Providentibologna17.pdf</w:t>
        </w:r>
      </w:hyperlink>
      <w:r w:rsidRPr="00CC65A7">
        <w:rPr>
          <w:sz w:val="24"/>
          <w:szCs w:val="24"/>
          <w:lang w:val="en-US"/>
        </w:rPr>
        <w:t xml:space="preserve">;  Andreas Kangur, Alexander Lott and Anneli Soo. Are EU Administrative Penalties Reshaping the Estonian System of Sanctions? </w:t>
      </w:r>
      <w:r w:rsidRPr="00CC65A7">
        <w:rPr>
          <w:sz w:val="24"/>
          <w:szCs w:val="24"/>
          <w:shd w:val="clear" w:color="auto" w:fill="FFFFFF"/>
          <w:lang w:val="en-US"/>
        </w:rPr>
        <w:t>EUCRIM-2020-009</w:t>
      </w:r>
      <w:r w:rsidRPr="00CC65A7">
        <w:rPr>
          <w:sz w:val="24"/>
          <w:szCs w:val="24"/>
          <w:shd w:val="clear" w:color="auto" w:fill="FFFFFF"/>
        </w:rPr>
        <w:t xml:space="preserve"> </w:t>
      </w:r>
      <w:r w:rsidRPr="00CC65A7">
        <w:rPr>
          <w:sz w:val="24"/>
          <w:szCs w:val="24"/>
          <w:shd w:val="clear" w:color="auto" w:fill="FFFFFF"/>
          <w:lang w:val="en-US"/>
        </w:rPr>
        <w:t xml:space="preserve">URL: </w:t>
      </w:r>
      <w:hyperlink r:id="rId8" w:anchor="page=76" w:history="1">
        <w:r w:rsidRPr="00CC65A7">
          <w:rPr>
            <w:rStyle w:val="a6"/>
            <w:color w:val="auto"/>
            <w:sz w:val="24"/>
            <w:szCs w:val="24"/>
            <w:u w:val="none"/>
            <w:lang w:val="en-US"/>
          </w:rPr>
          <w:t>https://eucrim.eu/media/issue/pdf/eucrim_issue_2020-02.pdf#page=76</w:t>
        </w:r>
      </w:hyperlink>
    </w:p>
    <w:p w14:paraId="33D955FB" w14:textId="77777777" w:rsidR="001E2D5E" w:rsidRPr="00CC65A7" w:rsidRDefault="001E2D5E" w:rsidP="00CC65A7">
      <w:pPr>
        <w:pStyle w:val="af"/>
        <w:jc w:val="both"/>
        <w:rPr>
          <w:rFonts w:ascii="Times New Roman" w:hAnsi="Times New Roman"/>
          <w:sz w:val="24"/>
          <w:szCs w:val="24"/>
          <w:lang w:val="uk-UA"/>
        </w:rPr>
      </w:pPr>
    </w:p>
  </w:footnote>
  <w:footnote w:id="10">
    <w:p w14:paraId="33C450FB" w14:textId="77777777" w:rsidR="001E2D5E" w:rsidRPr="00CC65A7" w:rsidRDefault="001E2D5E" w:rsidP="00CC65A7">
      <w:pPr>
        <w:autoSpaceDE w:val="0"/>
        <w:autoSpaceDN w:val="0"/>
        <w:adjustRightInd w:val="0"/>
        <w:ind w:firstLine="0"/>
        <w:rPr>
          <w:sz w:val="24"/>
          <w:szCs w:val="24"/>
        </w:rPr>
      </w:pPr>
      <w:r w:rsidRPr="00CC65A7">
        <w:rPr>
          <w:rStyle w:val="af1"/>
          <w:sz w:val="24"/>
          <w:szCs w:val="24"/>
        </w:rPr>
        <w:footnoteRef/>
      </w:r>
      <w:r w:rsidRPr="00CC65A7">
        <w:rPr>
          <w:sz w:val="24"/>
          <w:szCs w:val="24"/>
          <w:lang w:val="en-US"/>
        </w:rPr>
        <w:t xml:space="preserve"> </w:t>
      </w:r>
      <w:r w:rsidRPr="00CC65A7">
        <w:rPr>
          <w:sz w:val="24"/>
          <w:szCs w:val="24"/>
        </w:rPr>
        <w:t xml:space="preserve">Åklagaren v Hans Åkerberg Fransson. ICJ Case C-617/10. 23 February 2013.URL: </w:t>
      </w:r>
      <w:hyperlink r:id="rId9" w:history="1">
        <w:r w:rsidRPr="00CC65A7">
          <w:rPr>
            <w:rStyle w:val="a6"/>
            <w:color w:val="auto"/>
            <w:sz w:val="24"/>
            <w:szCs w:val="24"/>
            <w:u w:val="none"/>
          </w:rPr>
          <w:t>https://eur-lex.europa.eu/legal-content/EN/TXT/?uri=CELEX%3A62010CJ0617</w:t>
        </w:r>
      </w:hyperlink>
    </w:p>
  </w:footnote>
  <w:footnote w:id="11">
    <w:p w14:paraId="0D637C03" w14:textId="53D556B3" w:rsidR="001E2D5E" w:rsidRPr="00CC65A7" w:rsidRDefault="001E2D5E" w:rsidP="00CC65A7">
      <w:pPr>
        <w:autoSpaceDE w:val="0"/>
        <w:autoSpaceDN w:val="0"/>
        <w:adjustRightInd w:val="0"/>
        <w:ind w:firstLine="0"/>
        <w:rPr>
          <w:sz w:val="24"/>
          <w:szCs w:val="24"/>
        </w:rPr>
      </w:pPr>
      <w:r w:rsidRPr="00CC65A7">
        <w:rPr>
          <w:rStyle w:val="af1"/>
          <w:sz w:val="24"/>
          <w:szCs w:val="24"/>
        </w:rPr>
        <w:footnoteRef/>
      </w:r>
      <w:r w:rsidRPr="00CC65A7">
        <w:rPr>
          <w:sz w:val="24"/>
          <w:szCs w:val="24"/>
        </w:rPr>
        <w:t xml:space="preserve"> Туляков В.О. Обмежувальні засоби в проекті КК України в контексті доцільності санкцій. Проєкт Кримінального кодексу України у фокусі академічної думки : матеріали вебінару (м. Харків, 21 січ. 2021 р.) Харків : Право, 2021. с.35-37.</w:t>
      </w:r>
    </w:p>
  </w:footnote>
  <w:footnote w:id="12">
    <w:p w14:paraId="4B07F3A8" w14:textId="77777777" w:rsidR="00594A56" w:rsidRPr="00CC65A7" w:rsidRDefault="00594A56" w:rsidP="00CC65A7">
      <w:pPr>
        <w:pStyle w:val="af"/>
        <w:jc w:val="both"/>
        <w:rPr>
          <w:rFonts w:ascii="Times New Roman" w:hAnsi="Times New Roman"/>
          <w:sz w:val="24"/>
          <w:szCs w:val="24"/>
          <w:lang w:val="uk-UA"/>
        </w:rPr>
      </w:pPr>
      <w:r w:rsidRPr="00CC65A7">
        <w:rPr>
          <w:rStyle w:val="af1"/>
          <w:rFonts w:ascii="Times New Roman" w:hAnsi="Times New Roman"/>
          <w:sz w:val="24"/>
          <w:szCs w:val="24"/>
        </w:rPr>
        <w:footnoteRef/>
      </w:r>
      <w:r w:rsidRPr="00CC65A7">
        <w:rPr>
          <w:rFonts w:ascii="Times New Roman" w:hAnsi="Times New Roman"/>
          <w:sz w:val="24"/>
          <w:szCs w:val="24"/>
        </w:rPr>
        <w:t xml:space="preserve"> </w:t>
      </w:r>
      <w:r w:rsidRPr="00CC65A7">
        <w:rPr>
          <w:rFonts w:ascii="Times New Roman" w:hAnsi="Times New Roman"/>
          <w:color w:val="444444"/>
          <w:sz w:val="24"/>
          <w:szCs w:val="24"/>
        </w:rPr>
        <w:t>Гуртовенко О. Л. Кримінально-правова балансологія: стисла характеристика</w:t>
      </w:r>
      <w:r w:rsidRPr="00CC65A7">
        <w:rPr>
          <w:rFonts w:ascii="Times New Roman" w:hAnsi="Times New Roman"/>
          <w:color w:val="444444"/>
          <w:sz w:val="24"/>
          <w:szCs w:val="24"/>
          <w:lang w:val="uk-UA"/>
        </w:rPr>
        <w:t xml:space="preserve">. </w:t>
      </w:r>
      <w:r w:rsidRPr="00CC65A7">
        <w:rPr>
          <w:rFonts w:ascii="Times New Roman" w:hAnsi="Times New Roman"/>
          <w:i/>
          <w:iCs/>
          <w:color w:val="444444"/>
          <w:sz w:val="24"/>
          <w:szCs w:val="24"/>
        </w:rPr>
        <w:t>Європейський вибір України, розвиток науки та національна безпека в реаліях масштабної військової агресії та глобальних викликів ХХІ століття»</w:t>
      </w:r>
      <w:r w:rsidRPr="00CC65A7">
        <w:rPr>
          <w:rFonts w:ascii="Times New Roman" w:hAnsi="Times New Roman"/>
          <w:color w:val="444444"/>
          <w:sz w:val="24"/>
          <w:szCs w:val="24"/>
        </w:rPr>
        <w:t>: матеріали Міжнар.наук.-практ. конф. (м. Одеса, 17 червня 2022 р.)</w:t>
      </w:r>
      <w:r w:rsidRPr="00CC65A7">
        <w:rPr>
          <w:rFonts w:ascii="Times New Roman" w:hAnsi="Times New Roman"/>
          <w:color w:val="444444"/>
          <w:sz w:val="24"/>
          <w:szCs w:val="24"/>
          <w:lang w:val="uk-UA"/>
        </w:rPr>
        <w:t xml:space="preserve"> </w:t>
      </w:r>
      <w:r w:rsidRPr="00CC65A7">
        <w:rPr>
          <w:rFonts w:ascii="Times New Roman" w:hAnsi="Times New Roman"/>
          <w:color w:val="444444"/>
          <w:sz w:val="24"/>
          <w:szCs w:val="24"/>
        </w:rPr>
        <w:t>– Одеса : Видавничий дім «Гельветика», 2022. – Т. 2. – С. 277-281.</w:t>
      </w:r>
      <w:r w:rsidRPr="00CC65A7">
        <w:rPr>
          <w:rFonts w:ascii="Times New Roman" w:hAnsi="Times New Roman"/>
          <w:color w:val="444444"/>
          <w:sz w:val="24"/>
          <w:szCs w:val="24"/>
          <w:lang w:val="uk-UA"/>
        </w:rPr>
        <w:t xml:space="preserve"> – С.278</w:t>
      </w:r>
    </w:p>
  </w:footnote>
  <w:footnote w:id="13">
    <w:p w14:paraId="0B1B4E19" w14:textId="77777777" w:rsidR="00594A56" w:rsidRPr="00CC65A7" w:rsidRDefault="00594A56" w:rsidP="00CC65A7">
      <w:pPr>
        <w:rPr>
          <w:sz w:val="24"/>
          <w:szCs w:val="24"/>
        </w:rPr>
      </w:pPr>
      <w:r w:rsidRPr="00CC65A7">
        <w:rPr>
          <w:rStyle w:val="af1"/>
          <w:sz w:val="24"/>
          <w:szCs w:val="24"/>
        </w:rPr>
        <w:footnoteRef/>
      </w:r>
      <w:r w:rsidRPr="00CC65A7">
        <w:rPr>
          <w:sz w:val="24"/>
          <w:szCs w:val="24"/>
        </w:rPr>
        <w:t xml:space="preserve"> </w:t>
      </w:r>
      <w:r w:rsidRPr="00CC65A7">
        <w:rPr>
          <w:color w:val="000000" w:themeColor="text1"/>
          <w:sz w:val="24"/>
          <w:szCs w:val="24"/>
        </w:rPr>
        <w:t xml:space="preserve">Туляков В. О. Апроксимація у кримінальному законодавстві  Актуальні проблеми держави і права : зб. наук. пр. МОН України, ОНЮА. - Одеса : Юрид. л-ра, 2009. - Вип. 47 - С. 7 – 11; _ _ _ Aquis communautare та кримінально-правові розвідки: шляхи піднесення до ідеалу </w:t>
      </w:r>
      <w:r w:rsidRPr="00CC65A7">
        <w:rPr>
          <w:i/>
          <w:iCs/>
          <w:color w:val="000000" w:themeColor="text1"/>
          <w:sz w:val="24"/>
          <w:szCs w:val="24"/>
        </w:rPr>
        <w:t xml:space="preserve">Українська кримінальна юстиція в умовах війни: </w:t>
      </w:r>
      <w:r w:rsidRPr="00CC65A7">
        <w:rPr>
          <w:color w:val="000000" w:themeColor="text1"/>
          <w:sz w:val="24"/>
          <w:szCs w:val="24"/>
        </w:rPr>
        <w:t xml:space="preserve">матеріали VIII (XXI) Львівського форуму кримінальної юстиції Львів:_ЛьвДУВС, 2022. С. 237-242; _ _ _ Субсидіарність криміналізації у європейському праві </w:t>
      </w:r>
      <w:r w:rsidRPr="00CC65A7">
        <w:rPr>
          <w:i/>
          <w:iCs/>
          <w:color w:val="000000" w:themeColor="text1"/>
          <w:sz w:val="24"/>
          <w:szCs w:val="24"/>
        </w:rPr>
        <w:t>Кримінальна юстиція в Україні: реалії та перспективи</w:t>
      </w:r>
      <w:r w:rsidRPr="00CC65A7">
        <w:rPr>
          <w:color w:val="000000" w:themeColor="text1"/>
          <w:sz w:val="24"/>
          <w:szCs w:val="24"/>
        </w:rPr>
        <w:t>: матеріали конференції. Львів ЛДУВС - 23 вересня 2022 року. C. 96-101.</w:t>
      </w:r>
      <w:r w:rsidRPr="00CC65A7">
        <w:rPr>
          <w:color w:val="000000" w:themeColor="text1"/>
          <w:sz w:val="24"/>
          <w:szCs w:val="24"/>
          <w:lang w:val="en-US"/>
        </w:rPr>
        <w:t xml:space="preserve"> </w:t>
      </w:r>
    </w:p>
  </w:footnote>
  <w:footnote w:id="14">
    <w:p w14:paraId="318FD54C" w14:textId="77777777" w:rsidR="00594A56" w:rsidRPr="00CC65A7" w:rsidRDefault="00594A56" w:rsidP="00CC65A7">
      <w:pPr>
        <w:pStyle w:val="af"/>
        <w:jc w:val="both"/>
        <w:rPr>
          <w:rFonts w:ascii="Times New Roman" w:hAnsi="Times New Roman"/>
          <w:sz w:val="24"/>
          <w:szCs w:val="24"/>
        </w:rPr>
      </w:pPr>
      <w:r w:rsidRPr="00CC65A7">
        <w:rPr>
          <w:rStyle w:val="af1"/>
          <w:rFonts w:ascii="Times New Roman" w:hAnsi="Times New Roman"/>
          <w:sz w:val="24"/>
          <w:szCs w:val="24"/>
        </w:rPr>
        <w:footnoteRef/>
      </w:r>
      <w:r w:rsidRPr="00CC65A7">
        <w:rPr>
          <w:rFonts w:ascii="Times New Roman" w:hAnsi="Times New Roman"/>
          <w:sz w:val="24"/>
          <w:szCs w:val="24"/>
        </w:rPr>
        <w:t xml:space="preserve"> </w:t>
      </w:r>
      <w:r w:rsidRPr="00CC65A7">
        <w:rPr>
          <w:rFonts w:ascii="Times New Roman" w:hAnsi="Times New Roman"/>
          <w:color w:val="333333"/>
          <w:sz w:val="24"/>
          <w:szCs w:val="24"/>
        </w:rPr>
        <w:t>Treaty of Lisbon amending the Treaty on European Union and the Treaty establishing the European Community, signed at Lisbon, 13 December 2007</w:t>
      </w:r>
      <w:r w:rsidRPr="00CC65A7">
        <w:rPr>
          <w:rFonts w:ascii="Times New Roman" w:hAnsi="Times New Roman"/>
          <w:color w:val="333333"/>
          <w:sz w:val="24"/>
          <w:szCs w:val="24"/>
          <w:shd w:val="clear" w:color="auto" w:fill="FFFFFF"/>
          <w:lang w:val="en-US"/>
        </w:rPr>
        <w:t xml:space="preserve">. </w:t>
      </w:r>
      <w:r w:rsidRPr="00CC65A7">
        <w:rPr>
          <w:rFonts w:ascii="Times New Roman" w:hAnsi="Times New Roman"/>
          <w:color w:val="333333"/>
          <w:sz w:val="24"/>
          <w:szCs w:val="24"/>
          <w:shd w:val="clear" w:color="auto" w:fill="FFFFFF"/>
        </w:rPr>
        <w:t>Document 12007L/TXT</w:t>
      </w:r>
      <w:r w:rsidRPr="00CC65A7">
        <w:rPr>
          <w:rFonts w:ascii="Times New Roman" w:hAnsi="Times New Roman"/>
          <w:color w:val="333333"/>
          <w:sz w:val="24"/>
          <w:szCs w:val="24"/>
          <w:shd w:val="clear" w:color="auto" w:fill="FFFFFF"/>
          <w:lang w:val="uk-UA"/>
        </w:rPr>
        <w:t xml:space="preserve"> </w:t>
      </w:r>
      <w:r w:rsidRPr="00CC65A7">
        <w:rPr>
          <w:rFonts w:ascii="Times New Roman" w:hAnsi="Times New Roman"/>
          <w:color w:val="333333"/>
          <w:sz w:val="24"/>
          <w:szCs w:val="24"/>
          <w:shd w:val="clear" w:color="auto" w:fill="FFFFFF"/>
          <w:lang w:val="fr-CH"/>
        </w:rPr>
        <w:t>URL:</w:t>
      </w:r>
      <w:r w:rsidRPr="00CC65A7">
        <w:rPr>
          <w:rFonts w:ascii="Times New Roman" w:hAnsi="Times New Roman"/>
          <w:sz w:val="24"/>
          <w:szCs w:val="24"/>
        </w:rPr>
        <w:t xml:space="preserve"> </w:t>
      </w:r>
      <w:hyperlink r:id="rId10" w:history="1">
        <w:r w:rsidRPr="00CC65A7">
          <w:rPr>
            <w:rStyle w:val="a6"/>
            <w:rFonts w:ascii="Times New Roman" w:hAnsi="Times New Roman"/>
            <w:sz w:val="24"/>
            <w:szCs w:val="24"/>
            <w:shd w:val="clear" w:color="auto" w:fill="FFFFFF"/>
          </w:rPr>
          <w:t>https://eur-lex.europa.eu/legal-content/EN/TXT/?uri=celex%3A12007L%2FTXT</w:t>
        </w:r>
      </w:hyperlink>
      <w:r w:rsidRPr="00CC65A7">
        <w:rPr>
          <w:rFonts w:ascii="Times New Roman" w:hAnsi="Times New Roman"/>
          <w:color w:val="333333"/>
          <w:sz w:val="24"/>
          <w:szCs w:val="24"/>
          <w:shd w:val="clear" w:color="auto" w:fill="FFFFFF"/>
          <w:lang w:val="uk-UA"/>
        </w:rPr>
        <w:t xml:space="preserve">  </w:t>
      </w:r>
    </w:p>
  </w:footnote>
  <w:footnote w:id="15">
    <w:p w14:paraId="75F691A2" w14:textId="77777777" w:rsidR="00594A56" w:rsidRPr="00CC65A7" w:rsidRDefault="00594A56" w:rsidP="00CC65A7">
      <w:pPr>
        <w:rPr>
          <w:color w:val="000000" w:themeColor="text1"/>
          <w:sz w:val="24"/>
          <w:szCs w:val="24"/>
        </w:rPr>
      </w:pPr>
      <w:r w:rsidRPr="00CC65A7">
        <w:rPr>
          <w:rStyle w:val="af1"/>
          <w:sz w:val="24"/>
          <w:szCs w:val="24"/>
        </w:rPr>
        <w:footnoteRef/>
      </w:r>
      <w:r w:rsidRPr="00CC65A7">
        <w:rPr>
          <w:sz w:val="24"/>
          <w:szCs w:val="24"/>
        </w:rPr>
        <w:t xml:space="preserve"> </w:t>
      </w:r>
      <w:r w:rsidRPr="00CC65A7">
        <w:rPr>
          <w:color w:val="000000" w:themeColor="text1"/>
          <w:sz w:val="24"/>
          <w:szCs w:val="24"/>
        </w:rPr>
        <w:t xml:space="preserve">Communication from the Commission to the European Parliament, the Council, the European Economic and Social Committee and the Committee of the Regions. Delivering an area of freedom, security and justice for Europe’s citizens </w:t>
      </w:r>
      <w:r w:rsidRPr="00CC65A7">
        <w:rPr>
          <w:color w:val="000000" w:themeColor="text1"/>
          <w:sz w:val="24"/>
          <w:szCs w:val="24"/>
          <w:lang w:val="en-US"/>
        </w:rPr>
        <w:t>/</w:t>
      </w:r>
      <w:r w:rsidRPr="00CC65A7">
        <w:rPr>
          <w:color w:val="000000" w:themeColor="text1"/>
          <w:sz w:val="24"/>
          <w:szCs w:val="24"/>
        </w:rPr>
        <w:t xml:space="preserve"> </w:t>
      </w:r>
      <w:r w:rsidRPr="00CC65A7">
        <w:rPr>
          <w:i/>
          <w:iCs/>
          <w:color w:val="000000" w:themeColor="text1"/>
          <w:sz w:val="24"/>
          <w:szCs w:val="24"/>
        </w:rPr>
        <w:t>Action Plan implementing the Stockholm Programme</w:t>
      </w:r>
      <w:r w:rsidRPr="00CC65A7">
        <w:rPr>
          <w:color w:val="000000" w:themeColor="text1"/>
          <w:sz w:val="24"/>
          <w:szCs w:val="24"/>
        </w:rPr>
        <w:t xml:space="preserve">. URL: </w:t>
      </w:r>
      <w:hyperlink r:id="rId11" w:history="1">
        <w:r w:rsidRPr="00CC65A7">
          <w:rPr>
            <w:rStyle w:val="a6"/>
            <w:sz w:val="24"/>
            <w:szCs w:val="24"/>
          </w:rPr>
          <w:t>https://eur-lex.europa.eu/legal-content/EN/ALL/?uri=COM:2010:0171:FIN</w:t>
        </w:r>
      </w:hyperlink>
    </w:p>
    <w:p w14:paraId="0F3DE991" w14:textId="77777777" w:rsidR="00594A56" w:rsidRPr="00CC65A7" w:rsidRDefault="00594A56" w:rsidP="00CC65A7">
      <w:pPr>
        <w:pStyle w:val="title-bold"/>
        <w:spacing w:before="0" w:beforeAutospacing="0" w:after="75" w:afterAutospacing="0"/>
        <w:jc w:val="both"/>
        <w:rPr>
          <w:color w:val="333333"/>
        </w:rPr>
      </w:pPr>
    </w:p>
    <w:p w14:paraId="553620F0" w14:textId="77777777" w:rsidR="00594A56" w:rsidRPr="00CC65A7" w:rsidRDefault="00594A56" w:rsidP="00CC65A7">
      <w:pPr>
        <w:rPr>
          <w:sz w:val="24"/>
          <w:szCs w:val="24"/>
        </w:rPr>
      </w:pPr>
    </w:p>
    <w:p w14:paraId="189A790C" w14:textId="77777777" w:rsidR="00594A56" w:rsidRPr="00CC65A7" w:rsidRDefault="00594A56" w:rsidP="00CC65A7">
      <w:pPr>
        <w:pStyle w:val="af"/>
        <w:jc w:val="both"/>
        <w:rPr>
          <w:rFonts w:ascii="Times New Roman" w:hAnsi="Times New Roman"/>
          <w:sz w:val="24"/>
          <w:szCs w:val="24"/>
        </w:rPr>
      </w:pPr>
    </w:p>
  </w:footnote>
  <w:footnote w:id="16">
    <w:p w14:paraId="79227D60" w14:textId="77777777" w:rsidR="00594A56" w:rsidRPr="00CC65A7" w:rsidRDefault="00594A56" w:rsidP="00CC65A7">
      <w:pPr>
        <w:pStyle w:val="af"/>
        <w:jc w:val="both"/>
        <w:rPr>
          <w:rFonts w:ascii="Times New Roman" w:hAnsi="Times New Roman"/>
          <w:sz w:val="24"/>
          <w:szCs w:val="24"/>
          <w:lang w:val="uk-UA"/>
        </w:rPr>
      </w:pPr>
      <w:r w:rsidRPr="00CC65A7">
        <w:rPr>
          <w:rStyle w:val="af1"/>
          <w:rFonts w:ascii="Times New Roman" w:hAnsi="Times New Roman"/>
          <w:sz w:val="24"/>
          <w:szCs w:val="24"/>
        </w:rPr>
        <w:footnoteRef/>
      </w:r>
      <w:r w:rsidRPr="00CC65A7">
        <w:rPr>
          <w:rFonts w:ascii="Times New Roman" w:hAnsi="Times New Roman"/>
          <w:sz w:val="24"/>
          <w:szCs w:val="24"/>
        </w:rPr>
        <w:t xml:space="preserve"> </w:t>
      </w:r>
      <w:r w:rsidRPr="00CC65A7">
        <w:rPr>
          <w:rFonts w:ascii="Times New Roman" w:hAnsi="Times New Roman"/>
          <w:color w:val="000000" w:themeColor="text1"/>
          <w:sz w:val="24"/>
          <w:szCs w:val="24"/>
          <w:lang w:val="uk-UA"/>
        </w:rPr>
        <w:t>ECHR, CASE OF AL NASHIRI v. ROMANIA, 31 May 2018, Application no. </w:t>
      </w:r>
      <w:hyperlink w:tgtFrame="_blank" w:history="1">
        <w:r w:rsidRPr="00CC65A7">
          <w:rPr>
            <w:rFonts w:ascii="Times New Roman" w:hAnsi="Times New Roman"/>
            <w:color w:val="000000" w:themeColor="text1"/>
            <w:sz w:val="24"/>
            <w:szCs w:val="24"/>
            <w:lang w:val="uk-UA"/>
          </w:rPr>
          <w:t>33234/12</w:t>
        </w:r>
      </w:hyperlink>
      <w:r w:rsidRPr="00CC65A7">
        <w:rPr>
          <w:rFonts w:ascii="Times New Roman" w:hAnsi="Times New Roman"/>
          <w:color w:val="000000" w:themeColor="text1"/>
          <w:sz w:val="24"/>
          <w:szCs w:val="24"/>
          <w:lang w:val="uk-UA"/>
        </w:rPr>
        <w:t xml:space="preserve">, URL: </w:t>
      </w:r>
      <w:hyperlink r:id="rId12" w:history="1">
        <w:r w:rsidRPr="00CC65A7">
          <w:rPr>
            <w:rFonts w:ascii="Times New Roman" w:hAnsi="Times New Roman"/>
            <w:color w:val="000000" w:themeColor="text1"/>
            <w:sz w:val="24"/>
            <w:szCs w:val="24"/>
            <w:lang w:val="uk-UA"/>
          </w:rPr>
          <w:t>https://hudoc.echr.coe.int/eng?i=001-183685</w:t>
        </w:r>
      </w:hyperlink>
      <w:r w:rsidRPr="00CC65A7">
        <w:rPr>
          <w:rFonts w:ascii="Times New Roman" w:hAnsi="Times New Roman"/>
          <w:color w:val="000000" w:themeColor="text1"/>
          <w:sz w:val="24"/>
          <w:szCs w:val="24"/>
          <w:lang w:val="uk-UA"/>
        </w:rPr>
        <w:t>; CASE OF HUSAYN (ABU ZUBAYDAH) v. POLAND, 24 July 2014, Application no. </w:t>
      </w:r>
      <w:hyperlink w:tgtFrame="_blank" w:history="1">
        <w:r w:rsidRPr="00CC65A7">
          <w:rPr>
            <w:rFonts w:ascii="Times New Roman" w:hAnsi="Times New Roman"/>
            <w:color w:val="000000" w:themeColor="text1"/>
            <w:sz w:val="24"/>
            <w:szCs w:val="24"/>
            <w:lang w:val="uk-UA"/>
          </w:rPr>
          <w:t>7511/13</w:t>
        </w:r>
      </w:hyperlink>
      <w:r w:rsidRPr="00CC65A7">
        <w:rPr>
          <w:rFonts w:ascii="Times New Roman" w:hAnsi="Times New Roman"/>
          <w:color w:val="000000" w:themeColor="text1"/>
          <w:sz w:val="24"/>
          <w:szCs w:val="24"/>
          <w:lang w:val="uk-UA"/>
        </w:rPr>
        <w:t xml:space="preserve">, URL: </w:t>
      </w:r>
      <w:hyperlink r:id="rId13" w:history="1">
        <w:r w:rsidRPr="00CC65A7">
          <w:rPr>
            <w:rStyle w:val="a6"/>
            <w:rFonts w:ascii="Times New Roman" w:hAnsi="Times New Roman"/>
            <w:sz w:val="24"/>
            <w:szCs w:val="24"/>
            <w:lang w:val="uk-UA"/>
          </w:rPr>
          <w:t>https://hudoc.echr.coe.int/eng?i=001-146047</w:t>
        </w:r>
      </w:hyperlink>
    </w:p>
  </w:footnote>
  <w:footnote w:id="17">
    <w:p w14:paraId="3B30B8AC" w14:textId="77777777" w:rsidR="00594A56" w:rsidRPr="00CC65A7" w:rsidRDefault="00594A56" w:rsidP="00CC65A7">
      <w:pPr>
        <w:rPr>
          <w:sz w:val="24"/>
          <w:szCs w:val="24"/>
        </w:rPr>
      </w:pPr>
      <w:r w:rsidRPr="00CC65A7">
        <w:rPr>
          <w:rStyle w:val="af1"/>
          <w:sz w:val="24"/>
          <w:szCs w:val="24"/>
        </w:rPr>
        <w:footnoteRef/>
      </w:r>
      <w:r w:rsidRPr="00CC65A7">
        <w:rPr>
          <w:sz w:val="24"/>
          <w:szCs w:val="24"/>
        </w:rPr>
        <w:t xml:space="preserve"> </w:t>
      </w:r>
      <w:r w:rsidRPr="00CC65A7">
        <w:rPr>
          <w:color w:val="000000" w:themeColor="text1"/>
          <w:sz w:val="24"/>
          <w:szCs w:val="24"/>
        </w:rPr>
        <w:t xml:space="preserve">Інструкція «Про порядок превентивного затримання у районі проведення антитерористичної операції осіб, причетних до терористичної діяльності, та особливого режиму досудового розслідування в умовах воєнного, надзвичайного стану або у районі проведення антитерористичної операції». від 26.08.2014 № 872/88/537. URL: </w:t>
      </w:r>
      <w:hyperlink r:id="rId14" w:anchor="Text" w:history="1">
        <w:r w:rsidRPr="00CC65A7">
          <w:rPr>
            <w:color w:val="000000" w:themeColor="text1"/>
            <w:sz w:val="24"/>
            <w:szCs w:val="24"/>
          </w:rPr>
          <w:t>https://zakon.rada.gov.ua/laws/show/z1038-14#Text</w:t>
        </w:r>
      </w:hyperlink>
      <w:r w:rsidRPr="00CC65A7">
        <w:rPr>
          <w:color w:val="000000" w:themeColor="text1"/>
          <w:sz w:val="24"/>
          <w:szCs w:val="24"/>
          <w:lang w:val="en-US"/>
        </w:rPr>
        <w:t xml:space="preserve"> </w:t>
      </w:r>
    </w:p>
  </w:footnote>
  <w:footnote w:id="18">
    <w:p w14:paraId="57296E6F" w14:textId="77777777" w:rsidR="00594A56" w:rsidRPr="00CC65A7" w:rsidRDefault="00594A56" w:rsidP="00CC65A7">
      <w:pPr>
        <w:rPr>
          <w:sz w:val="24"/>
          <w:szCs w:val="24"/>
        </w:rPr>
      </w:pPr>
      <w:r w:rsidRPr="00CC65A7">
        <w:rPr>
          <w:rStyle w:val="af1"/>
          <w:sz w:val="24"/>
          <w:szCs w:val="24"/>
        </w:rPr>
        <w:footnoteRef/>
      </w:r>
      <w:r w:rsidRPr="00CC65A7">
        <w:rPr>
          <w:sz w:val="24"/>
          <w:szCs w:val="24"/>
        </w:rPr>
        <w:t xml:space="preserve"> </w:t>
      </w:r>
      <w:r w:rsidRPr="00CC65A7">
        <w:rPr>
          <w:color w:val="000000" w:themeColor="text1"/>
          <w:sz w:val="24"/>
          <w:szCs w:val="24"/>
        </w:rPr>
        <w:t xml:space="preserve">2020 Country Reports on Human Rights Practices: Ukraine. URL: </w:t>
      </w:r>
      <w:hyperlink r:id="rId15" w:history="1">
        <w:r w:rsidRPr="00CC65A7">
          <w:rPr>
            <w:color w:val="000000" w:themeColor="text1"/>
            <w:sz w:val="24"/>
            <w:szCs w:val="24"/>
          </w:rPr>
          <w:t>https://www.state.gov/reports/2020-country-reports-on-human-rights-practices/ukraine/-</w:t>
        </w:r>
      </w:hyperlink>
      <w:r w:rsidRPr="00CC65A7">
        <w:rPr>
          <w:color w:val="000000" w:themeColor="text1"/>
          <w:sz w:val="24"/>
          <w:szCs w:val="24"/>
        </w:rPr>
        <w:t xml:space="preserve"> section 1.D.  </w:t>
      </w:r>
    </w:p>
  </w:footnote>
  <w:footnote w:id="19">
    <w:p w14:paraId="6B7E6AE5" w14:textId="77777777" w:rsidR="00594A56" w:rsidRPr="00CC65A7" w:rsidRDefault="00594A56" w:rsidP="00CC65A7">
      <w:pPr>
        <w:rPr>
          <w:sz w:val="24"/>
          <w:szCs w:val="24"/>
        </w:rPr>
      </w:pPr>
      <w:r w:rsidRPr="00CC65A7">
        <w:rPr>
          <w:rStyle w:val="af1"/>
          <w:sz w:val="24"/>
          <w:szCs w:val="24"/>
        </w:rPr>
        <w:footnoteRef/>
      </w:r>
      <w:r w:rsidRPr="00CC65A7">
        <w:rPr>
          <w:sz w:val="24"/>
          <w:szCs w:val="24"/>
        </w:rPr>
        <w:t xml:space="preserve"> </w:t>
      </w:r>
      <w:r w:rsidRPr="00CC65A7">
        <w:rPr>
          <w:color w:val="000000" w:themeColor="text1"/>
          <w:sz w:val="24"/>
          <w:szCs w:val="24"/>
        </w:rPr>
        <w:t xml:space="preserve">Закон України «Про внесення змін до Кодексу України про адміністративні правопорушення, Кримінального кодексу України та інших законодавчих актів України щодо особливостей несення військової служби в умовах воєнного стану чи в бойовій обстановці» № 8271 від 08.12.2022 URL: </w:t>
      </w:r>
      <w:hyperlink r:id="rId16" w:history="1">
        <w:r w:rsidRPr="00CC65A7">
          <w:rPr>
            <w:color w:val="000000" w:themeColor="text1"/>
            <w:sz w:val="24"/>
            <w:szCs w:val="24"/>
          </w:rPr>
          <w:t>https://itd.rada.gov.ua/billInfo/Bills/pubFile/1580880</w:t>
        </w:r>
      </w:hyperlink>
      <w:r w:rsidRPr="00CC65A7">
        <w:rPr>
          <w:color w:val="000000" w:themeColor="text1"/>
          <w:sz w:val="24"/>
          <w:szCs w:val="24"/>
        </w:rPr>
        <w:t>; Закон України</w:t>
      </w:r>
      <w:bookmarkStart w:id="4" w:name="n3"/>
      <w:bookmarkEnd w:id="4"/>
      <w:r w:rsidRPr="00CC65A7">
        <w:rPr>
          <w:rStyle w:val="rvts23"/>
          <w:color w:val="333333"/>
          <w:sz w:val="24"/>
          <w:szCs w:val="24"/>
        </w:rPr>
        <w:t xml:space="preserve"> «Про Національне антикорупційне бюро України» від </w:t>
      </w:r>
      <w:r w:rsidRPr="00CC65A7">
        <w:rPr>
          <w:rStyle w:val="rvts44"/>
          <w:color w:val="333333"/>
          <w:sz w:val="24"/>
          <w:szCs w:val="24"/>
        </w:rPr>
        <w:t>14 жовтня 2014 року</w:t>
      </w:r>
      <w:r w:rsidRPr="00CC65A7">
        <w:rPr>
          <w:rStyle w:val="apple-converted-space"/>
          <w:color w:val="333333"/>
          <w:sz w:val="24"/>
          <w:szCs w:val="24"/>
          <w:shd w:val="clear" w:color="auto" w:fill="FFFFFF"/>
        </w:rPr>
        <w:t> </w:t>
      </w:r>
      <w:r w:rsidRPr="00CC65A7">
        <w:rPr>
          <w:color w:val="333333"/>
          <w:sz w:val="24"/>
          <w:szCs w:val="24"/>
        </w:rPr>
        <w:br/>
      </w:r>
      <w:r w:rsidRPr="00CC65A7">
        <w:rPr>
          <w:rStyle w:val="rvts44"/>
          <w:color w:val="333333"/>
          <w:sz w:val="24"/>
          <w:szCs w:val="24"/>
        </w:rPr>
        <w:t xml:space="preserve">№ 1698-VII; </w:t>
      </w:r>
      <w:r w:rsidRPr="00CC65A7">
        <w:rPr>
          <w:rStyle w:val="rvts44"/>
          <w:color w:val="333333"/>
          <w:sz w:val="24"/>
          <w:szCs w:val="24"/>
          <w:lang w:val="en-US"/>
        </w:rPr>
        <w:t>URL</w:t>
      </w:r>
      <w:r w:rsidRPr="00CC65A7">
        <w:rPr>
          <w:rStyle w:val="rvts44"/>
          <w:color w:val="333333"/>
          <w:sz w:val="24"/>
          <w:szCs w:val="24"/>
        </w:rPr>
        <w:t xml:space="preserve">:  </w:t>
      </w:r>
      <w:hyperlink r:id="rId17" w:anchor="n332" w:history="1">
        <w:r w:rsidRPr="00CC65A7">
          <w:rPr>
            <w:rStyle w:val="a6"/>
            <w:sz w:val="24"/>
            <w:szCs w:val="24"/>
          </w:rPr>
          <w:t>https://zakon.rada.gov.ua/laws/show/1698-18#n332</w:t>
        </w:r>
      </w:hyperlink>
      <w:r w:rsidRPr="00CC65A7">
        <w:rPr>
          <w:rStyle w:val="rvts44"/>
          <w:color w:val="333333"/>
          <w:sz w:val="24"/>
          <w:szCs w:val="24"/>
        </w:rPr>
        <w:t xml:space="preserve"> </w:t>
      </w:r>
    </w:p>
  </w:footnote>
  <w:footnote w:id="20">
    <w:p w14:paraId="6BD7B379" w14:textId="77777777" w:rsidR="00594A56" w:rsidRPr="00CC65A7" w:rsidRDefault="00594A56" w:rsidP="00CC65A7">
      <w:pPr>
        <w:rPr>
          <w:color w:val="000000" w:themeColor="text1"/>
          <w:sz w:val="24"/>
          <w:szCs w:val="24"/>
        </w:rPr>
      </w:pPr>
      <w:r w:rsidRPr="00CC65A7">
        <w:rPr>
          <w:rStyle w:val="af1"/>
          <w:sz w:val="24"/>
          <w:szCs w:val="24"/>
        </w:rPr>
        <w:footnoteRef/>
      </w:r>
      <w:r w:rsidRPr="00CC65A7">
        <w:rPr>
          <w:sz w:val="24"/>
          <w:szCs w:val="24"/>
        </w:rPr>
        <w:t xml:space="preserve"> </w:t>
      </w:r>
      <w:r w:rsidRPr="00CC65A7">
        <w:rPr>
          <w:color w:val="000000" w:themeColor="text1"/>
          <w:sz w:val="24"/>
          <w:szCs w:val="24"/>
        </w:rPr>
        <w:t>ECHR. CASE OF BIG BROTHER WATCH AND OTHERS v. THE UNITED KINGDOM, 25 May 2021, Applications nos. </w:t>
      </w:r>
      <w:hyperlink w:tgtFrame="_blank" w:history="1">
        <w:r w:rsidRPr="00CC65A7">
          <w:rPr>
            <w:color w:val="000000" w:themeColor="text1"/>
            <w:sz w:val="24"/>
            <w:szCs w:val="24"/>
          </w:rPr>
          <w:t>58170/13</w:t>
        </w:r>
      </w:hyperlink>
      <w:r w:rsidRPr="00CC65A7">
        <w:rPr>
          <w:color w:val="000000" w:themeColor="text1"/>
          <w:sz w:val="24"/>
          <w:szCs w:val="24"/>
        </w:rPr>
        <w:t>, </w:t>
      </w:r>
      <w:hyperlink w:tgtFrame="_blank" w:history="1">
        <w:r w:rsidRPr="00CC65A7">
          <w:rPr>
            <w:color w:val="000000" w:themeColor="text1"/>
            <w:sz w:val="24"/>
            <w:szCs w:val="24"/>
          </w:rPr>
          <w:t>62322/14</w:t>
        </w:r>
      </w:hyperlink>
      <w:r w:rsidRPr="00CC65A7">
        <w:rPr>
          <w:color w:val="000000" w:themeColor="text1"/>
          <w:sz w:val="24"/>
          <w:szCs w:val="24"/>
        </w:rPr>
        <w:t> and </w:t>
      </w:r>
      <w:hyperlink w:tgtFrame="_blank" w:history="1">
        <w:r w:rsidRPr="00CC65A7">
          <w:rPr>
            <w:color w:val="000000" w:themeColor="text1"/>
            <w:sz w:val="24"/>
            <w:szCs w:val="24"/>
          </w:rPr>
          <w:t>24960/15</w:t>
        </w:r>
      </w:hyperlink>
      <w:r w:rsidRPr="00CC65A7">
        <w:rPr>
          <w:color w:val="000000" w:themeColor="text1"/>
          <w:sz w:val="24"/>
          <w:szCs w:val="24"/>
        </w:rPr>
        <w:t xml:space="preserve"> URL: </w:t>
      </w:r>
      <w:hyperlink r:id="rId18" w:history="1">
        <w:r w:rsidRPr="00CC65A7">
          <w:rPr>
            <w:color w:val="000000" w:themeColor="text1"/>
            <w:sz w:val="24"/>
            <w:szCs w:val="24"/>
          </w:rPr>
          <w:t>https://hudoc.echr.coe.int/eng?i=001-210077</w:t>
        </w:r>
      </w:hyperlink>
    </w:p>
    <w:p w14:paraId="4D0D1288" w14:textId="77777777" w:rsidR="00594A56" w:rsidRPr="00CC65A7" w:rsidRDefault="00594A56" w:rsidP="00CC65A7">
      <w:pPr>
        <w:pStyle w:val="af"/>
        <w:jc w:val="both"/>
        <w:rPr>
          <w:rFonts w:ascii="Times New Roman" w:hAnsi="Times New Roman"/>
          <w:sz w:val="24"/>
          <w:szCs w:val="24"/>
          <w:lang w:val="uk-UA"/>
        </w:rPr>
      </w:pPr>
    </w:p>
  </w:footnote>
  <w:footnote w:id="21">
    <w:p w14:paraId="098CC2B4" w14:textId="77777777" w:rsidR="00594A56" w:rsidRPr="00CC65A7" w:rsidRDefault="00594A56" w:rsidP="00CC65A7">
      <w:pPr>
        <w:rPr>
          <w:color w:val="000000" w:themeColor="text1"/>
          <w:sz w:val="24"/>
          <w:szCs w:val="24"/>
        </w:rPr>
      </w:pPr>
      <w:r w:rsidRPr="00CC65A7">
        <w:rPr>
          <w:rStyle w:val="af1"/>
          <w:sz w:val="24"/>
          <w:szCs w:val="24"/>
        </w:rPr>
        <w:footnoteRef/>
      </w:r>
      <w:r w:rsidRPr="00CC65A7">
        <w:rPr>
          <w:sz w:val="24"/>
          <w:szCs w:val="24"/>
        </w:rPr>
        <w:t xml:space="preserve"> </w:t>
      </w:r>
      <w:r w:rsidRPr="00CC65A7">
        <w:rPr>
          <w:color w:val="000000" w:themeColor="text1"/>
          <w:sz w:val="24"/>
          <w:szCs w:val="24"/>
        </w:rPr>
        <w:t xml:space="preserve">ECJ, Judgment of the General Court (Ninth Chamber) of 26 October 2015. Andriy Portnov v Council of the European Union. Case T-290/14. URL:   </w:t>
      </w:r>
      <w:hyperlink r:id="rId19" w:history="1">
        <w:r w:rsidRPr="00CC65A7">
          <w:rPr>
            <w:color w:val="000000" w:themeColor="text1"/>
            <w:sz w:val="24"/>
            <w:szCs w:val="24"/>
          </w:rPr>
          <w:t>https://curia.europa.eu/juris/liste.jsf?nat=or&amp;mat=or&amp;pcs=Oor&amp;jur=C%2CT%2CF&amp;for=&amp;jge=&amp;dates=&amp;language=en&amp;pro=&amp;cit=none%252CC%252CCJ%252CR%252C2008E%252C%252C%252C%252C%252C%252C%252C%252C%252C%252Ctrue%252Cfalse%252Cfalse&amp;oqp=&amp;td=%3BALL&amp;avg=&amp;parties=portnov&amp;lg=&amp;page=1&amp;cid=686233</w:t>
        </w:r>
      </w:hyperlink>
      <w:r w:rsidRPr="00CC65A7">
        <w:rPr>
          <w:color w:val="000000" w:themeColor="text1"/>
          <w:sz w:val="24"/>
          <w:szCs w:val="24"/>
        </w:rPr>
        <w:t xml:space="preserve"> </w:t>
      </w:r>
    </w:p>
  </w:footnote>
  <w:footnote w:id="22">
    <w:p w14:paraId="781617F4" w14:textId="77777777" w:rsidR="00594A56" w:rsidRPr="00CC65A7" w:rsidRDefault="00594A56" w:rsidP="00CC65A7">
      <w:pPr>
        <w:rPr>
          <w:color w:val="000000" w:themeColor="text1"/>
          <w:sz w:val="24"/>
          <w:szCs w:val="24"/>
        </w:rPr>
      </w:pPr>
      <w:r w:rsidRPr="00CC65A7">
        <w:rPr>
          <w:color w:val="000000" w:themeColor="text1"/>
          <w:sz w:val="24"/>
          <w:szCs w:val="24"/>
          <w:vertAlign w:val="superscript"/>
        </w:rPr>
        <w:footnoteRef/>
      </w:r>
      <w:r w:rsidRPr="00CC65A7">
        <w:rPr>
          <w:color w:val="000000" w:themeColor="text1"/>
          <w:sz w:val="24"/>
          <w:szCs w:val="24"/>
          <w:vertAlign w:val="superscript"/>
        </w:rPr>
        <w:t xml:space="preserve"> </w:t>
      </w:r>
      <w:r w:rsidRPr="00CC65A7">
        <w:rPr>
          <w:color w:val="000000" w:themeColor="text1"/>
          <w:sz w:val="24"/>
          <w:szCs w:val="24"/>
        </w:rPr>
        <w:t>ECJ,  Judgment of the Court (Fourth Chamber) of 19 December 2018 — Mykola Yanovych Azarov v Council of the European Union  Case C-530/17 P URL: https://curia.europa.eu/juris/documents.jsf?num=C-530/17</w:t>
      </w:r>
    </w:p>
  </w:footnote>
  <w:footnote w:id="23">
    <w:p w14:paraId="02A1DE0F" w14:textId="77777777" w:rsidR="00594A56" w:rsidRPr="00CC65A7" w:rsidRDefault="00594A56" w:rsidP="00CC65A7">
      <w:pPr>
        <w:rPr>
          <w:color w:val="000000" w:themeColor="text1"/>
          <w:sz w:val="24"/>
          <w:szCs w:val="24"/>
        </w:rPr>
      </w:pPr>
      <w:r w:rsidRPr="00CC65A7">
        <w:rPr>
          <w:color w:val="000000" w:themeColor="text1"/>
          <w:sz w:val="24"/>
          <w:szCs w:val="24"/>
        </w:rPr>
        <w:footnoteRef/>
      </w:r>
      <w:r w:rsidRPr="00CC65A7">
        <w:rPr>
          <w:color w:val="000000" w:themeColor="text1"/>
          <w:sz w:val="24"/>
          <w:szCs w:val="24"/>
        </w:rPr>
        <w:t xml:space="preserve"> Council Implementing Regulation (EU) 2022/1501 of 9 September 2022 implementing Regulation (EU) No 208/2014 concerning restrictive measures directed against certain persons, entities and bodies in view of the situation in Ukraine</w:t>
      </w:r>
      <w:r w:rsidRPr="00CC65A7">
        <w:rPr>
          <w:color w:val="000000" w:themeColor="text1"/>
          <w:sz w:val="24"/>
          <w:szCs w:val="24"/>
          <w:lang w:val="en-US"/>
        </w:rPr>
        <w:t>.</w:t>
      </w:r>
      <w:r w:rsidRPr="00CC65A7">
        <w:rPr>
          <w:color w:val="000000" w:themeColor="text1"/>
          <w:sz w:val="24"/>
          <w:szCs w:val="24"/>
        </w:rPr>
        <w:t xml:space="preserve"> Document 32022R1501 ST/11433/2022/INIT</w:t>
      </w:r>
      <w:r w:rsidRPr="00CC65A7">
        <w:rPr>
          <w:i/>
          <w:iCs/>
          <w:color w:val="000000" w:themeColor="text1"/>
          <w:sz w:val="24"/>
          <w:szCs w:val="24"/>
        </w:rPr>
        <w:t xml:space="preserve"> OJ L 235, 12.9.2022, p. 1–3. URL:</w:t>
      </w:r>
      <w:r w:rsidRPr="00CC65A7">
        <w:rPr>
          <w:color w:val="000000" w:themeColor="text1"/>
          <w:sz w:val="24"/>
          <w:szCs w:val="24"/>
        </w:rPr>
        <w:t xml:space="preserve"> </w:t>
      </w:r>
      <w:r w:rsidRPr="00CC65A7">
        <w:rPr>
          <w:i/>
          <w:iCs/>
          <w:color w:val="000000" w:themeColor="text1"/>
          <w:sz w:val="24"/>
          <w:szCs w:val="24"/>
        </w:rPr>
        <w:t xml:space="preserve">https://eur-lex.europa.eu/legal-content/EN/TXT/?uri=CELEX%3A32022R1501&amp;qid=1662979198525  </w:t>
      </w:r>
    </w:p>
  </w:footnote>
  <w:footnote w:id="24">
    <w:p w14:paraId="16D0A704" w14:textId="77777777" w:rsidR="00594A56" w:rsidRPr="00CC65A7" w:rsidRDefault="00594A56" w:rsidP="00CC65A7">
      <w:pPr>
        <w:rPr>
          <w:color w:val="000000" w:themeColor="text1"/>
          <w:sz w:val="24"/>
          <w:szCs w:val="24"/>
        </w:rPr>
      </w:pPr>
      <w:r w:rsidRPr="00CC65A7">
        <w:rPr>
          <w:color w:val="000000" w:themeColor="text1"/>
          <w:sz w:val="24"/>
          <w:szCs w:val="24"/>
        </w:rPr>
        <w:footnoteRef/>
      </w:r>
      <w:r w:rsidRPr="00CC65A7">
        <w:rPr>
          <w:color w:val="000000" w:themeColor="text1"/>
          <w:sz w:val="24"/>
          <w:szCs w:val="24"/>
        </w:rPr>
        <w:t xml:space="preserve"> ECJ, Judgment of the Court (Grand Chamber) of 22 November 2022 (requests for a preliminary ruling from the Tribunal d’arrondissement de Luxembourg – Luxembourg) – WM (C-37/20), Sovim SA (C-601/20) v Luxembourg Business Registers</w:t>
      </w:r>
      <w:r w:rsidRPr="00CC65A7">
        <w:rPr>
          <w:color w:val="000000" w:themeColor="text1"/>
          <w:sz w:val="24"/>
          <w:szCs w:val="24"/>
          <w:lang w:val="en-US"/>
        </w:rPr>
        <w:t xml:space="preserve"> </w:t>
      </w:r>
      <w:r w:rsidRPr="00CC65A7">
        <w:rPr>
          <w:color w:val="000000" w:themeColor="text1"/>
          <w:sz w:val="24"/>
          <w:szCs w:val="24"/>
        </w:rPr>
        <w:t>(Joined Cases C-37/20 and C-601/20)</w:t>
      </w:r>
      <w:r w:rsidRPr="00CC65A7">
        <w:rPr>
          <w:color w:val="000000" w:themeColor="text1"/>
          <w:sz w:val="24"/>
          <w:szCs w:val="24"/>
          <w:lang w:val="en-US"/>
        </w:rPr>
        <w:t xml:space="preserve"> </w:t>
      </w:r>
      <w:r w:rsidRPr="00CC65A7">
        <w:rPr>
          <w:color w:val="000000" w:themeColor="text1"/>
          <w:sz w:val="24"/>
          <w:szCs w:val="24"/>
        </w:rPr>
        <w:t xml:space="preserve">Anti-money-laundering directive: the provision whereby the information on the beneficial ownership of companies incorporated within the territory of the Member States is accessible in all cases to any member of the general public is invalid. URL: </w:t>
      </w:r>
      <w:hyperlink r:id="rId20" w:history="1">
        <w:r w:rsidRPr="00CC65A7">
          <w:rPr>
            <w:color w:val="000000" w:themeColor="text1"/>
            <w:sz w:val="24"/>
            <w:szCs w:val="24"/>
          </w:rPr>
          <w:t>https://curia.europa.eu/juris/documents.jsf?num=C-37/20</w:t>
        </w:r>
      </w:hyperlink>
      <w:r w:rsidRPr="00CC65A7">
        <w:rPr>
          <w:color w:val="000000" w:themeColor="text1"/>
          <w:sz w:val="24"/>
          <w:szCs w:val="24"/>
        </w:rPr>
        <w:t xml:space="preserve"> </w:t>
      </w:r>
    </w:p>
  </w:footnote>
  <w:footnote w:id="25">
    <w:p w14:paraId="5DA3F575" w14:textId="77777777" w:rsidR="00594A56" w:rsidRPr="00CC65A7" w:rsidRDefault="00594A56" w:rsidP="00CC65A7">
      <w:pPr>
        <w:rPr>
          <w:color w:val="000000" w:themeColor="text1"/>
          <w:sz w:val="24"/>
          <w:szCs w:val="24"/>
        </w:rPr>
      </w:pPr>
      <w:r w:rsidRPr="00CC65A7">
        <w:rPr>
          <w:rStyle w:val="af1"/>
          <w:sz w:val="24"/>
          <w:szCs w:val="24"/>
        </w:rPr>
        <w:footnoteRef/>
      </w:r>
      <w:r w:rsidRPr="00CC65A7">
        <w:rPr>
          <w:sz w:val="24"/>
          <w:szCs w:val="24"/>
        </w:rPr>
        <w:t xml:space="preserve"> </w:t>
      </w:r>
      <w:r w:rsidRPr="00CC65A7">
        <w:rPr>
          <w:color w:val="333333"/>
          <w:sz w:val="24"/>
          <w:szCs w:val="24"/>
          <w:shd w:val="clear" w:color="auto" w:fill="FFFFFF"/>
        </w:rPr>
        <w:t>Directive (EU) 2018/1673 of the European Parliament and of the Council of 23 October 2018 on combating money laundering by criminal law</w:t>
      </w:r>
      <w:r w:rsidRPr="00CC65A7">
        <w:rPr>
          <w:color w:val="000000"/>
          <w:sz w:val="24"/>
          <w:szCs w:val="24"/>
        </w:rPr>
        <w:t xml:space="preserve">, </w:t>
      </w:r>
      <w:r w:rsidRPr="00CC65A7">
        <w:rPr>
          <w:i/>
          <w:iCs/>
          <w:color w:val="000000"/>
          <w:sz w:val="24"/>
          <w:szCs w:val="24"/>
        </w:rPr>
        <w:t>OJ L</w:t>
      </w:r>
      <w:r w:rsidRPr="00CC65A7">
        <w:rPr>
          <w:color w:val="000000"/>
          <w:sz w:val="24"/>
          <w:szCs w:val="24"/>
        </w:rPr>
        <w:t xml:space="preserve"> 284 [2018] </w:t>
      </w:r>
      <w:r w:rsidRPr="00CC65A7">
        <w:rPr>
          <w:color w:val="000000"/>
          <w:sz w:val="24"/>
          <w:szCs w:val="24"/>
          <w:lang w:val="en-US"/>
        </w:rPr>
        <w:t>URL</w:t>
      </w:r>
      <w:r w:rsidRPr="00CC65A7">
        <w:rPr>
          <w:color w:val="000000"/>
          <w:sz w:val="24"/>
          <w:szCs w:val="24"/>
        </w:rPr>
        <w:t>:</w:t>
      </w:r>
      <w:r w:rsidRPr="00CC65A7">
        <w:rPr>
          <w:sz w:val="24"/>
          <w:szCs w:val="24"/>
        </w:rPr>
        <w:t xml:space="preserve"> </w:t>
      </w:r>
      <w:r w:rsidRPr="00CC65A7">
        <w:rPr>
          <w:color w:val="000000"/>
          <w:sz w:val="24"/>
          <w:szCs w:val="24"/>
        </w:rPr>
        <w:t>https://eur-lex.europa.eu/legal-content/EN/TXT/?uri=CELEX%3A32018L1673</w:t>
      </w:r>
    </w:p>
    <w:p w14:paraId="760C7267" w14:textId="77777777" w:rsidR="00594A56" w:rsidRPr="00CC65A7" w:rsidRDefault="00594A56" w:rsidP="00CC65A7">
      <w:pPr>
        <w:pStyle w:val="af"/>
        <w:jc w:val="both"/>
        <w:rPr>
          <w:rFonts w:ascii="Times New Roman" w:hAnsi="Times New Roman"/>
          <w:sz w:val="24"/>
          <w:szCs w:val="24"/>
          <w:lang w:val="uk-UA"/>
        </w:rPr>
      </w:pPr>
    </w:p>
  </w:footnote>
  <w:footnote w:id="26">
    <w:p w14:paraId="568DBEA5" w14:textId="77777777" w:rsidR="00594A56" w:rsidRPr="00CC65A7" w:rsidRDefault="00594A56" w:rsidP="00CC65A7">
      <w:pPr>
        <w:rPr>
          <w:color w:val="000000"/>
          <w:sz w:val="24"/>
          <w:szCs w:val="24"/>
        </w:rPr>
      </w:pPr>
      <w:r w:rsidRPr="00CC65A7">
        <w:rPr>
          <w:rStyle w:val="af1"/>
          <w:sz w:val="24"/>
          <w:szCs w:val="24"/>
        </w:rPr>
        <w:footnoteRef/>
      </w:r>
      <w:r w:rsidRPr="00CC65A7">
        <w:rPr>
          <w:sz w:val="24"/>
          <w:szCs w:val="24"/>
        </w:rPr>
        <w:t xml:space="preserve"> </w:t>
      </w:r>
      <w:r w:rsidRPr="00CC65A7">
        <w:rPr>
          <w:color w:val="000000"/>
          <w:sz w:val="24"/>
          <w:szCs w:val="24"/>
        </w:rPr>
        <w:t xml:space="preserve">Buisman S.S. The Future of EU Substantive Criminal Law:towards a Uniform Set of Criminalisation Principles at the EU level. </w:t>
      </w:r>
      <w:r w:rsidRPr="00CC65A7">
        <w:rPr>
          <w:i/>
          <w:iCs/>
          <w:color w:val="000000"/>
          <w:sz w:val="24"/>
          <w:szCs w:val="24"/>
        </w:rPr>
        <w:t>European journal of crime, criminal law and</w:t>
      </w:r>
      <w:r w:rsidRPr="00CC65A7">
        <w:rPr>
          <w:i/>
          <w:iCs/>
          <w:color w:val="000000"/>
          <w:sz w:val="24"/>
          <w:szCs w:val="24"/>
          <w:lang w:val="en-US"/>
        </w:rPr>
        <w:t xml:space="preserve"> </w:t>
      </w:r>
      <w:r w:rsidRPr="00CC65A7">
        <w:rPr>
          <w:i/>
          <w:iCs/>
          <w:color w:val="000000"/>
          <w:sz w:val="24"/>
          <w:szCs w:val="24"/>
        </w:rPr>
        <w:t xml:space="preserve">criminal justice </w:t>
      </w:r>
      <w:r w:rsidRPr="00CC65A7">
        <w:rPr>
          <w:color w:val="000000"/>
          <w:sz w:val="24"/>
          <w:szCs w:val="24"/>
        </w:rPr>
        <w:t xml:space="preserve">30 (2022) 161–187 29 Jun 2022 </w:t>
      </w:r>
      <w:r w:rsidRPr="00CC65A7">
        <w:rPr>
          <w:color w:val="000000"/>
          <w:sz w:val="24"/>
          <w:szCs w:val="24"/>
          <w:lang w:val="en-US"/>
        </w:rPr>
        <w:t>URL</w:t>
      </w:r>
      <w:r w:rsidRPr="00CC65A7">
        <w:rPr>
          <w:color w:val="000000"/>
          <w:sz w:val="24"/>
          <w:szCs w:val="24"/>
        </w:rPr>
        <w:t>: https://brill.com/view/journals/eccl/30/2/article-p161_004.xml</w:t>
      </w:r>
    </w:p>
    <w:p w14:paraId="16D7A912" w14:textId="77777777" w:rsidR="00594A56" w:rsidRPr="00CC65A7" w:rsidRDefault="00594A56" w:rsidP="00CC65A7">
      <w:pPr>
        <w:pStyle w:val="af"/>
        <w:jc w:val="both"/>
        <w:rPr>
          <w:rFonts w:ascii="Times New Roman" w:hAnsi="Times New Roman"/>
          <w:sz w:val="24"/>
          <w:szCs w:val="24"/>
          <w:lang w:val="uk-UA"/>
        </w:rPr>
      </w:pPr>
    </w:p>
  </w:footnote>
  <w:footnote w:id="27">
    <w:p w14:paraId="6A7DC4F1" w14:textId="77777777" w:rsidR="00594A56" w:rsidRPr="00CC65A7" w:rsidRDefault="00594A56" w:rsidP="00CC65A7">
      <w:pPr>
        <w:rPr>
          <w:sz w:val="24"/>
          <w:szCs w:val="24"/>
        </w:rPr>
      </w:pPr>
      <w:r w:rsidRPr="00CC65A7">
        <w:rPr>
          <w:rStyle w:val="af1"/>
          <w:sz w:val="24"/>
          <w:szCs w:val="24"/>
        </w:rPr>
        <w:footnoteRef/>
      </w:r>
      <w:r w:rsidRPr="00CC65A7">
        <w:rPr>
          <w:sz w:val="24"/>
          <w:szCs w:val="24"/>
        </w:rPr>
        <w:t xml:space="preserve"> </w:t>
      </w:r>
      <w:r w:rsidRPr="00CC65A7">
        <w:rPr>
          <w:color w:val="000000"/>
          <w:sz w:val="24"/>
          <w:szCs w:val="24"/>
        </w:rPr>
        <w:t>Sanctions: Council adds the violation of restrictive measures to the list of EU crimes</w:t>
      </w:r>
      <w:r w:rsidRPr="00CC65A7">
        <w:rPr>
          <w:color w:val="000000"/>
          <w:sz w:val="24"/>
          <w:szCs w:val="24"/>
          <w:lang w:val="en-US"/>
        </w:rPr>
        <w:t xml:space="preserve">. </w:t>
      </w:r>
      <w:r w:rsidRPr="00CC65A7">
        <w:rPr>
          <w:i/>
          <w:iCs/>
          <w:color w:val="000000"/>
          <w:sz w:val="24"/>
          <w:szCs w:val="24"/>
        </w:rPr>
        <w:t>Council of the EU Press release</w:t>
      </w:r>
      <w:r w:rsidRPr="00CC65A7">
        <w:rPr>
          <w:color w:val="000000"/>
          <w:sz w:val="24"/>
          <w:szCs w:val="24"/>
          <w:lang w:val="en-US"/>
        </w:rPr>
        <w:t xml:space="preserve">. </w:t>
      </w:r>
      <w:r w:rsidRPr="00CC65A7">
        <w:rPr>
          <w:color w:val="000000"/>
          <w:sz w:val="24"/>
          <w:szCs w:val="24"/>
        </w:rPr>
        <w:t> 28 November 2022</w:t>
      </w:r>
      <w:r w:rsidRPr="00CC65A7">
        <w:rPr>
          <w:color w:val="000000"/>
          <w:sz w:val="24"/>
          <w:szCs w:val="24"/>
          <w:lang w:val="en-US"/>
        </w:rPr>
        <w:t xml:space="preserve"> </w:t>
      </w:r>
      <w:r w:rsidRPr="00CC65A7">
        <w:rPr>
          <w:color w:val="000000"/>
          <w:sz w:val="24"/>
          <w:szCs w:val="24"/>
        </w:rPr>
        <w:t xml:space="preserve">URL: </w:t>
      </w:r>
      <w:hyperlink r:id="rId21" w:history="1">
        <w:r w:rsidRPr="00CC65A7">
          <w:rPr>
            <w:rStyle w:val="a6"/>
            <w:sz w:val="24"/>
            <w:szCs w:val="24"/>
          </w:rPr>
          <w:t>https://www.consilium.europa.eu/en/press/press-releases/2022/11/28/sanctions-council-adds-the-violation-of-restrictive-measures-to-the-list-of-eu-crimes/</w:t>
        </w:r>
      </w:hyperlink>
    </w:p>
  </w:footnote>
  <w:footnote w:id="28">
    <w:p w14:paraId="75F95499" w14:textId="77777777" w:rsidR="00594A56" w:rsidRPr="00CC65A7" w:rsidRDefault="00594A56" w:rsidP="00CC65A7">
      <w:pPr>
        <w:rPr>
          <w:color w:val="000000" w:themeColor="text1"/>
          <w:sz w:val="24"/>
          <w:szCs w:val="24"/>
        </w:rPr>
      </w:pPr>
      <w:r w:rsidRPr="00CC65A7">
        <w:rPr>
          <w:rStyle w:val="af1"/>
          <w:sz w:val="24"/>
          <w:szCs w:val="24"/>
        </w:rPr>
        <w:footnoteRef/>
      </w:r>
      <w:r w:rsidRPr="00CC65A7">
        <w:rPr>
          <w:sz w:val="24"/>
          <w:szCs w:val="24"/>
        </w:rPr>
        <w:t xml:space="preserve"> </w:t>
      </w:r>
      <w:r w:rsidRPr="00CC65A7">
        <w:rPr>
          <w:color w:val="000000" w:themeColor="text1"/>
          <w:sz w:val="24"/>
          <w:szCs w:val="24"/>
        </w:rPr>
        <w:t xml:space="preserve">Ukraine: The Commission proposes rules on freezing and confiscating assets of oligarchs violating restrictive measures and of criminals. </w:t>
      </w:r>
      <w:hyperlink r:id="rId22" w:history="1">
        <w:r w:rsidRPr="00CC65A7">
          <w:rPr>
            <w:rStyle w:val="a6"/>
            <w:sz w:val="24"/>
            <w:szCs w:val="24"/>
          </w:rPr>
          <w:t>URL:https://ec.europa.eu/commission/presscorner/detail/en/IP_22_3264</w:t>
        </w:r>
      </w:hyperlink>
    </w:p>
  </w:footnote>
  <w:footnote w:id="29">
    <w:p w14:paraId="792F65DE" w14:textId="77777777" w:rsidR="00594A56" w:rsidRPr="00CC65A7" w:rsidRDefault="00594A56" w:rsidP="00CC65A7">
      <w:pPr>
        <w:rPr>
          <w:sz w:val="24"/>
          <w:szCs w:val="24"/>
        </w:rPr>
      </w:pPr>
      <w:r w:rsidRPr="00CC65A7">
        <w:rPr>
          <w:rStyle w:val="af1"/>
          <w:sz w:val="24"/>
          <w:szCs w:val="24"/>
        </w:rPr>
        <w:footnoteRef/>
      </w:r>
      <w:r w:rsidRPr="00CC65A7">
        <w:rPr>
          <w:sz w:val="24"/>
          <w:szCs w:val="24"/>
        </w:rPr>
        <w:t xml:space="preserve"> </w:t>
      </w:r>
      <w:r w:rsidRPr="00CC65A7">
        <w:rPr>
          <w:color w:val="000000"/>
          <w:sz w:val="24"/>
          <w:szCs w:val="24"/>
        </w:rPr>
        <w:t xml:space="preserve">Green paper on the approximation, mutual recognition and enforcement of criminal sanctions in the European Union </w:t>
      </w:r>
      <w:r w:rsidRPr="00CC65A7">
        <w:rPr>
          <w:i/>
          <w:iCs/>
          <w:color w:val="000000"/>
          <w:sz w:val="24"/>
          <w:szCs w:val="24"/>
        </w:rPr>
        <w:t>Document 52004DC0334</w:t>
      </w:r>
      <w:r w:rsidRPr="00CC65A7">
        <w:rPr>
          <w:color w:val="000000"/>
          <w:sz w:val="24"/>
          <w:szCs w:val="24"/>
        </w:rPr>
        <w:t xml:space="preserve"> URL: </w:t>
      </w:r>
      <w:hyperlink r:id="rId23" w:history="1">
        <w:r w:rsidRPr="00CC65A7">
          <w:rPr>
            <w:rStyle w:val="a6"/>
            <w:sz w:val="24"/>
            <w:szCs w:val="24"/>
          </w:rPr>
          <w:t>https://eur-lex.europa.eu/legal-content/EN/TXT/?uri=celex%3A52004DC0334</w:t>
        </w:r>
      </w:hyperlink>
      <w:r w:rsidRPr="00CC65A7">
        <w:rPr>
          <w:color w:val="000000"/>
          <w:sz w:val="24"/>
          <w:szCs w:val="24"/>
        </w:rPr>
        <w:t xml:space="preserve"> </w:t>
      </w:r>
    </w:p>
  </w:footnote>
  <w:footnote w:id="30">
    <w:p w14:paraId="2A63F241" w14:textId="77777777" w:rsidR="00594A56" w:rsidRPr="00CC65A7" w:rsidRDefault="00594A56" w:rsidP="00CC65A7">
      <w:pPr>
        <w:rPr>
          <w:color w:val="000000"/>
          <w:sz w:val="24"/>
          <w:szCs w:val="24"/>
        </w:rPr>
      </w:pPr>
      <w:r w:rsidRPr="00CC65A7">
        <w:rPr>
          <w:rStyle w:val="af1"/>
          <w:sz w:val="24"/>
          <w:szCs w:val="24"/>
        </w:rPr>
        <w:footnoteRef/>
      </w:r>
      <w:r w:rsidRPr="00CC65A7">
        <w:rPr>
          <w:sz w:val="24"/>
          <w:szCs w:val="24"/>
        </w:rPr>
        <w:t xml:space="preserve"> </w:t>
      </w:r>
      <w:r w:rsidRPr="00CC65A7">
        <w:rPr>
          <w:sz w:val="24"/>
          <w:szCs w:val="24"/>
          <w:lang w:val="en-US"/>
        </w:rPr>
        <w:t xml:space="preserve">ECJ, </w:t>
      </w:r>
      <w:r w:rsidRPr="00CC65A7">
        <w:rPr>
          <w:color w:val="000000"/>
          <w:sz w:val="24"/>
          <w:szCs w:val="24"/>
        </w:rPr>
        <w:t>Judgment of the Court of 21 September 1989. Commission of the European Communities v Hellenic Republic. Cf. CJEU, judgment of 21.9.1989 – case 68/88 (Greek Maize Scandal) URL: https://curia.europa.eu/juris/liste.jsf?language=en&amp;jur=C,T,F&amp;num=68/88&amp;td=ALL</w:t>
      </w:r>
    </w:p>
    <w:p w14:paraId="57518426" w14:textId="77777777" w:rsidR="00594A56" w:rsidRPr="00CC65A7" w:rsidRDefault="00594A56" w:rsidP="00CC65A7">
      <w:pPr>
        <w:pStyle w:val="af"/>
        <w:jc w:val="both"/>
        <w:rPr>
          <w:rFonts w:ascii="Times New Roman" w:hAnsi="Times New Roman"/>
          <w:sz w:val="24"/>
          <w:szCs w:val="24"/>
          <w:lang w:val="uk-UA"/>
        </w:rPr>
      </w:pPr>
    </w:p>
  </w:footnote>
  <w:footnote w:id="31">
    <w:p w14:paraId="6D478C27" w14:textId="77777777" w:rsidR="00594A56" w:rsidRPr="00CC65A7" w:rsidRDefault="00594A56" w:rsidP="00CC65A7">
      <w:pPr>
        <w:rPr>
          <w:color w:val="000000"/>
          <w:sz w:val="24"/>
          <w:szCs w:val="24"/>
        </w:rPr>
      </w:pPr>
      <w:r w:rsidRPr="00CC65A7">
        <w:rPr>
          <w:rStyle w:val="af1"/>
          <w:sz w:val="24"/>
          <w:szCs w:val="24"/>
        </w:rPr>
        <w:footnoteRef/>
      </w:r>
      <w:r w:rsidRPr="00CC65A7">
        <w:rPr>
          <w:sz w:val="24"/>
          <w:szCs w:val="24"/>
        </w:rPr>
        <w:t xml:space="preserve"> </w:t>
      </w:r>
      <w:r w:rsidRPr="00CC65A7">
        <w:rPr>
          <w:color w:val="000000"/>
          <w:sz w:val="24"/>
          <w:szCs w:val="24"/>
        </w:rPr>
        <w:t xml:space="preserve">Текст проєкту нового Кримінального кодексу України. (станом на 30.01.2023 року) </w:t>
      </w:r>
    </w:p>
    <w:p w14:paraId="6CD8B903" w14:textId="77777777" w:rsidR="00594A56" w:rsidRPr="00CC65A7" w:rsidRDefault="00594A56" w:rsidP="00CC65A7">
      <w:pPr>
        <w:rPr>
          <w:sz w:val="24"/>
          <w:szCs w:val="24"/>
        </w:rPr>
      </w:pPr>
      <w:r w:rsidRPr="00CC65A7">
        <w:rPr>
          <w:color w:val="000000"/>
          <w:sz w:val="24"/>
          <w:szCs w:val="24"/>
        </w:rPr>
        <w:t xml:space="preserve"> URL: </w:t>
      </w:r>
      <w:hyperlink r:id="rId24" w:history="1">
        <w:r w:rsidRPr="00CC65A7">
          <w:rPr>
            <w:rStyle w:val="a6"/>
            <w:sz w:val="24"/>
            <w:szCs w:val="24"/>
          </w:rPr>
          <w:t>https://newcriminalcode.org.ua/upload/media/2023/01/30/proyekt-kryminalnogo-kodeksu-ukrayiny-stanom-na-30-01-2023.pdf</w:t>
        </w:r>
      </w:hyperlink>
      <w:r w:rsidRPr="00CC65A7">
        <w:rPr>
          <w:color w:val="000000"/>
          <w:sz w:val="24"/>
          <w:szCs w:val="24"/>
        </w:rPr>
        <w:t xml:space="preserve"> </w:t>
      </w:r>
    </w:p>
  </w:footnote>
  <w:footnote w:id="32">
    <w:p w14:paraId="513EAA3D" w14:textId="77777777" w:rsidR="00594A56" w:rsidRPr="00CC65A7" w:rsidRDefault="00594A56" w:rsidP="00CC65A7">
      <w:pPr>
        <w:rPr>
          <w:sz w:val="24"/>
          <w:szCs w:val="24"/>
        </w:rPr>
      </w:pPr>
      <w:r w:rsidRPr="00CC65A7">
        <w:rPr>
          <w:rStyle w:val="af1"/>
          <w:sz w:val="24"/>
          <w:szCs w:val="24"/>
        </w:rPr>
        <w:footnoteRef/>
      </w:r>
      <w:r w:rsidRPr="00CC65A7">
        <w:rPr>
          <w:sz w:val="24"/>
          <w:szCs w:val="24"/>
        </w:rPr>
        <w:t xml:space="preserve"> </w:t>
      </w:r>
      <w:r w:rsidRPr="00CC65A7">
        <w:rPr>
          <w:color w:val="000000"/>
          <w:sz w:val="24"/>
          <w:szCs w:val="24"/>
        </w:rPr>
        <w:t xml:space="preserve">Helmut Satzger, ‘The Harmonisation of Criminal Sanctions in the European Union: A New Approach’ (2019) </w:t>
      </w:r>
      <w:r w:rsidRPr="00CC65A7">
        <w:rPr>
          <w:i/>
          <w:iCs/>
          <w:color w:val="000000"/>
          <w:sz w:val="24"/>
          <w:szCs w:val="24"/>
        </w:rPr>
        <w:t>Eucrim</w:t>
      </w:r>
      <w:r w:rsidRPr="00CC65A7">
        <w:rPr>
          <w:color w:val="000000"/>
          <w:sz w:val="24"/>
          <w:szCs w:val="24"/>
        </w:rPr>
        <w:t xml:space="preserve"> 2:115. DOI</w:t>
      </w:r>
      <w:r w:rsidRPr="00CC65A7">
        <w:rPr>
          <w:color w:val="333333"/>
          <w:sz w:val="24"/>
          <w:szCs w:val="24"/>
          <w:shd w:val="clear" w:color="auto" w:fill="FFFFFF"/>
          <w:lang w:val="en-US"/>
        </w:rPr>
        <w:t xml:space="preserve"> </w:t>
      </w:r>
      <w:hyperlink r:id="rId25" w:history="1">
        <w:r w:rsidRPr="00CC65A7">
          <w:rPr>
            <w:color w:val="000000"/>
            <w:sz w:val="24"/>
            <w:szCs w:val="24"/>
          </w:rPr>
          <w:t>https://doi.org/10.30709/eucrim-2019-007</w:t>
        </w:r>
      </w:hyperlink>
      <w:r w:rsidRPr="00CC65A7">
        <w:rPr>
          <w:color w:val="000000"/>
          <w:sz w:val="24"/>
          <w:szCs w:val="24"/>
        </w:rPr>
        <w:t xml:space="preserve"> </w:t>
      </w:r>
    </w:p>
  </w:footnote>
  <w:footnote w:id="33">
    <w:p w14:paraId="6C15D3A1" w14:textId="77777777" w:rsidR="00594A56" w:rsidRPr="00CC65A7" w:rsidRDefault="00594A56" w:rsidP="00CC65A7">
      <w:pPr>
        <w:rPr>
          <w:color w:val="000000"/>
          <w:sz w:val="24"/>
          <w:szCs w:val="24"/>
        </w:rPr>
      </w:pPr>
      <w:r w:rsidRPr="00CC65A7">
        <w:rPr>
          <w:rStyle w:val="af1"/>
          <w:sz w:val="24"/>
          <w:szCs w:val="24"/>
        </w:rPr>
        <w:footnoteRef/>
      </w:r>
      <w:r w:rsidRPr="00CC65A7">
        <w:rPr>
          <w:sz w:val="24"/>
          <w:szCs w:val="24"/>
        </w:rPr>
        <w:t xml:space="preserve"> </w:t>
      </w:r>
      <w:r w:rsidRPr="00CC65A7">
        <w:rPr>
          <w:color w:val="000000"/>
          <w:sz w:val="24"/>
          <w:szCs w:val="24"/>
        </w:rPr>
        <w:t>Konstantinos</w:t>
      </w:r>
      <w:r w:rsidRPr="00CC65A7">
        <w:rPr>
          <w:sz w:val="24"/>
          <w:szCs w:val="24"/>
        </w:rPr>
        <w:t> </w:t>
      </w:r>
      <w:r w:rsidRPr="00CC65A7">
        <w:rPr>
          <w:color w:val="000000"/>
          <w:sz w:val="24"/>
          <w:szCs w:val="24"/>
        </w:rPr>
        <w:t>Zoumpoulakis</w:t>
      </w:r>
      <w:r w:rsidRPr="00CC65A7">
        <w:rPr>
          <w:color w:val="000000"/>
          <w:sz w:val="24"/>
          <w:szCs w:val="24"/>
          <w:lang w:val="en-US"/>
        </w:rPr>
        <w:t xml:space="preserve">, </w:t>
      </w:r>
      <w:r w:rsidRPr="00CC65A7">
        <w:rPr>
          <w:color w:val="000000"/>
          <w:sz w:val="24"/>
          <w:szCs w:val="24"/>
        </w:rPr>
        <w:t xml:space="preserve">Approximation of criminal sanctions in the European Union: A wild goose chase? </w:t>
      </w:r>
      <w:r w:rsidRPr="00CC65A7">
        <w:rPr>
          <w:i/>
          <w:iCs/>
          <w:color w:val="000000"/>
          <w:sz w:val="24"/>
          <w:szCs w:val="24"/>
        </w:rPr>
        <w:t>New Journal of European Criminal Law</w:t>
      </w:r>
      <w:r w:rsidRPr="00CC65A7">
        <w:rPr>
          <w:color w:val="000000"/>
          <w:sz w:val="24"/>
          <w:szCs w:val="24"/>
        </w:rPr>
        <w:t>  Vol.13, 2022, First published online August 11, 2022</w:t>
      </w:r>
      <w:r w:rsidRPr="00CC65A7">
        <w:rPr>
          <w:color w:val="000000"/>
          <w:sz w:val="24"/>
          <w:szCs w:val="24"/>
          <w:lang w:val="en-US"/>
        </w:rPr>
        <w:t xml:space="preserve">, </w:t>
      </w:r>
      <w:r w:rsidRPr="00CC65A7">
        <w:rPr>
          <w:color w:val="000000"/>
          <w:sz w:val="24"/>
          <w:szCs w:val="24"/>
        </w:rPr>
        <w:t xml:space="preserve">p333-345 URL </w:t>
      </w:r>
      <w:hyperlink r:id="rId26" w:history="1">
        <w:r w:rsidRPr="00CC65A7">
          <w:rPr>
            <w:rStyle w:val="a6"/>
            <w:rFonts w:eastAsiaTheme="majorEastAsia"/>
            <w:sz w:val="24"/>
            <w:szCs w:val="24"/>
          </w:rPr>
          <w:t>https://journals.sagepub.com/toc/njea/13/3</w:t>
        </w:r>
      </w:hyperlink>
      <w:r w:rsidRPr="00CC65A7">
        <w:rPr>
          <w:color w:val="000000"/>
          <w:sz w:val="24"/>
          <w:szCs w:val="24"/>
          <w:lang w:val="en-US"/>
        </w:rPr>
        <w:t xml:space="preserve"> </w:t>
      </w:r>
      <w:hyperlink r:id="rId27" w:history="1">
        <w:r w:rsidRPr="00CC65A7">
          <w:rPr>
            <w:rStyle w:val="a6"/>
            <w:rFonts w:eastAsiaTheme="majorEastAsia"/>
            <w:sz w:val="24"/>
            <w:szCs w:val="24"/>
          </w:rPr>
          <w:t>https://doi.org/10.1177/20322844221119732</w:t>
        </w:r>
      </w:hyperlink>
    </w:p>
    <w:p w14:paraId="1C64AFCA" w14:textId="77777777" w:rsidR="00594A56" w:rsidRPr="00CC65A7" w:rsidRDefault="00594A56" w:rsidP="00CC65A7">
      <w:pPr>
        <w:rPr>
          <w:sz w:val="24"/>
          <w:szCs w:val="24"/>
        </w:rPr>
      </w:pPr>
      <w:r w:rsidRPr="00CC65A7">
        <w:rPr>
          <w:color w:val="000000"/>
          <w:sz w:val="24"/>
          <w:szCs w:val="24"/>
        </w:rPr>
        <w:t xml:space="preserve">Green paper on the approximation, mutual recognition and enforcement of criminal sanctions in the European Union </w:t>
      </w:r>
      <w:r w:rsidRPr="00CC65A7">
        <w:rPr>
          <w:i/>
          <w:iCs/>
          <w:color w:val="000000"/>
          <w:sz w:val="24"/>
          <w:szCs w:val="24"/>
        </w:rPr>
        <w:t>Document 52004DC0334</w:t>
      </w:r>
      <w:r w:rsidRPr="00CC65A7">
        <w:rPr>
          <w:color w:val="000000"/>
          <w:sz w:val="24"/>
          <w:szCs w:val="24"/>
        </w:rPr>
        <w:t xml:space="preserve"> URL: </w:t>
      </w:r>
      <w:hyperlink r:id="rId28" w:history="1">
        <w:r w:rsidRPr="00CC65A7">
          <w:rPr>
            <w:rStyle w:val="a6"/>
            <w:sz w:val="24"/>
            <w:szCs w:val="24"/>
          </w:rPr>
          <w:t>https://eur-lex.europa.eu/legal-content/EN/TXT/?uri=celex%3A52004DC0334</w:t>
        </w:r>
      </w:hyperlink>
      <w:r w:rsidRPr="00CC65A7">
        <w:rPr>
          <w:color w:val="000000"/>
          <w:sz w:val="24"/>
          <w:szCs w:val="24"/>
        </w:rPr>
        <w:t xml:space="preserve"> (in English).</w:t>
      </w:r>
    </w:p>
    <w:p w14:paraId="5DB8AC3A" w14:textId="77777777" w:rsidR="00594A56" w:rsidRPr="00CC65A7" w:rsidRDefault="00594A56" w:rsidP="00CC65A7">
      <w:pPr>
        <w:pStyle w:val="af8"/>
        <w:spacing w:before="0" w:beforeAutospacing="0" w:after="0" w:afterAutospacing="0"/>
        <w:ind w:firstLine="480"/>
        <w:jc w:val="both"/>
        <w:textAlignment w:val="baseline"/>
        <w:rPr>
          <w:rStyle w:val="apple-converted-space"/>
          <w:color w:val="000000"/>
          <w:lang w:val="en-US"/>
        </w:rPr>
      </w:pPr>
    </w:p>
    <w:p w14:paraId="10B410BA" w14:textId="77777777" w:rsidR="00594A56" w:rsidRPr="00CC65A7" w:rsidRDefault="00594A56" w:rsidP="00CC65A7">
      <w:pPr>
        <w:pStyle w:val="af"/>
        <w:jc w:val="both"/>
        <w:rPr>
          <w:rFonts w:ascii="Times New Roman" w:hAnsi="Times New Roman"/>
          <w:sz w:val="24"/>
          <w:szCs w:val="24"/>
        </w:rPr>
      </w:pPr>
    </w:p>
  </w:footnote>
  <w:footnote w:id="34">
    <w:p w14:paraId="66F2795F" w14:textId="77777777" w:rsidR="00594A56" w:rsidRPr="00CC65A7" w:rsidRDefault="00594A56" w:rsidP="00CC65A7">
      <w:pPr>
        <w:pStyle w:val="af8"/>
        <w:spacing w:before="0" w:beforeAutospacing="0" w:after="0" w:afterAutospacing="0"/>
        <w:jc w:val="both"/>
        <w:rPr>
          <w:color w:val="333333"/>
          <w:lang w:val="en-US"/>
        </w:rPr>
      </w:pPr>
      <w:r w:rsidRPr="00CC65A7">
        <w:rPr>
          <w:rStyle w:val="af1"/>
        </w:rPr>
        <w:footnoteRef/>
      </w:r>
      <w:r w:rsidRPr="00CC65A7">
        <w:rPr>
          <w:lang w:val="en-US"/>
        </w:rPr>
        <w:t xml:space="preserve"> </w:t>
      </w:r>
      <w:r w:rsidRPr="00CC65A7">
        <w:rPr>
          <w:rStyle w:val="c-bibliographic-informationvalue"/>
          <w:color w:val="333333"/>
          <w:lang w:val="en-US"/>
        </w:rPr>
        <w:t>Adán Nieto Martín, Global Criminal Law</w:t>
      </w:r>
      <w:r w:rsidRPr="00CC65A7">
        <w:rPr>
          <w:lang w:val="en-US"/>
        </w:rPr>
        <w:t xml:space="preserve">. </w:t>
      </w:r>
      <w:r w:rsidRPr="00CC65A7">
        <w:rPr>
          <w:rStyle w:val="c-bibliographic-informationvalue"/>
          <w:color w:val="333333"/>
          <w:lang w:val="en-US"/>
        </w:rPr>
        <w:t xml:space="preserve">Postnational Criminal Justice in the Twenty-First Century. Palgrave Macmillan Cham, 2022 DOI: </w:t>
      </w:r>
      <w:r w:rsidRPr="00CC65A7">
        <w:rPr>
          <w:lang w:val="en-US"/>
        </w:rPr>
        <w:t xml:space="preserve"> </w:t>
      </w:r>
      <w:hyperlink r:id="rId29" w:history="1">
        <w:r w:rsidRPr="00CC65A7">
          <w:rPr>
            <w:rStyle w:val="a6"/>
            <w:lang w:val="en-US"/>
          </w:rPr>
          <w:t>https://doi.org/10.1007/978-3-030-84831-6</w:t>
        </w:r>
        <w:r w:rsidRPr="00CC65A7">
          <w:rPr>
            <w:rStyle w:val="a6"/>
            <w:lang w:val="uk-UA"/>
          </w:rPr>
          <w:t xml:space="preserve"> - </w:t>
        </w:r>
        <w:r w:rsidRPr="00CC65A7">
          <w:rPr>
            <w:rStyle w:val="a6"/>
            <w:lang w:val="en-US"/>
          </w:rPr>
          <w:t>p.p</w:t>
        </w:r>
      </w:hyperlink>
      <w:r w:rsidRPr="00CC65A7">
        <w:rPr>
          <w:rStyle w:val="c-bibliographic-informationvalue"/>
          <w:color w:val="333333"/>
          <w:lang w:val="en-US"/>
        </w:rPr>
        <w:t>. 102-103.</w:t>
      </w:r>
    </w:p>
    <w:p w14:paraId="7F272E7D" w14:textId="77777777" w:rsidR="00594A56" w:rsidRPr="00CC65A7" w:rsidRDefault="00594A56" w:rsidP="00CC65A7">
      <w:pPr>
        <w:pStyle w:val="af"/>
        <w:jc w:val="both"/>
        <w:rPr>
          <w:rFonts w:ascii="Times New Roman" w:hAnsi="Times New Roman"/>
          <w:sz w:val="24"/>
          <w:szCs w:val="24"/>
          <w:lang w:val="uk-UA"/>
        </w:rPr>
      </w:pPr>
    </w:p>
  </w:footnote>
  <w:footnote w:id="35">
    <w:p w14:paraId="3C9935DD" w14:textId="4350D279" w:rsidR="001E2D5E" w:rsidRPr="00CC65A7" w:rsidRDefault="001E2D5E" w:rsidP="00CC65A7">
      <w:pPr>
        <w:pStyle w:val="af"/>
        <w:jc w:val="both"/>
        <w:rPr>
          <w:rStyle w:val="a6"/>
          <w:rFonts w:ascii="Times New Roman" w:eastAsia="Times New Roman" w:hAnsi="Times New Roman"/>
          <w:color w:val="auto"/>
          <w:sz w:val="24"/>
          <w:szCs w:val="24"/>
          <w:u w:val="none"/>
          <w:lang w:val="uk-UA" w:eastAsia="ru-RU"/>
        </w:rPr>
      </w:pPr>
      <w:r w:rsidRPr="00CC65A7">
        <w:rPr>
          <w:rStyle w:val="af1"/>
          <w:rFonts w:ascii="Times New Roman" w:hAnsi="Times New Roman"/>
          <w:sz w:val="24"/>
          <w:szCs w:val="24"/>
        </w:rPr>
        <w:footnoteRef/>
      </w:r>
      <w:r w:rsidRPr="00CC65A7">
        <w:rPr>
          <w:rFonts w:ascii="Times New Roman" w:hAnsi="Times New Roman"/>
          <w:sz w:val="24"/>
          <w:szCs w:val="24"/>
          <w:lang w:val="en-US"/>
        </w:rPr>
        <w:t xml:space="preserve"> Communication from the Commission to the European Parliament, the Council, the European Economic and Social Committee and the Committee of the Regions. Delivering an area of freedom, security and justice for Europe’s citizens // Action Plan implementing the Stockholm Programme</w:t>
      </w:r>
      <w:r w:rsidRPr="00CC65A7">
        <w:rPr>
          <w:rFonts w:ascii="Times New Roman" w:hAnsi="Times New Roman"/>
          <w:sz w:val="24"/>
          <w:szCs w:val="24"/>
          <w:lang w:val="uk-UA"/>
        </w:rPr>
        <w:t>.</w:t>
      </w:r>
      <w:r w:rsidRPr="00CC65A7">
        <w:rPr>
          <w:rFonts w:ascii="Times New Roman" w:hAnsi="Times New Roman"/>
          <w:sz w:val="24"/>
          <w:szCs w:val="24"/>
          <w:lang w:val="en-US"/>
        </w:rPr>
        <w:t xml:space="preserve"> </w:t>
      </w:r>
      <w:r w:rsidRPr="00CC65A7">
        <w:rPr>
          <w:rStyle w:val="a6"/>
          <w:rFonts w:ascii="Times New Roman" w:eastAsia="Times New Roman" w:hAnsi="Times New Roman"/>
          <w:color w:val="auto"/>
          <w:sz w:val="24"/>
          <w:szCs w:val="24"/>
          <w:u w:val="none"/>
          <w:lang w:val="uk-UA" w:eastAsia="ru-RU"/>
        </w:rPr>
        <w:t>URL:</w:t>
      </w:r>
      <w:r w:rsidRPr="00CC65A7">
        <w:rPr>
          <w:rStyle w:val="a6"/>
          <w:rFonts w:ascii="Times New Roman" w:eastAsia="Times New Roman" w:hAnsi="Times New Roman"/>
          <w:color w:val="auto"/>
          <w:sz w:val="24"/>
          <w:szCs w:val="24"/>
          <w:u w:val="none"/>
          <w:lang w:eastAsia="ru-RU"/>
        </w:rPr>
        <w:t xml:space="preserve"> </w:t>
      </w:r>
      <w:r w:rsidRPr="00CC65A7">
        <w:rPr>
          <w:rStyle w:val="a6"/>
          <w:rFonts w:ascii="Times New Roman" w:eastAsia="Times New Roman" w:hAnsi="Times New Roman"/>
          <w:color w:val="auto"/>
          <w:sz w:val="24"/>
          <w:szCs w:val="24"/>
          <w:u w:val="none"/>
          <w:lang w:val="uk-UA" w:eastAsia="ru-RU"/>
        </w:rPr>
        <w:t>https://eur-lex.europa.eu/legal-content/EN/ALL/?uri=COM:2010:0171:FIN</w:t>
      </w:r>
    </w:p>
  </w:footnote>
  <w:footnote w:id="36">
    <w:p w14:paraId="4E5B3F80" w14:textId="49682EB8" w:rsidR="001E2D5E" w:rsidRPr="00CC65A7" w:rsidRDefault="001E2D5E" w:rsidP="00CC65A7">
      <w:pPr>
        <w:pStyle w:val="af"/>
        <w:jc w:val="both"/>
        <w:rPr>
          <w:rFonts w:ascii="Times New Roman" w:hAnsi="Times New Roman"/>
          <w:sz w:val="24"/>
          <w:szCs w:val="24"/>
          <w:lang w:val="uk-UA"/>
        </w:rPr>
      </w:pPr>
      <w:r w:rsidRPr="00CC65A7">
        <w:rPr>
          <w:rStyle w:val="af1"/>
          <w:rFonts w:ascii="Times New Roman" w:hAnsi="Times New Roman"/>
          <w:sz w:val="24"/>
          <w:szCs w:val="24"/>
        </w:rPr>
        <w:footnoteRef/>
      </w:r>
      <w:r w:rsidRPr="00CC65A7">
        <w:rPr>
          <w:rFonts w:ascii="Times New Roman" w:hAnsi="Times New Roman"/>
          <w:sz w:val="24"/>
          <w:szCs w:val="24"/>
          <w:lang w:val="en-US"/>
        </w:rPr>
        <w:t xml:space="preserve"> STRATEGIC GUIDELINES for legislative and operational planning within the area of freedom, security and justice adopted by the European Council by</w:t>
      </w:r>
      <w:r w:rsidRPr="00CC65A7">
        <w:rPr>
          <w:rFonts w:ascii="Times New Roman" w:hAnsi="Times New Roman"/>
          <w:sz w:val="24"/>
          <w:szCs w:val="24"/>
          <w:lang w:val="uk-UA"/>
        </w:rPr>
        <w:t xml:space="preserve"> 26/</w:t>
      </w:r>
      <w:r w:rsidRPr="00CC65A7">
        <w:rPr>
          <w:rFonts w:ascii="Times New Roman" w:hAnsi="Times New Roman"/>
          <w:sz w:val="24"/>
          <w:szCs w:val="24"/>
          <w:lang w:val="en-US"/>
        </w:rPr>
        <w:t>27 June 2014</w:t>
      </w:r>
      <w:r w:rsidRPr="00CC65A7">
        <w:rPr>
          <w:rFonts w:ascii="Times New Roman" w:hAnsi="Times New Roman"/>
          <w:sz w:val="24"/>
          <w:szCs w:val="24"/>
          <w:lang w:val="uk-UA"/>
        </w:rPr>
        <w:t xml:space="preserve">. </w:t>
      </w:r>
      <w:r w:rsidRPr="00CC65A7">
        <w:rPr>
          <w:rStyle w:val="a6"/>
          <w:rFonts w:ascii="Times New Roman" w:eastAsia="Times New Roman" w:hAnsi="Times New Roman"/>
          <w:color w:val="auto"/>
          <w:sz w:val="24"/>
          <w:szCs w:val="24"/>
          <w:u w:val="none"/>
          <w:lang w:val="uk-UA" w:eastAsia="ru-RU"/>
        </w:rPr>
        <w:t xml:space="preserve">URL: </w:t>
      </w:r>
      <w:hyperlink r:id="rId30" w:history="1">
        <w:r w:rsidRPr="00CC65A7">
          <w:rPr>
            <w:rStyle w:val="a6"/>
            <w:rFonts w:ascii="Times New Roman" w:eastAsia="Times New Roman" w:hAnsi="Times New Roman"/>
            <w:color w:val="auto"/>
            <w:sz w:val="24"/>
            <w:szCs w:val="24"/>
            <w:u w:val="none"/>
            <w:lang w:val="uk-UA" w:eastAsia="ru-RU"/>
          </w:rPr>
          <w:t>https://data.consilium.europa.eu/doc/document/ST-79-2014-INIT/en/pdf</w:t>
        </w:r>
      </w:hyperlink>
      <w:r w:rsidRPr="00CC65A7">
        <w:rPr>
          <w:rStyle w:val="a6"/>
          <w:rFonts w:ascii="Times New Roman" w:eastAsia="Times New Roman" w:hAnsi="Times New Roman"/>
          <w:color w:val="auto"/>
          <w:sz w:val="24"/>
          <w:szCs w:val="24"/>
          <w:u w:val="none"/>
          <w:lang w:val="uk-UA" w:eastAsia="ru-RU"/>
        </w:rPr>
        <w:t xml:space="preserve"> ; </w:t>
      </w:r>
      <w:r w:rsidRPr="00CC65A7">
        <w:rPr>
          <w:rFonts w:ascii="Times New Roman" w:hAnsi="Times New Roman"/>
          <w:sz w:val="24"/>
          <w:szCs w:val="24"/>
          <w:lang w:val="en-US"/>
        </w:rPr>
        <w:t>Council FRAMEWORK DECISION 2002/584/JHA of 13 June 2002on the European Arrest Warrant and surrender procedures between Member State</w:t>
      </w:r>
      <w:r w:rsidRPr="00CC65A7">
        <w:rPr>
          <w:rFonts w:ascii="Times New Roman" w:hAnsi="Times New Roman"/>
          <w:sz w:val="24"/>
          <w:szCs w:val="24"/>
          <w:lang w:val="uk-UA"/>
        </w:rPr>
        <w:t>.</w:t>
      </w:r>
      <w:r w:rsidRPr="00CC65A7">
        <w:rPr>
          <w:rFonts w:ascii="Times New Roman" w:hAnsi="Times New Roman"/>
          <w:sz w:val="24"/>
          <w:szCs w:val="24"/>
          <w:lang w:val="en-US"/>
        </w:rPr>
        <w:t>;  Council FRAMEWORK DECISION 2008/947/JHA 27 November 2008 on the application of the principle of mutual recognition to judgments and probation decisions with a view to the supervision of probation measures and alternative sanctions</w:t>
      </w:r>
      <w:r w:rsidRPr="00CC65A7">
        <w:rPr>
          <w:rFonts w:ascii="Times New Roman" w:hAnsi="Times New Roman"/>
          <w:sz w:val="24"/>
          <w:szCs w:val="24"/>
          <w:lang w:val="uk-UA"/>
        </w:rPr>
        <w:t xml:space="preserve"> ; </w:t>
      </w:r>
      <w:r w:rsidRPr="00CC65A7">
        <w:rPr>
          <w:rFonts w:ascii="Times New Roman" w:hAnsi="Times New Roman"/>
          <w:sz w:val="24"/>
          <w:szCs w:val="24"/>
          <w:lang w:val="en-US"/>
        </w:rPr>
        <w:t>DIRECTIVE 2014/62/EU 15 May 2014 of the European Parliament and of the Council on the protection of the euro and other currencies against counterfeiting by criminal law</w:t>
      </w:r>
      <w:r w:rsidRPr="00CC65A7">
        <w:rPr>
          <w:rFonts w:ascii="Times New Roman" w:hAnsi="Times New Roman"/>
          <w:sz w:val="24"/>
          <w:szCs w:val="24"/>
          <w:lang w:val="uk-UA"/>
        </w:rPr>
        <w:t xml:space="preserve"> </w:t>
      </w:r>
      <w:r w:rsidRPr="00CC65A7">
        <w:rPr>
          <w:rFonts w:ascii="Times New Roman" w:hAnsi="Times New Roman"/>
          <w:sz w:val="24"/>
          <w:szCs w:val="24"/>
          <w:lang w:val="en-US"/>
        </w:rPr>
        <w:t>; Council FRAMEWORK DECISION 2003/568/JHA 22 July 2003 on combating corruption in the private sector</w:t>
      </w:r>
      <w:r w:rsidRPr="00CC65A7">
        <w:rPr>
          <w:rFonts w:ascii="Times New Roman" w:hAnsi="Times New Roman"/>
          <w:sz w:val="24"/>
          <w:szCs w:val="24"/>
          <w:lang w:val="uk-UA"/>
        </w:rPr>
        <w:t xml:space="preserve"> </w:t>
      </w:r>
      <w:r w:rsidRPr="00CC65A7">
        <w:rPr>
          <w:rFonts w:ascii="Times New Roman" w:hAnsi="Times New Roman"/>
          <w:sz w:val="24"/>
          <w:szCs w:val="24"/>
          <w:lang w:val="en-US"/>
        </w:rPr>
        <w:t>; DIRECTIVE 2014/42/EU 3 April 2014 of the European Parliament and of the Council on the freezing and confiscation of instrumentalities and proceeds of crime in the European Union</w:t>
      </w:r>
      <w:r w:rsidRPr="00CC65A7">
        <w:rPr>
          <w:rFonts w:ascii="Times New Roman" w:hAnsi="Times New Roman"/>
          <w:sz w:val="24"/>
          <w:szCs w:val="24"/>
          <w:lang w:val="uk-UA"/>
        </w:rPr>
        <w:t xml:space="preserve"> </w:t>
      </w:r>
      <w:r w:rsidRPr="00CC65A7">
        <w:rPr>
          <w:rFonts w:ascii="Times New Roman" w:hAnsi="Times New Roman"/>
          <w:sz w:val="24"/>
          <w:szCs w:val="24"/>
          <w:lang w:val="en-US"/>
        </w:rPr>
        <w:t>;  DIRECTIVE 2014/57/EU 16 April 2014 of the European Parliament and of the Council on criminal sanctions for market abuse</w:t>
      </w:r>
      <w:r w:rsidRPr="00CC65A7">
        <w:rPr>
          <w:rFonts w:ascii="Times New Roman" w:hAnsi="Times New Roman"/>
          <w:sz w:val="24"/>
          <w:szCs w:val="24"/>
          <w:lang w:val="uk-UA"/>
        </w:rPr>
        <w:t xml:space="preserve"> </w:t>
      </w:r>
      <w:r w:rsidRPr="00CC65A7">
        <w:rPr>
          <w:rFonts w:ascii="Times New Roman" w:hAnsi="Times New Roman"/>
          <w:sz w:val="24"/>
          <w:szCs w:val="24"/>
          <w:lang w:val="en-US"/>
        </w:rPr>
        <w:t>; DIRECTIVE 2013/40/EU 12 August 2013 of the European Parliament and of the Council on attacks against information systems</w:t>
      </w:r>
      <w:r w:rsidRPr="00CC65A7">
        <w:rPr>
          <w:rFonts w:ascii="Times New Roman" w:hAnsi="Times New Roman"/>
          <w:sz w:val="24"/>
          <w:szCs w:val="24"/>
          <w:lang w:val="uk-UA"/>
        </w:rPr>
        <w:t xml:space="preserve"> </w:t>
      </w:r>
      <w:r w:rsidRPr="00CC65A7">
        <w:rPr>
          <w:rFonts w:ascii="Times New Roman" w:hAnsi="Times New Roman"/>
          <w:sz w:val="24"/>
          <w:szCs w:val="24"/>
          <w:lang w:val="en-US"/>
        </w:rPr>
        <w:t>; DIRECTIVE 2011/36/EU 5 April 2011 of the European Parliament and of the Council on preventing and combating trafficking in human beings and protecting its victims</w:t>
      </w:r>
      <w:r w:rsidRPr="00CC65A7">
        <w:rPr>
          <w:rFonts w:ascii="Times New Roman" w:hAnsi="Times New Roman"/>
          <w:sz w:val="24"/>
          <w:szCs w:val="24"/>
          <w:lang w:val="uk-UA"/>
        </w:rPr>
        <w:t xml:space="preserve"> </w:t>
      </w:r>
      <w:r w:rsidRPr="00CC65A7">
        <w:rPr>
          <w:rFonts w:ascii="Times New Roman" w:hAnsi="Times New Roman"/>
          <w:sz w:val="24"/>
          <w:szCs w:val="24"/>
          <w:lang w:val="en-US"/>
        </w:rPr>
        <w:t>; DIRECTIVE 2017/541 15 March 2017 of the European Parliament and of the Council on combating terrorism</w:t>
      </w:r>
      <w:r w:rsidRPr="00CC65A7">
        <w:rPr>
          <w:rFonts w:ascii="Times New Roman" w:hAnsi="Times New Roman"/>
          <w:sz w:val="24"/>
          <w:szCs w:val="24"/>
          <w:lang w:val="uk-UA"/>
        </w:rPr>
        <w:t xml:space="preserve"> </w:t>
      </w:r>
      <w:r w:rsidRPr="00CC65A7">
        <w:rPr>
          <w:rFonts w:ascii="Times New Roman" w:hAnsi="Times New Roman"/>
          <w:sz w:val="24"/>
          <w:szCs w:val="24"/>
          <w:lang w:val="en-US"/>
        </w:rPr>
        <w:t>; Council FRAMEWORK DECISION 2008/913/JHA 28 November 2008 on 66 combating certain forms and expressions of racism and xenophobia</w:t>
      </w:r>
      <w:r w:rsidRPr="00CC65A7">
        <w:rPr>
          <w:rFonts w:ascii="Times New Roman" w:hAnsi="Times New Roman"/>
          <w:sz w:val="24"/>
          <w:szCs w:val="24"/>
          <w:lang w:val="uk-UA"/>
        </w:rPr>
        <w:t xml:space="preserve"> </w:t>
      </w:r>
      <w:r w:rsidRPr="00CC65A7">
        <w:rPr>
          <w:rFonts w:ascii="Times New Roman" w:hAnsi="Times New Roman"/>
          <w:sz w:val="24"/>
          <w:szCs w:val="24"/>
          <w:lang w:val="en-US"/>
        </w:rPr>
        <w:t>; DIRECTIVE 2008/99/EC 19 November 2008 of the European Parliament and of the Council on the protection of the environment through criminal law</w:t>
      </w:r>
      <w:r w:rsidRPr="00CC65A7">
        <w:rPr>
          <w:rFonts w:ascii="Times New Roman" w:hAnsi="Times New Roman"/>
          <w:sz w:val="24"/>
          <w:szCs w:val="24"/>
          <w:lang w:val="uk-UA"/>
        </w:rPr>
        <w:t xml:space="preserve">. </w:t>
      </w:r>
      <w:r w:rsidRPr="00CC65A7">
        <w:rPr>
          <w:rStyle w:val="a6"/>
          <w:rFonts w:ascii="Times New Roman" w:eastAsia="Times New Roman" w:hAnsi="Times New Roman"/>
          <w:color w:val="auto"/>
          <w:sz w:val="24"/>
          <w:szCs w:val="24"/>
          <w:u w:val="none"/>
          <w:lang w:val="uk-UA" w:eastAsia="ru-RU"/>
        </w:rPr>
        <w:t>URL: https://eur-lex.europa.eu/homepage.html</w:t>
      </w:r>
    </w:p>
  </w:footnote>
  <w:footnote w:id="37">
    <w:p w14:paraId="1D9FF887" w14:textId="5CAA21BC" w:rsidR="001E2D5E" w:rsidRPr="00CC65A7" w:rsidRDefault="001E2D5E" w:rsidP="00CC65A7">
      <w:pPr>
        <w:pStyle w:val="af"/>
        <w:jc w:val="both"/>
        <w:rPr>
          <w:rFonts w:ascii="Times New Roman" w:hAnsi="Times New Roman"/>
          <w:sz w:val="24"/>
          <w:szCs w:val="24"/>
          <w:lang w:val="uk-UA"/>
        </w:rPr>
      </w:pPr>
      <w:r w:rsidRPr="00CC65A7">
        <w:rPr>
          <w:rStyle w:val="af1"/>
          <w:rFonts w:ascii="Times New Roman" w:hAnsi="Times New Roman"/>
          <w:sz w:val="24"/>
          <w:szCs w:val="24"/>
        </w:rPr>
        <w:footnoteRef/>
      </w:r>
      <w:r w:rsidRPr="00CC65A7">
        <w:rPr>
          <w:rFonts w:ascii="Times New Roman" w:hAnsi="Times New Roman"/>
          <w:sz w:val="24"/>
          <w:szCs w:val="24"/>
        </w:rPr>
        <w:t xml:space="preserve"> Антипов В. І. Кримінальний кодекс України в контексті міжнародного права та практики Європейського суду з прав людини: правові норми, судова практика, науково-практичний коментар. Харків : Право, 2019. 1200 с</w:t>
      </w:r>
      <w:r w:rsidRPr="00CC65A7">
        <w:rPr>
          <w:rFonts w:ascii="Times New Roman" w:hAnsi="Times New Roman"/>
          <w:sz w:val="24"/>
          <w:szCs w:val="24"/>
          <w:lang w:val="uk-UA"/>
        </w:rPr>
        <w:t>.</w:t>
      </w:r>
    </w:p>
  </w:footnote>
  <w:footnote w:id="38">
    <w:p w14:paraId="1D0E2385" w14:textId="77777777" w:rsidR="001E2D5E" w:rsidRPr="00CC65A7" w:rsidRDefault="001E2D5E" w:rsidP="00CC65A7">
      <w:pPr>
        <w:pStyle w:val="af"/>
        <w:jc w:val="both"/>
        <w:rPr>
          <w:rFonts w:ascii="Times New Roman" w:hAnsi="Times New Roman"/>
          <w:sz w:val="24"/>
          <w:szCs w:val="24"/>
          <w:lang w:val="uk-UA"/>
        </w:rPr>
      </w:pPr>
      <w:r w:rsidRPr="00CC65A7">
        <w:rPr>
          <w:rStyle w:val="af1"/>
          <w:rFonts w:ascii="Times New Roman" w:hAnsi="Times New Roman"/>
          <w:sz w:val="24"/>
          <w:szCs w:val="24"/>
        </w:rPr>
        <w:footnoteRef/>
      </w:r>
      <w:r w:rsidRPr="00CC65A7">
        <w:rPr>
          <w:rFonts w:ascii="Times New Roman" w:hAnsi="Times New Roman"/>
          <w:sz w:val="24"/>
          <w:szCs w:val="24"/>
        </w:rPr>
        <w:t xml:space="preserve"> </w:t>
      </w:r>
      <w:r w:rsidRPr="00CC65A7">
        <w:rPr>
          <w:rFonts w:ascii="Times New Roman" w:hAnsi="Times New Roman"/>
          <w:sz w:val="24"/>
          <w:szCs w:val="24"/>
          <w:lang w:val="uk-UA"/>
        </w:rPr>
        <w:t>Перелік договорів Ради Європи</w:t>
      </w:r>
      <w:r w:rsidRPr="00CC65A7">
        <w:rPr>
          <w:rFonts w:ascii="Times New Roman" w:hAnsi="Times New Roman"/>
          <w:sz w:val="24"/>
          <w:szCs w:val="24"/>
        </w:rPr>
        <w:t>. Ста</w:t>
      </w:r>
      <w:r w:rsidRPr="00CC65A7">
        <w:rPr>
          <w:rFonts w:ascii="Times New Roman" w:hAnsi="Times New Roman"/>
          <w:sz w:val="24"/>
          <w:szCs w:val="24"/>
          <w:lang w:val="uk-UA"/>
        </w:rPr>
        <w:t>ном</w:t>
      </w:r>
      <w:r w:rsidRPr="00CC65A7">
        <w:rPr>
          <w:rFonts w:ascii="Times New Roman" w:hAnsi="Times New Roman"/>
          <w:sz w:val="24"/>
          <w:szCs w:val="24"/>
        </w:rPr>
        <w:t xml:space="preserve"> на 06/10/2020. </w:t>
      </w:r>
      <w:r w:rsidRPr="00CC65A7">
        <w:rPr>
          <w:rFonts w:ascii="Times New Roman" w:hAnsi="Times New Roman"/>
          <w:sz w:val="24"/>
          <w:szCs w:val="24"/>
          <w:lang w:val="en-US"/>
        </w:rPr>
        <w:t>URL</w:t>
      </w:r>
      <w:r w:rsidRPr="00CC65A7">
        <w:rPr>
          <w:rFonts w:ascii="Times New Roman" w:hAnsi="Times New Roman"/>
          <w:sz w:val="24"/>
          <w:szCs w:val="24"/>
        </w:rPr>
        <w:t xml:space="preserve">: </w:t>
      </w:r>
      <w:hyperlink r:id="rId31" w:history="1">
        <w:r w:rsidRPr="00CC65A7">
          <w:rPr>
            <w:rFonts w:ascii="Times New Roman" w:hAnsi="Times New Roman"/>
            <w:sz w:val="24"/>
            <w:szCs w:val="24"/>
            <w:lang w:val="uk-UA"/>
          </w:rPr>
          <w:t>https://www.coe.int/ru/web/conventions/full-list</w:t>
        </w:r>
      </w:hyperlink>
    </w:p>
    <w:p w14:paraId="42755BF0" w14:textId="77777777" w:rsidR="001E2D5E" w:rsidRPr="00CC65A7" w:rsidRDefault="001E2D5E" w:rsidP="00CC65A7">
      <w:pPr>
        <w:pStyle w:val="af"/>
        <w:jc w:val="both"/>
        <w:rPr>
          <w:rFonts w:ascii="Times New Roman" w:hAnsi="Times New Roman"/>
          <w:sz w:val="24"/>
          <w:szCs w:val="24"/>
        </w:rPr>
      </w:pPr>
    </w:p>
  </w:footnote>
  <w:footnote w:id="39">
    <w:p w14:paraId="4D990F75" w14:textId="540AB202" w:rsidR="00594A56" w:rsidRPr="00CC65A7" w:rsidRDefault="00594A56" w:rsidP="00CC65A7">
      <w:pPr>
        <w:pStyle w:val="af"/>
        <w:jc w:val="both"/>
        <w:rPr>
          <w:rFonts w:ascii="Times New Roman" w:hAnsi="Times New Roman"/>
          <w:sz w:val="24"/>
          <w:szCs w:val="24"/>
        </w:rPr>
      </w:pPr>
      <w:r w:rsidRPr="00CC65A7">
        <w:rPr>
          <w:rStyle w:val="af1"/>
          <w:rFonts w:ascii="Times New Roman" w:hAnsi="Times New Roman"/>
          <w:sz w:val="24"/>
          <w:szCs w:val="24"/>
        </w:rPr>
        <w:footnoteRef/>
      </w:r>
      <w:r w:rsidRPr="00CC65A7">
        <w:rPr>
          <w:rFonts w:ascii="Times New Roman" w:hAnsi="Times New Roman"/>
          <w:sz w:val="24"/>
          <w:szCs w:val="24"/>
        </w:rPr>
        <w:t xml:space="preserve"> </w:t>
      </w:r>
      <w:r w:rsidRPr="00CC65A7">
        <w:rPr>
          <w:rFonts w:ascii="Times New Roman" w:hAnsi="Times New Roman"/>
          <w:color w:val="000000" w:themeColor="text1"/>
          <w:sz w:val="24"/>
          <w:szCs w:val="24"/>
          <w:lang w:val="uk-UA"/>
        </w:rPr>
        <w:t>Указ Президента України  від 11 травня 2023 року № 273/2023 Про Комплексний стратегічний план реформування органів правопорядку як частини сектору безпеки і оборони України на 2023 – 2027 роки</w:t>
      </w:r>
    </w:p>
  </w:footnote>
  <w:footnote w:id="40">
    <w:p w14:paraId="3A27803E" w14:textId="118B3AC1" w:rsidR="00594A56" w:rsidRPr="00CC65A7" w:rsidRDefault="00594A56" w:rsidP="00CC65A7">
      <w:pPr>
        <w:pStyle w:val="af"/>
        <w:jc w:val="both"/>
        <w:rPr>
          <w:rFonts w:ascii="Times New Roman" w:hAnsi="Times New Roman"/>
          <w:sz w:val="24"/>
          <w:szCs w:val="24"/>
        </w:rPr>
      </w:pPr>
      <w:r w:rsidRPr="00CC65A7">
        <w:rPr>
          <w:rStyle w:val="af1"/>
          <w:rFonts w:ascii="Times New Roman" w:hAnsi="Times New Roman"/>
          <w:sz w:val="24"/>
          <w:szCs w:val="24"/>
        </w:rPr>
        <w:footnoteRef/>
      </w:r>
      <w:r w:rsidRPr="00CC65A7">
        <w:rPr>
          <w:rFonts w:ascii="Times New Roman" w:hAnsi="Times New Roman"/>
          <w:sz w:val="24"/>
          <w:szCs w:val="24"/>
        </w:rPr>
        <w:t xml:space="preserve"> </w:t>
      </w:r>
      <w:r w:rsidRPr="00CC65A7">
        <w:rPr>
          <w:rFonts w:ascii="Times New Roman" w:hAnsi="Times New Roman"/>
          <w:color w:val="000000" w:themeColor="text1"/>
          <w:sz w:val="24"/>
          <w:szCs w:val="24"/>
          <w:lang w:val="uk-UA"/>
        </w:rPr>
        <w:t xml:space="preserve">European Union directives URL: </w:t>
      </w:r>
      <w:hyperlink r:id="rId32" w:anchor=":~:text=In%20the%20case%20of%20minimum,those%20set%20in%20the%20directive" w:history="1">
        <w:r w:rsidRPr="00CC65A7">
          <w:rPr>
            <w:rFonts w:ascii="Times New Roman" w:hAnsi="Times New Roman"/>
            <w:color w:val="000000" w:themeColor="text1"/>
            <w:sz w:val="24"/>
            <w:szCs w:val="24"/>
            <w:lang w:val="uk-UA"/>
          </w:rPr>
          <w:t>https://eur-lex.europa.eu/EN/legal-content/summary/european-union-directives.html#:~:text=In%20the%20case%20of%20minimum,those%20set%20in%20the%20directive</w:t>
        </w:r>
      </w:hyperlink>
    </w:p>
  </w:footnote>
  <w:footnote w:id="41">
    <w:p w14:paraId="368A3146" w14:textId="103AF839" w:rsidR="00594A56" w:rsidRPr="00CC65A7" w:rsidRDefault="00594A56" w:rsidP="00CC65A7">
      <w:pPr>
        <w:pStyle w:val="af"/>
        <w:jc w:val="both"/>
        <w:rPr>
          <w:rFonts w:ascii="Times New Roman" w:hAnsi="Times New Roman"/>
          <w:sz w:val="24"/>
          <w:szCs w:val="24"/>
        </w:rPr>
      </w:pPr>
      <w:r w:rsidRPr="00CC65A7">
        <w:rPr>
          <w:rStyle w:val="af1"/>
          <w:rFonts w:ascii="Times New Roman" w:hAnsi="Times New Roman"/>
          <w:sz w:val="24"/>
          <w:szCs w:val="24"/>
        </w:rPr>
        <w:footnoteRef/>
      </w:r>
      <w:r w:rsidRPr="00CC65A7">
        <w:rPr>
          <w:rFonts w:ascii="Times New Roman" w:hAnsi="Times New Roman"/>
          <w:sz w:val="24"/>
          <w:szCs w:val="24"/>
        </w:rPr>
        <w:t xml:space="preserve"> </w:t>
      </w:r>
      <w:r w:rsidRPr="00CC65A7">
        <w:rPr>
          <w:rFonts w:ascii="Times New Roman" w:hAnsi="Times New Roman"/>
          <w:color w:val="000000" w:themeColor="text1"/>
          <w:sz w:val="24"/>
          <w:szCs w:val="24"/>
          <w:lang w:val="uk-UA"/>
        </w:rPr>
        <w:t xml:space="preserve">Communication from the Commission to the European Parliament, the Council, the European Economic and Social Committee and the Committee of the Regions. Delivering an area of freedom, security and justice for Europe’s citizens / Action Plan implementing the Stockholm Programme. URL: </w:t>
      </w:r>
      <w:hyperlink r:id="rId33" w:history="1">
        <w:r w:rsidRPr="00CC65A7">
          <w:rPr>
            <w:rFonts w:ascii="Times New Roman" w:hAnsi="Times New Roman"/>
            <w:color w:val="000000" w:themeColor="text1"/>
            <w:sz w:val="24"/>
            <w:szCs w:val="24"/>
            <w:lang w:val="uk-UA"/>
          </w:rPr>
          <w:t>https://eur-lex.europa.eu/legal-content/EN/ALL/?uri=COM:2010:0171:FIN</w:t>
        </w:r>
      </w:hyperlink>
    </w:p>
  </w:footnote>
  <w:footnote w:id="42">
    <w:p w14:paraId="2B54EFFD" w14:textId="6E4C9BFC" w:rsidR="001E2D5E" w:rsidRPr="00CC65A7" w:rsidRDefault="001E2D5E" w:rsidP="00CC65A7">
      <w:pPr>
        <w:pStyle w:val="af"/>
        <w:jc w:val="both"/>
        <w:rPr>
          <w:rFonts w:ascii="Times New Roman" w:hAnsi="Times New Roman"/>
          <w:sz w:val="24"/>
          <w:szCs w:val="24"/>
        </w:rPr>
      </w:pPr>
      <w:r w:rsidRPr="00CC65A7">
        <w:rPr>
          <w:rStyle w:val="af1"/>
          <w:rFonts w:ascii="Times New Roman" w:hAnsi="Times New Roman"/>
          <w:sz w:val="24"/>
          <w:szCs w:val="24"/>
        </w:rPr>
        <w:footnoteRef/>
      </w:r>
      <w:r w:rsidRPr="00CC65A7">
        <w:rPr>
          <w:rFonts w:ascii="Times New Roman" w:hAnsi="Times New Roman"/>
          <w:sz w:val="24"/>
          <w:szCs w:val="24"/>
        </w:rPr>
        <w:t xml:space="preserve"> Туляков В. О. Апроксимація у кримінальному законодавстві</w:t>
      </w:r>
      <w:r w:rsidRPr="00CC65A7">
        <w:rPr>
          <w:rFonts w:ascii="Times New Roman" w:hAnsi="Times New Roman"/>
          <w:sz w:val="24"/>
          <w:szCs w:val="24"/>
          <w:lang w:val="uk-UA"/>
        </w:rPr>
        <w:t>.</w:t>
      </w:r>
      <w:r w:rsidRPr="00CC65A7">
        <w:rPr>
          <w:rFonts w:ascii="Times New Roman" w:hAnsi="Times New Roman"/>
          <w:sz w:val="24"/>
          <w:szCs w:val="24"/>
        </w:rPr>
        <w:t xml:space="preserve"> </w:t>
      </w:r>
      <w:r w:rsidRPr="00CC65A7">
        <w:rPr>
          <w:rFonts w:ascii="Times New Roman" w:hAnsi="Times New Roman"/>
          <w:i/>
          <w:sz w:val="24"/>
          <w:szCs w:val="24"/>
        </w:rPr>
        <w:t>Актуальні проблеми держави і права</w:t>
      </w:r>
      <w:r w:rsidRPr="00CC65A7">
        <w:rPr>
          <w:rFonts w:ascii="Times New Roman" w:hAnsi="Times New Roman"/>
          <w:sz w:val="24"/>
          <w:szCs w:val="24"/>
        </w:rPr>
        <w:t xml:space="preserve"> : зб. наук. пр. Одеса : Юрид. л-ра, 2009. Вип. 47. С. 7 - 11.</w:t>
      </w:r>
    </w:p>
  </w:footnote>
  <w:footnote w:id="43">
    <w:p w14:paraId="01D67CAF" w14:textId="5F9F4DF4" w:rsidR="00325CC3" w:rsidRPr="00CC65A7" w:rsidRDefault="00325CC3" w:rsidP="00CC65A7">
      <w:pPr>
        <w:pStyle w:val="af"/>
        <w:jc w:val="both"/>
        <w:rPr>
          <w:rFonts w:ascii="Times New Roman" w:hAnsi="Times New Roman"/>
          <w:sz w:val="24"/>
          <w:szCs w:val="24"/>
        </w:rPr>
      </w:pPr>
      <w:r w:rsidRPr="00CC65A7">
        <w:rPr>
          <w:rStyle w:val="af1"/>
          <w:rFonts w:ascii="Times New Roman" w:hAnsi="Times New Roman"/>
          <w:sz w:val="24"/>
          <w:szCs w:val="24"/>
        </w:rPr>
        <w:footnoteRef/>
      </w:r>
      <w:r w:rsidRPr="00CC65A7">
        <w:rPr>
          <w:rFonts w:ascii="Times New Roman" w:hAnsi="Times New Roman"/>
          <w:sz w:val="24"/>
          <w:szCs w:val="24"/>
        </w:rPr>
        <w:t xml:space="preserve"> </w:t>
      </w:r>
      <w:r w:rsidRPr="00CC65A7">
        <w:rPr>
          <w:rFonts w:ascii="Times New Roman" w:hAnsi="Times New Roman"/>
          <w:color w:val="000000" w:themeColor="text1"/>
          <w:sz w:val="24"/>
          <w:szCs w:val="24"/>
          <w:lang w:val="uk-UA"/>
        </w:rPr>
        <w:t xml:space="preserve">EU strategy on criminal justice URL: </w:t>
      </w:r>
      <w:hyperlink r:id="rId34" w:history="1">
        <w:r w:rsidRPr="00CC65A7">
          <w:rPr>
            <w:rFonts w:ascii="Times New Roman" w:hAnsi="Times New Roman"/>
            <w:color w:val="000000" w:themeColor="text1"/>
            <w:sz w:val="24"/>
            <w:szCs w:val="24"/>
            <w:lang w:val="uk-UA"/>
          </w:rPr>
          <w:t>https://commission.europa.eu/strategy-and-policy/policies/justice-and-fundamental-rights/criminal-justice/eu-strategy-criminal-justice_en</w:t>
        </w:r>
      </w:hyperlink>
    </w:p>
  </w:footnote>
  <w:footnote w:id="44">
    <w:p w14:paraId="33E19928" w14:textId="4CA2BBAF" w:rsidR="00325CC3" w:rsidRPr="00CC65A7" w:rsidRDefault="00325CC3" w:rsidP="00CC65A7">
      <w:pPr>
        <w:pStyle w:val="af"/>
        <w:jc w:val="both"/>
        <w:rPr>
          <w:rFonts w:ascii="Times New Roman" w:hAnsi="Times New Roman"/>
          <w:sz w:val="24"/>
          <w:szCs w:val="24"/>
        </w:rPr>
      </w:pPr>
      <w:r w:rsidRPr="00CC65A7">
        <w:rPr>
          <w:rStyle w:val="af1"/>
          <w:rFonts w:ascii="Times New Roman" w:hAnsi="Times New Roman"/>
          <w:sz w:val="24"/>
          <w:szCs w:val="24"/>
        </w:rPr>
        <w:footnoteRef/>
      </w:r>
      <w:r w:rsidRPr="00CC65A7">
        <w:rPr>
          <w:rFonts w:ascii="Times New Roman" w:hAnsi="Times New Roman"/>
          <w:sz w:val="24"/>
          <w:szCs w:val="24"/>
        </w:rPr>
        <w:t xml:space="preserve"> </w:t>
      </w:r>
      <w:r w:rsidRPr="00CC65A7">
        <w:rPr>
          <w:rFonts w:ascii="Times New Roman" w:hAnsi="Times New Roman"/>
          <w:color w:val="000000" w:themeColor="text1"/>
          <w:sz w:val="24"/>
          <w:szCs w:val="24"/>
          <w:lang w:val="uk-UA"/>
        </w:rPr>
        <w:t xml:space="preserve">Report </w:t>
      </w:r>
      <w:r w:rsidRPr="00CC65A7">
        <w:rPr>
          <w:rFonts w:ascii="Times New Roman" w:hAnsi="Times New Roman"/>
          <w:color w:val="000000" w:themeColor="text1"/>
          <w:sz w:val="24"/>
          <w:szCs w:val="24"/>
          <w:lang w:val="en-US"/>
        </w:rPr>
        <w:t>o</w:t>
      </w:r>
      <w:r w:rsidRPr="00CC65A7">
        <w:rPr>
          <w:rFonts w:ascii="Times New Roman" w:hAnsi="Times New Roman"/>
          <w:color w:val="000000" w:themeColor="text1"/>
          <w:sz w:val="24"/>
          <w:szCs w:val="24"/>
          <w:lang w:val="uk-UA"/>
        </w:rPr>
        <w:t xml:space="preserve">n The Proposal </w:t>
      </w:r>
      <w:r w:rsidRPr="00CC65A7">
        <w:rPr>
          <w:rFonts w:ascii="Times New Roman" w:hAnsi="Times New Roman"/>
          <w:color w:val="000000" w:themeColor="text1"/>
          <w:sz w:val="24"/>
          <w:szCs w:val="24"/>
          <w:lang w:val="en-US"/>
        </w:rPr>
        <w:t>f</w:t>
      </w:r>
      <w:r w:rsidRPr="00CC65A7">
        <w:rPr>
          <w:rFonts w:ascii="Times New Roman" w:hAnsi="Times New Roman"/>
          <w:color w:val="000000" w:themeColor="text1"/>
          <w:sz w:val="24"/>
          <w:szCs w:val="24"/>
          <w:lang w:val="uk-UA"/>
        </w:rPr>
        <w:t xml:space="preserve">or </w:t>
      </w:r>
      <w:r w:rsidRPr="00CC65A7">
        <w:rPr>
          <w:rFonts w:ascii="Times New Roman" w:hAnsi="Times New Roman"/>
          <w:color w:val="000000" w:themeColor="text1"/>
          <w:sz w:val="24"/>
          <w:szCs w:val="24"/>
          <w:lang w:val="en-US"/>
        </w:rPr>
        <w:t>aD</w:t>
      </w:r>
      <w:r w:rsidRPr="00CC65A7">
        <w:rPr>
          <w:rFonts w:ascii="Times New Roman" w:hAnsi="Times New Roman"/>
          <w:color w:val="000000" w:themeColor="text1"/>
          <w:sz w:val="24"/>
          <w:szCs w:val="24"/>
          <w:lang w:val="uk-UA"/>
        </w:rPr>
        <w:t xml:space="preserve">irective </w:t>
      </w:r>
      <w:r w:rsidRPr="00CC65A7">
        <w:rPr>
          <w:rFonts w:ascii="Times New Roman" w:hAnsi="Times New Roman"/>
          <w:color w:val="000000" w:themeColor="text1"/>
          <w:sz w:val="24"/>
          <w:szCs w:val="24"/>
          <w:lang w:val="en-US"/>
        </w:rPr>
        <w:t>o</w:t>
      </w:r>
      <w:r w:rsidRPr="00CC65A7">
        <w:rPr>
          <w:rFonts w:ascii="Times New Roman" w:hAnsi="Times New Roman"/>
          <w:color w:val="000000" w:themeColor="text1"/>
          <w:sz w:val="24"/>
          <w:szCs w:val="24"/>
          <w:lang w:val="uk-UA"/>
        </w:rPr>
        <w:t xml:space="preserve">f </w:t>
      </w:r>
      <w:r w:rsidRPr="00CC65A7">
        <w:rPr>
          <w:rFonts w:ascii="Times New Roman" w:hAnsi="Times New Roman"/>
          <w:color w:val="000000" w:themeColor="text1"/>
          <w:sz w:val="24"/>
          <w:szCs w:val="24"/>
          <w:lang w:val="en-US"/>
        </w:rPr>
        <w:t>t</w:t>
      </w:r>
      <w:r w:rsidRPr="00CC65A7">
        <w:rPr>
          <w:rFonts w:ascii="Times New Roman" w:hAnsi="Times New Roman"/>
          <w:color w:val="000000" w:themeColor="text1"/>
          <w:sz w:val="24"/>
          <w:szCs w:val="24"/>
          <w:lang w:val="uk-UA"/>
        </w:rPr>
        <w:t xml:space="preserve">he European Parliament </w:t>
      </w:r>
      <w:r w:rsidRPr="00CC65A7">
        <w:rPr>
          <w:rFonts w:ascii="Times New Roman" w:hAnsi="Times New Roman"/>
          <w:color w:val="000000" w:themeColor="text1"/>
          <w:sz w:val="24"/>
          <w:szCs w:val="24"/>
          <w:lang w:val="en-US"/>
        </w:rPr>
        <w:t>a</w:t>
      </w:r>
      <w:r w:rsidRPr="00CC65A7">
        <w:rPr>
          <w:rFonts w:ascii="Times New Roman" w:hAnsi="Times New Roman"/>
          <w:color w:val="000000" w:themeColor="text1"/>
          <w:sz w:val="24"/>
          <w:szCs w:val="24"/>
          <w:lang w:val="uk-UA"/>
        </w:rPr>
        <w:t xml:space="preserve">nd </w:t>
      </w:r>
      <w:r w:rsidRPr="00CC65A7">
        <w:rPr>
          <w:rFonts w:ascii="Times New Roman" w:hAnsi="Times New Roman"/>
          <w:color w:val="000000" w:themeColor="text1"/>
          <w:sz w:val="24"/>
          <w:szCs w:val="24"/>
          <w:lang w:val="en-US"/>
        </w:rPr>
        <w:t>o</w:t>
      </w:r>
      <w:r w:rsidRPr="00CC65A7">
        <w:rPr>
          <w:rFonts w:ascii="Times New Roman" w:hAnsi="Times New Roman"/>
          <w:color w:val="000000" w:themeColor="text1"/>
          <w:sz w:val="24"/>
          <w:szCs w:val="24"/>
          <w:lang w:val="uk-UA"/>
        </w:rPr>
        <w:t xml:space="preserve">f </w:t>
      </w:r>
      <w:r w:rsidRPr="00CC65A7">
        <w:rPr>
          <w:rFonts w:ascii="Times New Roman" w:hAnsi="Times New Roman"/>
          <w:color w:val="000000" w:themeColor="text1"/>
          <w:sz w:val="24"/>
          <w:szCs w:val="24"/>
          <w:lang w:val="en-US"/>
        </w:rPr>
        <w:t>t</w:t>
      </w:r>
      <w:r w:rsidRPr="00CC65A7">
        <w:rPr>
          <w:rFonts w:ascii="Times New Roman" w:hAnsi="Times New Roman"/>
          <w:color w:val="000000" w:themeColor="text1"/>
          <w:sz w:val="24"/>
          <w:szCs w:val="24"/>
          <w:lang w:val="uk-UA"/>
        </w:rPr>
        <w:t xml:space="preserve">he Council </w:t>
      </w:r>
      <w:r w:rsidRPr="00CC65A7">
        <w:rPr>
          <w:rFonts w:ascii="Times New Roman" w:hAnsi="Times New Roman"/>
          <w:color w:val="000000" w:themeColor="text1"/>
          <w:sz w:val="24"/>
          <w:szCs w:val="24"/>
          <w:lang w:val="en-US"/>
        </w:rPr>
        <w:t>o</w:t>
      </w:r>
      <w:r w:rsidRPr="00CC65A7">
        <w:rPr>
          <w:rFonts w:ascii="Times New Roman" w:hAnsi="Times New Roman"/>
          <w:color w:val="000000" w:themeColor="text1"/>
          <w:sz w:val="24"/>
          <w:szCs w:val="24"/>
          <w:lang w:val="uk-UA"/>
        </w:rPr>
        <w:t xml:space="preserve">n </w:t>
      </w:r>
      <w:r w:rsidRPr="00CC65A7">
        <w:rPr>
          <w:rFonts w:ascii="Times New Roman" w:hAnsi="Times New Roman"/>
          <w:color w:val="000000" w:themeColor="text1"/>
          <w:sz w:val="24"/>
          <w:szCs w:val="24"/>
          <w:lang w:val="en-US"/>
        </w:rPr>
        <w:t>t</w:t>
      </w:r>
      <w:r w:rsidRPr="00CC65A7">
        <w:rPr>
          <w:rFonts w:ascii="Times New Roman" w:hAnsi="Times New Roman"/>
          <w:color w:val="000000" w:themeColor="text1"/>
          <w:sz w:val="24"/>
          <w:szCs w:val="24"/>
          <w:lang w:val="uk-UA"/>
        </w:rPr>
        <w:t xml:space="preserve">he </w:t>
      </w:r>
      <w:r w:rsidRPr="00CC65A7">
        <w:rPr>
          <w:rFonts w:ascii="Times New Roman" w:hAnsi="Times New Roman"/>
          <w:color w:val="000000" w:themeColor="text1"/>
          <w:sz w:val="24"/>
          <w:szCs w:val="24"/>
          <w:lang w:val="en-US"/>
        </w:rPr>
        <w:t>P</w:t>
      </w:r>
      <w:r w:rsidRPr="00CC65A7">
        <w:rPr>
          <w:rFonts w:ascii="Times New Roman" w:hAnsi="Times New Roman"/>
          <w:color w:val="000000" w:themeColor="text1"/>
          <w:sz w:val="24"/>
          <w:szCs w:val="24"/>
          <w:lang w:val="uk-UA"/>
        </w:rPr>
        <w:t xml:space="preserve">rotection </w:t>
      </w:r>
      <w:r w:rsidRPr="00CC65A7">
        <w:rPr>
          <w:rFonts w:ascii="Times New Roman" w:hAnsi="Times New Roman"/>
          <w:color w:val="000000" w:themeColor="text1"/>
          <w:sz w:val="24"/>
          <w:szCs w:val="24"/>
          <w:lang w:val="en-US"/>
        </w:rPr>
        <w:t>o</w:t>
      </w:r>
      <w:r w:rsidRPr="00CC65A7">
        <w:rPr>
          <w:rFonts w:ascii="Times New Roman" w:hAnsi="Times New Roman"/>
          <w:color w:val="000000" w:themeColor="text1"/>
          <w:sz w:val="24"/>
          <w:szCs w:val="24"/>
          <w:lang w:val="uk-UA"/>
        </w:rPr>
        <w:t xml:space="preserve">f </w:t>
      </w:r>
      <w:r w:rsidRPr="00CC65A7">
        <w:rPr>
          <w:rFonts w:ascii="Times New Roman" w:hAnsi="Times New Roman"/>
          <w:color w:val="000000" w:themeColor="text1"/>
          <w:sz w:val="24"/>
          <w:szCs w:val="24"/>
          <w:lang w:val="en-US"/>
        </w:rPr>
        <w:t>t</w:t>
      </w:r>
      <w:r w:rsidRPr="00CC65A7">
        <w:rPr>
          <w:rFonts w:ascii="Times New Roman" w:hAnsi="Times New Roman"/>
          <w:color w:val="000000" w:themeColor="text1"/>
          <w:sz w:val="24"/>
          <w:szCs w:val="24"/>
          <w:lang w:val="uk-UA"/>
        </w:rPr>
        <w:t xml:space="preserve">he Environment </w:t>
      </w:r>
      <w:r w:rsidRPr="00CC65A7">
        <w:rPr>
          <w:rFonts w:ascii="Times New Roman" w:hAnsi="Times New Roman"/>
          <w:color w:val="000000" w:themeColor="text1"/>
          <w:sz w:val="24"/>
          <w:szCs w:val="24"/>
          <w:lang w:val="en-US"/>
        </w:rPr>
        <w:t>t</w:t>
      </w:r>
      <w:r w:rsidRPr="00CC65A7">
        <w:rPr>
          <w:rFonts w:ascii="Times New Roman" w:hAnsi="Times New Roman"/>
          <w:color w:val="000000" w:themeColor="text1"/>
          <w:sz w:val="24"/>
          <w:szCs w:val="24"/>
          <w:lang w:val="uk-UA"/>
        </w:rPr>
        <w:t xml:space="preserve">hrough Criminal Law </w:t>
      </w:r>
      <w:r w:rsidRPr="00CC65A7">
        <w:rPr>
          <w:rFonts w:ascii="Times New Roman" w:hAnsi="Times New Roman"/>
          <w:color w:val="000000" w:themeColor="text1"/>
          <w:sz w:val="24"/>
          <w:szCs w:val="24"/>
          <w:lang w:val="en-US"/>
        </w:rPr>
        <w:t>a</w:t>
      </w:r>
      <w:r w:rsidRPr="00CC65A7">
        <w:rPr>
          <w:rFonts w:ascii="Times New Roman" w:hAnsi="Times New Roman"/>
          <w:color w:val="000000" w:themeColor="text1"/>
          <w:sz w:val="24"/>
          <w:szCs w:val="24"/>
          <w:lang w:val="uk-UA"/>
        </w:rPr>
        <w:t xml:space="preserve">nd </w:t>
      </w:r>
      <w:r w:rsidRPr="00CC65A7">
        <w:rPr>
          <w:rFonts w:ascii="Times New Roman" w:hAnsi="Times New Roman"/>
          <w:color w:val="000000" w:themeColor="text1"/>
          <w:sz w:val="24"/>
          <w:szCs w:val="24"/>
          <w:lang w:val="en-US"/>
        </w:rPr>
        <w:t>r</w:t>
      </w:r>
      <w:r w:rsidRPr="00CC65A7">
        <w:rPr>
          <w:rFonts w:ascii="Times New Roman" w:hAnsi="Times New Roman"/>
          <w:color w:val="000000" w:themeColor="text1"/>
          <w:sz w:val="24"/>
          <w:szCs w:val="24"/>
          <w:lang w:val="uk-UA"/>
        </w:rPr>
        <w:t>eplacing Directive 2008/99/Eu. URL: HTTPS://WWW.EUROPARL.EUROPA.EU/DOCEO/DOCUMENT/A-9-2023-0087_EN.HTML</w:t>
      </w:r>
    </w:p>
  </w:footnote>
  <w:footnote w:id="45">
    <w:p w14:paraId="736B7350" w14:textId="4032ED82" w:rsidR="00325CC3" w:rsidRPr="00CC65A7" w:rsidRDefault="00325CC3" w:rsidP="00CC65A7">
      <w:pPr>
        <w:pStyle w:val="af"/>
        <w:jc w:val="both"/>
        <w:rPr>
          <w:rFonts w:ascii="Times New Roman" w:hAnsi="Times New Roman"/>
          <w:sz w:val="24"/>
          <w:szCs w:val="24"/>
        </w:rPr>
      </w:pPr>
      <w:r w:rsidRPr="00CC65A7">
        <w:rPr>
          <w:rStyle w:val="af1"/>
          <w:rFonts w:ascii="Times New Roman" w:hAnsi="Times New Roman"/>
          <w:sz w:val="24"/>
          <w:szCs w:val="24"/>
        </w:rPr>
        <w:footnoteRef/>
      </w:r>
      <w:r w:rsidRPr="00CC65A7">
        <w:rPr>
          <w:rFonts w:ascii="Times New Roman" w:hAnsi="Times New Roman"/>
          <w:sz w:val="24"/>
          <w:szCs w:val="24"/>
        </w:rPr>
        <w:t xml:space="preserve"> </w:t>
      </w:r>
      <w:r w:rsidRPr="00CC65A7">
        <w:rPr>
          <w:rFonts w:ascii="Times New Roman" w:hAnsi="Times New Roman"/>
          <w:color w:val="000000"/>
          <w:sz w:val="24"/>
          <w:szCs w:val="24"/>
          <w:lang w:val="uk-UA"/>
        </w:rPr>
        <w:t>Recommendation CM/Rec(2023)2of the Committee of Ministers to member States on rights, services and support for victims of crime (Adopted by the Committee of Ministers on 15 March 2023</w:t>
      </w:r>
      <w:r w:rsidRPr="00CC65A7">
        <w:rPr>
          <w:rFonts w:ascii="Times New Roman" w:hAnsi="Times New Roman"/>
          <w:color w:val="000000"/>
          <w:sz w:val="24"/>
          <w:szCs w:val="24"/>
          <w:lang w:val="uk-UA"/>
        </w:rPr>
        <w:br/>
        <w:t>at the 1460th meeting of the Ministers' Deputies</w:t>
      </w:r>
    </w:p>
  </w:footnote>
  <w:footnote w:id="46">
    <w:p w14:paraId="6258DD44" w14:textId="5F019EC3" w:rsidR="00325CC3" w:rsidRPr="00CC65A7" w:rsidRDefault="00325CC3" w:rsidP="00CC65A7">
      <w:pPr>
        <w:pStyle w:val="af"/>
        <w:jc w:val="both"/>
        <w:rPr>
          <w:rFonts w:ascii="Times New Roman" w:hAnsi="Times New Roman"/>
          <w:sz w:val="24"/>
          <w:szCs w:val="24"/>
        </w:rPr>
      </w:pPr>
      <w:r w:rsidRPr="00CC65A7">
        <w:rPr>
          <w:rStyle w:val="af1"/>
          <w:rFonts w:ascii="Times New Roman" w:hAnsi="Times New Roman"/>
          <w:sz w:val="24"/>
          <w:szCs w:val="24"/>
        </w:rPr>
        <w:footnoteRef/>
      </w:r>
      <w:r w:rsidRPr="00CC65A7">
        <w:rPr>
          <w:rFonts w:ascii="Times New Roman" w:hAnsi="Times New Roman"/>
          <w:sz w:val="24"/>
          <w:szCs w:val="24"/>
        </w:rPr>
        <w:t xml:space="preserve"> </w:t>
      </w:r>
      <w:r w:rsidRPr="00CC65A7">
        <w:rPr>
          <w:rFonts w:ascii="Times New Roman" w:hAnsi="Times New Roman"/>
          <w:color w:val="000000"/>
          <w:sz w:val="24"/>
          <w:szCs w:val="24"/>
          <w:lang w:val="en-US"/>
        </w:rPr>
        <w:t>L</w:t>
      </w:r>
      <w:r w:rsidRPr="00CC65A7">
        <w:rPr>
          <w:rFonts w:ascii="Times New Roman" w:hAnsi="Times New Roman"/>
          <w:color w:val="000000"/>
          <w:sz w:val="24"/>
          <w:szCs w:val="24"/>
          <w:lang w:val="uk-UA"/>
        </w:rPr>
        <w:t xml:space="preserve">jubljana-the </w:t>
      </w:r>
      <w:r w:rsidRPr="00CC65A7">
        <w:rPr>
          <w:rFonts w:ascii="Times New Roman" w:hAnsi="Times New Roman"/>
          <w:color w:val="000000"/>
          <w:sz w:val="24"/>
          <w:szCs w:val="24"/>
          <w:lang w:val="en-US"/>
        </w:rPr>
        <w:t>H</w:t>
      </w:r>
      <w:r w:rsidRPr="00CC65A7">
        <w:rPr>
          <w:rFonts w:ascii="Times New Roman" w:hAnsi="Times New Roman"/>
          <w:color w:val="000000"/>
          <w:sz w:val="24"/>
          <w:szCs w:val="24"/>
          <w:lang w:val="uk-UA"/>
        </w:rPr>
        <w:t xml:space="preserve">ague </w:t>
      </w:r>
      <w:r w:rsidRPr="00CC65A7">
        <w:rPr>
          <w:rFonts w:ascii="Times New Roman" w:hAnsi="Times New Roman"/>
          <w:color w:val="000000"/>
          <w:sz w:val="24"/>
          <w:szCs w:val="24"/>
          <w:lang w:val="en-US"/>
        </w:rPr>
        <w:t>C</w:t>
      </w:r>
      <w:r w:rsidRPr="00CC65A7">
        <w:rPr>
          <w:rFonts w:ascii="Times New Roman" w:hAnsi="Times New Roman"/>
          <w:color w:val="000000"/>
          <w:sz w:val="24"/>
          <w:szCs w:val="24"/>
          <w:lang w:val="uk-UA"/>
        </w:rPr>
        <w:t xml:space="preserve">onvention on </w:t>
      </w:r>
      <w:r w:rsidRPr="00CC65A7">
        <w:rPr>
          <w:rFonts w:ascii="Times New Roman" w:hAnsi="Times New Roman"/>
          <w:color w:val="000000"/>
          <w:sz w:val="24"/>
          <w:szCs w:val="24"/>
          <w:lang w:val="en-US"/>
        </w:rPr>
        <w:t>I</w:t>
      </w:r>
      <w:r w:rsidRPr="00CC65A7">
        <w:rPr>
          <w:rFonts w:ascii="Times New Roman" w:hAnsi="Times New Roman"/>
          <w:color w:val="000000"/>
          <w:sz w:val="24"/>
          <w:szCs w:val="24"/>
          <w:lang w:val="uk-UA"/>
        </w:rPr>
        <w:t xml:space="preserve">nternational cooperation in the investigation and prosecution of the crime of genocide, crimes against humanity, war crimes and other international crimes – 26 </w:t>
      </w:r>
      <w:r w:rsidRPr="00CC65A7">
        <w:rPr>
          <w:rFonts w:ascii="Times New Roman" w:hAnsi="Times New Roman"/>
          <w:color w:val="000000"/>
          <w:sz w:val="24"/>
          <w:szCs w:val="24"/>
          <w:lang w:val="en-US"/>
        </w:rPr>
        <w:t>May</w:t>
      </w:r>
      <w:r w:rsidRPr="00CC65A7">
        <w:rPr>
          <w:rFonts w:ascii="Times New Roman" w:hAnsi="Times New Roman"/>
          <w:color w:val="000000"/>
          <w:sz w:val="24"/>
          <w:szCs w:val="24"/>
          <w:lang w:val="uk-UA"/>
        </w:rPr>
        <w:t xml:space="preserve"> 2023</w:t>
      </w:r>
    </w:p>
  </w:footnote>
  <w:footnote w:id="47">
    <w:p w14:paraId="74A997D2" w14:textId="23740F6D" w:rsidR="00DF00C7" w:rsidRPr="00CC65A7" w:rsidRDefault="00DF00C7" w:rsidP="00CC65A7">
      <w:pPr>
        <w:pStyle w:val="af"/>
        <w:jc w:val="both"/>
        <w:rPr>
          <w:rFonts w:ascii="Times New Roman" w:hAnsi="Times New Roman"/>
          <w:sz w:val="24"/>
          <w:szCs w:val="24"/>
        </w:rPr>
      </w:pPr>
      <w:r w:rsidRPr="00CC65A7">
        <w:rPr>
          <w:rStyle w:val="af1"/>
          <w:rFonts w:ascii="Times New Roman" w:hAnsi="Times New Roman"/>
          <w:sz w:val="24"/>
          <w:szCs w:val="24"/>
        </w:rPr>
        <w:footnoteRef/>
      </w:r>
      <w:r w:rsidRPr="00CC65A7">
        <w:rPr>
          <w:rFonts w:ascii="Times New Roman" w:hAnsi="Times New Roman"/>
          <w:sz w:val="24"/>
          <w:szCs w:val="24"/>
        </w:rPr>
        <w:t xml:space="preserve"> </w:t>
      </w:r>
      <w:r w:rsidRPr="00CC65A7">
        <w:rPr>
          <w:rFonts w:ascii="Times New Roman" w:hAnsi="Times New Roman"/>
          <w:color w:val="444444"/>
          <w:sz w:val="24"/>
          <w:szCs w:val="24"/>
        </w:rPr>
        <w:t>Міжнародне співробітництво у кримінальному провадженні=International cooperation in criminal proceeedings : навч. посіб. [Електронний ресурс] / В. В.Зуєв, І. В.Гловюк, А. В.Підгородинська, А. С.Степаненко, В.О. Туляков, О.В.Малахова ; за ред. В.О.Тулякова. – Одеса : Національний університет «Одеська юридична академія», 2022. - 221 с. – Режим доступу : https://doi.org/10.32837/11300.26117</w:t>
      </w:r>
    </w:p>
  </w:footnote>
  <w:footnote w:id="48">
    <w:p w14:paraId="1646BD55" w14:textId="722B02CE" w:rsidR="001E2D5E" w:rsidRPr="00CC65A7" w:rsidRDefault="001E2D5E" w:rsidP="00CC65A7">
      <w:pPr>
        <w:pStyle w:val="af"/>
        <w:jc w:val="both"/>
        <w:rPr>
          <w:rFonts w:ascii="Times New Roman" w:hAnsi="Times New Roman"/>
          <w:sz w:val="24"/>
          <w:szCs w:val="24"/>
        </w:rPr>
      </w:pPr>
      <w:r w:rsidRPr="00CC65A7">
        <w:rPr>
          <w:rStyle w:val="af1"/>
          <w:rFonts w:ascii="Times New Roman" w:hAnsi="Times New Roman"/>
          <w:sz w:val="24"/>
          <w:szCs w:val="24"/>
        </w:rPr>
        <w:footnoteRef/>
      </w:r>
      <w:r w:rsidRPr="00CC65A7">
        <w:rPr>
          <w:rFonts w:ascii="Times New Roman" w:hAnsi="Times New Roman"/>
          <w:sz w:val="24"/>
          <w:szCs w:val="24"/>
        </w:rPr>
        <w:t xml:space="preserve"> Фукуяма Ф. Наше постчеловеческое будущее</w:t>
      </w:r>
      <w:r w:rsidRPr="00CC65A7">
        <w:rPr>
          <w:rFonts w:ascii="Times New Roman" w:hAnsi="Times New Roman"/>
          <w:sz w:val="24"/>
          <w:szCs w:val="24"/>
          <w:lang w:val="uk-UA"/>
        </w:rPr>
        <w:t>.</w:t>
      </w:r>
      <w:r w:rsidRPr="00CC65A7">
        <w:rPr>
          <w:rFonts w:ascii="Times New Roman" w:hAnsi="Times New Roman"/>
          <w:sz w:val="24"/>
          <w:szCs w:val="24"/>
        </w:rPr>
        <w:t xml:space="preserve"> </w:t>
      </w:r>
      <w:r w:rsidRPr="00CC65A7">
        <w:rPr>
          <w:rFonts w:ascii="Times New Roman" w:hAnsi="Times New Roman"/>
          <w:sz w:val="24"/>
          <w:szCs w:val="24"/>
          <w:lang w:val="en-US"/>
        </w:rPr>
        <w:t>URL</w:t>
      </w:r>
      <w:r w:rsidRPr="00CC65A7">
        <w:rPr>
          <w:rFonts w:ascii="Times New Roman" w:hAnsi="Times New Roman"/>
          <w:sz w:val="24"/>
          <w:szCs w:val="24"/>
        </w:rPr>
        <w:t xml:space="preserve"> : http://www.e-reading.club/chapter.php/143497/25</w:t>
      </w:r>
    </w:p>
  </w:footnote>
  <w:footnote w:id="49">
    <w:p w14:paraId="69A6A314" w14:textId="7C199AFB" w:rsidR="001E2D5E" w:rsidRPr="00CC65A7" w:rsidRDefault="001E2D5E" w:rsidP="00CC65A7">
      <w:pPr>
        <w:autoSpaceDE w:val="0"/>
        <w:autoSpaceDN w:val="0"/>
        <w:adjustRightInd w:val="0"/>
        <w:ind w:firstLine="0"/>
        <w:rPr>
          <w:sz w:val="24"/>
          <w:szCs w:val="24"/>
        </w:rPr>
      </w:pPr>
      <w:r w:rsidRPr="00CC65A7">
        <w:rPr>
          <w:rStyle w:val="af1"/>
          <w:sz w:val="24"/>
          <w:szCs w:val="24"/>
        </w:rPr>
        <w:footnoteRef/>
      </w:r>
      <w:r w:rsidRPr="00CC65A7">
        <w:rPr>
          <w:sz w:val="24"/>
          <w:szCs w:val="24"/>
        </w:rPr>
        <w:t xml:space="preserve"> </w:t>
      </w:r>
      <w:r w:rsidRPr="00CC65A7">
        <w:rPr>
          <w:color w:val="000000"/>
          <w:sz w:val="24"/>
          <w:szCs w:val="24"/>
        </w:rPr>
        <w:t>Бабанли Р. Ш. Призначення покарання в Україні: теоретико-прикладні засади. Чернігів: Десна Поліграф, 2019. 488 с. ;</w:t>
      </w:r>
      <w:r w:rsidRPr="00CC65A7">
        <w:rPr>
          <w:sz w:val="24"/>
          <w:szCs w:val="24"/>
        </w:rPr>
        <w:t xml:space="preserve"> </w:t>
      </w:r>
      <w:bookmarkStart w:id="8" w:name="_Hlk92822458"/>
      <w:r w:rsidRPr="00CC65A7">
        <w:rPr>
          <w:sz w:val="24"/>
          <w:szCs w:val="24"/>
        </w:rPr>
        <w:t>Пономаренко Ю. А. Загальна теорія визначення караності кримінальних правопорушень : монографія . Харків : Право, 2020. – 720 с.</w:t>
      </w:r>
      <w:bookmarkEnd w:id="8"/>
    </w:p>
  </w:footnote>
  <w:footnote w:id="50">
    <w:p w14:paraId="6349758E" w14:textId="7D5B81BF" w:rsidR="001E2D5E" w:rsidRPr="00CC65A7" w:rsidRDefault="001E2D5E" w:rsidP="00CC65A7">
      <w:pPr>
        <w:pStyle w:val="af"/>
        <w:tabs>
          <w:tab w:val="left" w:pos="851"/>
        </w:tabs>
        <w:jc w:val="both"/>
        <w:rPr>
          <w:rFonts w:ascii="Times New Roman" w:hAnsi="Times New Roman"/>
          <w:sz w:val="24"/>
          <w:szCs w:val="24"/>
          <w:lang w:val="en-US"/>
        </w:rPr>
      </w:pPr>
      <w:r w:rsidRPr="00CC65A7">
        <w:rPr>
          <w:rStyle w:val="af1"/>
          <w:rFonts w:ascii="Times New Roman" w:hAnsi="Times New Roman"/>
          <w:sz w:val="24"/>
          <w:szCs w:val="24"/>
        </w:rPr>
        <w:footnoteRef/>
      </w:r>
      <w:r w:rsidRPr="00CC65A7">
        <w:rPr>
          <w:rFonts w:ascii="Times New Roman" w:hAnsi="Times New Roman"/>
          <w:sz w:val="24"/>
          <w:szCs w:val="24"/>
        </w:rPr>
        <w:t xml:space="preserve"> </w:t>
      </w:r>
      <w:r w:rsidRPr="00CC65A7">
        <w:rPr>
          <w:rFonts w:ascii="Times New Roman" w:hAnsi="Times New Roman"/>
          <w:sz w:val="24"/>
          <w:szCs w:val="24"/>
          <w:lang w:val="uk-UA"/>
        </w:rPr>
        <w:t xml:space="preserve">Тацій В. Я., Борисов В. І., Тютюгін В. І. Актуальні проблеми сучасного розвитку національного права України. </w:t>
      </w:r>
      <w:r w:rsidRPr="00CC65A7">
        <w:rPr>
          <w:rFonts w:ascii="Times New Roman" w:hAnsi="Times New Roman"/>
          <w:i/>
          <w:iCs/>
          <w:sz w:val="24"/>
          <w:szCs w:val="24"/>
          <w:lang w:val="uk-UA"/>
        </w:rPr>
        <w:t>Право України</w:t>
      </w:r>
      <w:r w:rsidRPr="00CC65A7">
        <w:rPr>
          <w:rFonts w:ascii="Times New Roman" w:hAnsi="Times New Roman"/>
          <w:sz w:val="24"/>
          <w:szCs w:val="24"/>
          <w:lang w:val="uk-UA"/>
        </w:rPr>
        <w:t>. 2010. № 9. С. 4 – 15.</w:t>
      </w:r>
    </w:p>
  </w:footnote>
  <w:footnote w:id="51">
    <w:p w14:paraId="142FA6D9" w14:textId="09C1B291" w:rsidR="001E2D5E" w:rsidRPr="00CC65A7" w:rsidRDefault="001E2D5E" w:rsidP="00CC65A7">
      <w:pPr>
        <w:pStyle w:val="af"/>
        <w:jc w:val="both"/>
        <w:rPr>
          <w:rFonts w:ascii="Times New Roman" w:hAnsi="Times New Roman"/>
          <w:sz w:val="24"/>
          <w:szCs w:val="24"/>
          <w:lang w:val="uk-UA"/>
        </w:rPr>
      </w:pPr>
      <w:r w:rsidRPr="00CC65A7">
        <w:rPr>
          <w:rStyle w:val="af1"/>
          <w:rFonts w:ascii="Times New Roman" w:hAnsi="Times New Roman"/>
          <w:sz w:val="24"/>
          <w:szCs w:val="24"/>
        </w:rPr>
        <w:footnoteRef/>
      </w:r>
      <w:r w:rsidRPr="00CC65A7">
        <w:rPr>
          <w:rFonts w:ascii="Times New Roman" w:hAnsi="Times New Roman"/>
          <w:sz w:val="24"/>
          <w:szCs w:val="24"/>
          <w:lang w:val="en-US"/>
        </w:rPr>
        <w:t xml:space="preserve"> The Court delivers its advisory opinion on questions asked by the Constitutional Court of Armenia</w:t>
      </w:r>
      <w:r w:rsidRPr="00CC65A7">
        <w:rPr>
          <w:rFonts w:ascii="Times New Roman" w:hAnsi="Times New Roman"/>
          <w:sz w:val="24"/>
          <w:szCs w:val="24"/>
          <w:lang w:val="uk-UA"/>
        </w:rPr>
        <w:t xml:space="preserve"> - </w:t>
      </w:r>
      <w:r w:rsidRPr="00CC65A7">
        <w:rPr>
          <w:rFonts w:ascii="Times New Roman" w:hAnsi="Times New Roman"/>
          <w:sz w:val="24"/>
          <w:szCs w:val="24"/>
          <w:lang w:val="en-US"/>
        </w:rPr>
        <w:t>ECHR 150 (2020) 29.05.2020</w:t>
      </w:r>
      <w:r w:rsidRPr="00CC65A7">
        <w:rPr>
          <w:rFonts w:ascii="Times New Roman" w:hAnsi="Times New Roman"/>
          <w:sz w:val="24"/>
          <w:szCs w:val="24"/>
          <w:lang w:val="uk-UA"/>
        </w:rPr>
        <w:t xml:space="preserve">. </w:t>
      </w:r>
      <w:r w:rsidRPr="00CC65A7">
        <w:rPr>
          <w:rFonts w:ascii="Times New Roman" w:hAnsi="Times New Roman"/>
          <w:sz w:val="24"/>
          <w:szCs w:val="24"/>
          <w:lang w:val="en-US"/>
        </w:rPr>
        <w:t>URL</w:t>
      </w:r>
      <w:r w:rsidRPr="00CC65A7">
        <w:rPr>
          <w:rFonts w:ascii="Times New Roman" w:hAnsi="Times New Roman"/>
          <w:sz w:val="24"/>
          <w:szCs w:val="24"/>
          <w:lang w:val="uk-UA"/>
        </w:rPr>
        <w:t>: https://goo.su/blaP</w:t>
      </w:r>
    </w:p>
  </w:footnote>
  <w:footnote w:id="52">
    <w:p w14:paraId="032099A5" w14:textId="06E3B64D" w:rsidR="001E2D5E" w:rsidRPr="00CC65A7" w:rsidRDefault="001E2D5E" w:rsidP="00CC65A7">
      <w:pPr>
        <w:pStyle w:val="af"/>
        <w:jc w:val="both"/>
        <w:rPr>
          <w:rFonts w:ascii="Times New Roman" w:hAnsi="Times New Roman"/>
          <w:sz w:val="24"/>
          <w:szCs w:val="24"/>
        </w:rPr>
      </w:pPr>
      <w:r w:rsidRPr="00CC65A7">
        <w:rPr>
          <w:rStyle w:val="af1"/>
          <w:rFonts w:ascii="Times New Roman" w:hAnsi="Times New Roman"/>
          <w:sz w:val="24"/>
          <w:szCs w:val="24"/>
        </w:rPr>
        <w:footnoteRef/>
      </w:r>
      <w:r w:rsidRPr="00CC65A7">
        <w:rPr>
          <w:rFonts w:ascii="Times New Roman" w:hAnsi="Times New Roman"/>
          <w:sz w:val="24"/>
          <w:szCs w:val="24"/>
          <w:lang w:val="uk-UA"/>
        </w:rPr>
        <w:t xml:space="preserve"> ЄСПЛ,</w:t>
      </w:r>
      <w:r w:rsidRPr="00CC65A7">
        <w:rPr>
          <w:rFonts w:ascii="Times New Roman" w:hAnsi="Times New Roman"/>
          <w:sz w:val="24"/>
          <w:szCs w:val="24"/>
        </w:rPr>
        <w:t xml:space="preserve"> </w:t>
      </w:r>
      <w:r w:rsidRPr="00CC65A7">
        <w:rPr>
          <w:rFonts w:ascii="Times New Roman" w:eastAsia="Times New Roman" w:hAnsi="Times New Roman"/>
          <w:sz w:val="24"/>
          <w:szCs w:val="24"/>
          <w:lang w:eastAsia="ru-RU"/>
        </w:rPr>
        <w:t>Роман Захаров проти РФ. Справа № 47143/06, рішення від 4 грудня 2015 року</w:t>
      </w:r>
      <w:r w:rsidRPr="00CC65A7">
        <w:rPr>
          <w:rFonts w:ascii="Times New Roman" w:eastAsia="Times New Roman" w:hAnsi="Times New Roman"/>
          <w:sz w:val="24"/>
          <w:szCs w:val="24"/>
          <w:lang w:val="uk-UA" w:eastAsia="ru-RU"/>
        </w:rPr>
        <w:t>.</w:t>
      </w:r>
      <w:r w:rsidRPr="00CC65A7">
        <w:rPr>
          <w:rFonts w:ascii="Times New Roman" w:hAnsi="Times New Roman"/>
          <w:sz w:val="24"/>
          <w:szCs w:val="24"/>
        </w:rPr>
        <w:t xml:space="preserve"> </w:t>
      </w:r>
      <w:r w:rsidRPr="00CC65A7">
        <w:rPr>
          <w:rFonts w:ascii="Times New Roman" w:hAnsi="Times New Roman"/>
          <w:sz w:val="24"/>
          <w:szCs w:val="24"/>
          <w:lang w:val="en-US"/>
        </w:rPr>
        <w:t>URL</w:t>
      </w:r>
      <w:r w:rsidRPr="00CC65A7">
        <w:rPr>
          <w:rFonts w:ascii="Times New Roman" w:hAnsi="Times New Roman"/>
          <w:sz w:val="24"/>
          <w:szCs w:val="24"/>
        </w:rPr>
        <w:t xml:space="preserve">: </w:t>
      </w:r>
      <w:r w:rsidRPr="00CC65A7">
        <w:rPr>
          <w:rFonts w:ascii="Times New Roman" w:eastAsia="Times New Roman" w:hAnsi="Times New Roman"/>
          <w:sz w:val="24"/>
          <w:szCs w:val="24"/>
          <w:lang w:eastAsia="ru-RU"/>
        </w:rPr>
        <w:t>https://hudoc.echr.coe.int/eng?i=001-159324</w:t>
      </w:r>
    </w:p>
  </w:footnote>
  <w:footnote w:id="53">
    <w:p w14:paraId="14B2F502" w14:textId="5F1BDA2D" w:rsidR="001E2D5E" w:rsidRPr="00CC65A7" w:rsidRDefault="001E2D5E" w:rsidP="00CC65A7">
      <w:pPr>
        <w:pStyle w:val="af8"/>
        <w:shd w:val="clear" w:color="auto" w:fill="FFFFFF"/>
        <w:spacing w:before="0" w:beforeAutospacing="0" w:after="0" w:afterAutospacing="0"/>
        <w:jc w:val="both"/>
        <w:textAlignment w:val="baseline"/>
      </w:pPr>
      <w:r w:rsidRPr="00CC65A7">
        <w:rPr>
          <w:rStyle w:val="af1"/>
        </w:rPr>
        <w:footnoteRef/>
      </w:r>
      <w:r w:rsidRPr="00CC65A7">
        <w:t xml:space="preserve"> Погребняк С. Принцип пропорційності в судовій діяльності</w:t>
      </w:r>
      <w:r w:rsidRPr="00CC65A7">
        <w:rPr>
          <w:lang w:val="uk-UA"/>
        </w:rPr>
        <w:t>.</w:t>
      </w:r>
      <w:r w:rsidRPr="00CC65A7">
        <w:t xml:space="preserve"> </w:t>
      </w:r>
      <w:r w:rsidRPr="00CC65A7">
        <w:rPr>
          <w:i/>
        </w:rPr>
        <w:t>Філософія права і загальна теорія права.</w:t>
      </w:r>
      <w:r w:rsidRPr="00CC65A7">
        <w:t xml:space="preserve"> 2012. № 2. С.54 </w:t>
      </w:r>
    </w:p>
  </w:footnote>
  <w:footnote w:id="54">
    <w:p w14:paraId="306E0BB2" w14:textId="4A8DDE31" w:rsidR="001E2D5E" w:rsidRPr="00CC65A7" w:rsidRDefault="001E2D5E" w:rsidP="00CC65A7">
      <w:pPr>
        <w:tabs>
          <w:tab w:val="left" w:pos="0"/>
        </w:tabs>
        <w:ind w:firstLine="0"/>
        <w:contextualSpacing/>
        <w:rPr>
          <w:sz w:val="24"/>
          <w:szCs w:val="24"/>
          <w:lang w:val="en-US"/>
        </w:rPr>
      </w:pPr>
      <w:r w:rsidRPr="00CC65A7">
        <w:rPr>
          <w:rStyle w:val="af1"/>
          <w:sz w:val="24"/>
          <w:szCs w:val="24"/>
        </w:rPr>
        <w:footnoteRef/>
      </w:r>
      <w:r w:rsidRPr="00CC65A7">
        <w:rPr>
          <w:sz w:val="24"/>
          <w:szCs w:val="24"/>
        </w:rPr>
        <w:t xml:space="preserve">Пашковський М. І. Кримінальне право ЄС. – текст посібника [Електронний ресурс]. </w:t>
      </w:r>
      <w:r w:rsidRPr="00CC65A7">
        <w:rPr>
          <w:sz w:val="24"/>
          <w:szCs w:val="24"/>
          <w:lang w:val="en-US"/>
        </w:rPr>
        <w:t xml:space="preserve">URL: </w:t>
      </w:r>
      <w:hyperlink r:id="rId35" w:history="1">
        <w:r w:rsidRPr="00CC65A7">
          <w:rPr>
            <w:sz w:val="24"/>
            <w:szCs w:val="24"/>
            <w:lang w:val="en-US"/>
          </w:rPr>
          <w:t>https://sites.google.com/site/intercrip/kriminalne-pravo-es---tekst-posibnika</w:t>
        </w:r>
      </w:hyperlink>
      <w:r w:rsidRPr="00CC65A7">
        <w:rPr>
          <w:sz w:val="24"/>
          <w:szCs w:val="24"/>
          <w:lang w:val="en-US"/>
        </w:rPr>
        <w:t xml:space="preserve"> </w:t>
      </w:r>
    </w:p>
  </w:footnote>
  <w:footnote w:id="55">
    <w:p w14:paraId="08C37E77" w14:textId="3F91E294" w:rsidR="001E2D5E" w:rsidRPr="00CC65A7" w:rsidRDefault="001E2D5E" w:rsidP="00CC65A7">
      <w:pPr>
        <w:pStyle w:val="af"/>
        <w:jc w:val="both"/>
        <w:rPr>
          <w:rFonts w:ascii="Times New Roman" w:hAnsi="Times New Roman"/>
          <w:sz w:val="24"/>
          <w:szCs w:val="24"/>
          <w:lang w:val="uk-UA"/>
        </w:rPr>
      </w:pPr>
      <w:r w:rsidRPr="00CC65A7">
        <w:rPr>
          <w:rStyle w:val="af1"/>
          <w:rFonts w:ascii="Times New Roman" w:hAnsi="Times New Roman"/>
          <w:sz w:val="24"/>
          <w:szCs w:val="24"/>
        </w:rPr>
        <w:footnoteRef/>
      </w:r>
      <w:r w:rsidRPr="00CC65A7">
        <w:rPr>
          <w:rFonts w:ascii="Times New Roman" w:hAnsi="Times New Roman"/>
          <w:sz w:val="24"/>
          <w:szCs w:val="24"/>
        </w:rPr>
        <w:t xml:space="preserve"> Туляков В. А. Виртуальность уголовного права: постановка</w:t>
      </w:r>
      <w:r w:rsidRPr="00CC65A7">
        <w:rPr>
          <w:rFonts w:ascii="Times New Roman" w:hAnsi="Times New Roman"/>
          <w:sz w:val="24"/>
          <w:szCs w:val="24"/>
          <w:lang w:val="uk-UA"/>
        </w:rPr>
        <w:t>.</w:t>
      </w:r>
      <w:r w:rsidRPr="00CC65A7">
        <w:rPr>
          <w:rFonts w:ascii="Times New Roman" w:hAnsi="Times New Roman"/>
          <w:sz w:val="24"/>
          <w:szCs w:val="24"/>
        </w:rPr>
        <w:t xml:space="preserve"> </w:t>
      </w:r>
      <w:r w:rsidRPr="00CC65A7">
        <w:rPr>
          <w:rFonts w:ascii="Times New Roman" w:hAnsi="Times New Roman"/>
          <w:i/>
          <w:iCs/>
          <w:sz w:val="24"/>
          <w:szCs w:val="24"/>
        </w:rPr>
        <w:t>Генезис публ</w:t>
      </w:r>
      <w:r w:rsidRPr="00CC65A7">
        <w:rPr>
          <w:rFonts w:ascii="Times New Roman" w:hAnsi="Times New Roman"/>
          <w:i/>
          <w:iCs/>
          <w:sz w:val="24"/>
          <w:szCs w:val="24"/>
          <w:lang w:val="uk-UA"/>
        </w:rPr>
        <w:t>і</w:t>
      </w:r>
      <w:r w:rsidRPr="00CC65A7">
        <w:rPr>
          <w:rFonts w:ascii="Times New Roman" w:hAnsi="Times New Roman"/>
          <w:i/>
          <w:iCs/>
          <w:sz w:val="24"/>
          <w:szCs w:val="24"/>
        </w:rPr>
        <w:t>чного</w:t>
      </w:r>
      <w:r w:rsidRPr="00CC65A7">
        <w:rPr>
          <w:rFonts w:ascii="Times New Roman" w:hAnsi="Times New Roman"/>
          <w:i/>
          <w:iCs/>
          <w:sz w:val="24"/>
          <w:szCs w:val="24"/>
          <w:lang w:val="uk-UA"/>
        </w:rPr>
        <w:t xml:space="preserve"> права: від становлення до сучасності</w:t>
      </w:r>
      <w:r w:rsidRPr="00CC65A7">
        <w:rPr>
          <w:rFonts w:ascii="Times New Roman" w:hAnsi="Times New Roman"/>
          <w:sz w:val="24"/>
          <w:szCs w:val="24"/>
          <w:lang w:val="uk-UA"/>
        </w:rPr>
        <w:t>: збірник наукових праць  Миколаїв: Іліон, 2011. С. 5</w:t>
      </w:r>
      <w:r w:rsidRPr="00CC65A7">
        <w:rPr>
          <w:rFonts w:ascii="Times New Roman" w:hAnsi="Times New Roman"/>
          <w:sz w:val="24"/>
          <w:szCs w:val="24"/>
        </w:rPr>
        <w:t xml:space="preserve"> – 6.</w:t>
      </w:r>
    </w:p>
  </w:footnote>
  <w:footnote w:id="56">
    <w:p w14:paraId="334CBA70" w14:textId="7345A2E7" w:rsidR="001E2D5E" w:rsidRPr="00CC65A7" w:rsidRDefault="001E2D5E" w:rsidP="00CC65A7">
      <w:pPr>
        <w:pStyle w:val="af"/>
        <w:jc w:val="both"/>
        <w:rPr>
          <w:rFonts w:ascii="Times New Roman" w:hAnsi="Times New Roman"/>
          <w:sz w:val="24"/>
          <w:szCs w:val="24"/>
          <w:lang w:val="uk-UA"/>
        </w:rPr>
      </w:pPr>
      <w:r w:rsidRPr="00CC65A7">
        <w:rPr>
          <w:rStyle w:val="af1"/>
          <w:rFonts w:ascii="Times New Roman" w:hAnsi="Times New Roman"/>
          <w:sz w:val="24"/>
          <w:szCs w:val="24"/>
        </w:rPr>
        <w:footnoteRef/>
      </w:r>
      <w:r w:rsidRPr="00CC65A7">
        <w:rPr>
          <w:rFonts w:ascii="Times New Roman" w:hAnsi="Times New Roman"/>
          <w:sz w:val="24"/>
          <w:szCs w:val="24"/>
        </w:rPr>
        <w:t xml:space="preserve"> </w:t>
      </w:r>
      <w:r w:rsidRPr="00CC65A7">
        <w:rPr>
          <w:rFonts w:ascii="Times New Roman" w:hAnsi="Times New Roman"/>
          <w:sz w:val="24"/>
          <w:szCs w:val="24"/>
          <w:lang w:val="uk-UA"/>
        </w:rPr>
        <w:t xml:space="preserve">Туляков В. О. Кримінальне право сучасності: криза доктрини чи криза юрисдикцій. </w:t>
      </w:r>
      <w:r w:rsidRPr="00CC65A7">
        <w:rPr>
          <w:rFonts w:ascii="Times New Roman" w:hAnsi="Times New Roman"/>
          <w:i/>
          <w:iCs/>
          <w:sz w:val="24"/>
          <w:szCs w:val="24"/>
          <w:lang w:val="uk-UA"/>
        </w:rPr>
        <w:t>Право України</w:t>
      </w:r>
      <w:r w:rsidRPr="00CC65A7">
        <w:rPr>
          <w:rFonts w:ascii="Times New Roman" w:hAnsi="Times New Roman"/>
          <w:sz w:val="24"/>
          <w:szCs w:val="24"/>
          <w:lang w:val="uk-UA"/>
        </w:rPr>
        <w:t xml:space="preserve">. 2010. № 9.  С. 40-46. </w:t>
      </w:r>
    </w:p>
  </w:footnote>
  <w:footnote w:id="57">
    <w:p w14:paraId="21992C10" w14:textId="2D7C0D4D" w:rsidR="001E2D5E" w:rsidRPr="00CC65A7" w:rsidRDefault="001E2D5E" w:rsidP="00CC65A7">
      <w:pPr>
        <w:tabs>
          <w:tab w:val="left" w:pos="0"/>
        </w:tabs>
        <w:ind w:firstLine="0"/>
        <w:contextualSpacing/>
        <w:rPr>
          <w:sz w:val="24"/>
          <w:szCs w:val="24"/>
          <w:lang w:eastAsia="nl-NL"/>
        </w:rPr>
      </w:pPr>
      <w:r w:rsidRPr="00CC65A7">
        <w:rPr>
          <w:rStyle w:val="af1"/>
          <w:sz w:val="24"/>
          <w:szCs w:val="24"/>
        </w:rPr>
        <w:footnoteRef/>
      </w:r>
      <w:r w:rsidRPr="00CC65A7">
        <w:rPr>
          <w:sz w:val="24"/>
          <w:szCs w:val="24"/>
        </w:rPr>
        <w:t xml:space="preserve"> </w:t>
      </w:r>
      <w:r w:rsidRPr="00CC65A7">
        <w:rPr>
          <w:sz w:val="24"/>
          <w:szCs w:val="24"/>
          <w:lang w:eastAsia="nl-NL"/>
        </w:rPr>
        <w:t xml:space="preserve">Guide on Article 7 of the European Convention on Human Rights. </w:t>
      </w:r>
      <w:r w:rsidRPr="00CC65A7">
        <w:rPr>
          <w:sz w:val="24"/>
          <w:szCs w:val="24"/>
          <w:lang w:val="en-US" w:eastAsia="nl-NL"/>
        </w:rPr>
        <w:t>URL</w:t>
      </w:r>
      <w:r w:rsidRPr="00CC65A7">
        <w:rPr>
          <w:sz w:val="24"/>
          <w:szCs w:val="24"/>
          <w:lang w:eastAsia="nl-NL"/>
        </w:rPr>
        <w:t xml:space="preserve">: </w:t>
      </w:r>
      <w:hyperlink r:id="rId36" w:history="1">
        <w:r w:rsidRPr="00CC65A7">
          <w:rPr>
            <w:sz w:val="24"/>
            <w:szCs w:val="24"/>
            <w:lang w:eastAsia="nl-NL"/>
          </w:rPr>
          <w:t>https://www.echr.coe.int/Documents/Guide_Art_7_ENG.pdf</w:t>
        </w:r>
      </w:hyperlink>
      <w:r w:rsidRPr="00CC65A7">
        <w:rPr>
          <w:sz w:val="24"/>
          <w:szCs w:val="24"/>
          <w:lang w:eastAsia="nl-NL"/>
        </w:rPr>
        <w:t xml:space="preserve"> ; Іскендеров Ф. Ш. Теоретичні основи індивідуалізації покарання в законодавстві та доктрині деяких країн Причорноморського басейну.  </w:t>
      </w:r>
      <w:r w:rsidRPr="00CC65A7">
        <w:rPr>
          <w:i/>
          <w:iCs/>
          <w:sz w:val="24"/>
          <w:szCs w:val="24"/>
          <w:lang w:eastAsia="nl-NL"/>
        </w:rPr>
        <w:t>Актуальні проблеми вітчизняної юриспруденції</w:t>
      </w:r>
      <w:r w:rsidRPr="00CC65A7">
        <w:rPr>
          <w:sz w:val="24"/>
          <w:szCs w:val="24"/>
          <w:lang w:eastAsia="nl-NL"/>
        </w:rPr>
        <w:t xml:space="preserve">. 2017. Вип. 2. С. 105-109; Сорока О. О. Реалізація практики Європейського суду з прав людини у кримінальному праві України. Дис.. ... к.ю.н. Спец. 12.00.08.  Київ, 2015. 254 с. ; Хім'як Ю.Б. Гармонізація кримінального права України з практикою Європейського суду з прав людини. Дис.. ... к.ю.н. Спец. 12.00.08. Київ, 2011. 261 с. ; Хилюк C. В. «Злочин і кара» у Конвенції про захист прав людини і основоположних свобод. </w:t>
      </w:r>
      <w:r w:rsidRPr="00CC65A7">
        <w:rPr>
          <w:i/>
          <w:iCs/>
          <w:sz w:val="24"/>
          <w:szCs w:val="24"/>
          <w:lang w:eastAsia="nl-NL"/>
        </w:rPr>
        <w:t>Часопис Академії адвокатури України</w:t>
      </w:r>
      <w:r w:rsidRPr="00CC65A7">
        <w:rPr>
          <w:sz w:val="24"/>
          <w:szCs w:val="24"/>
          <w:lang w:eastAsia="nl-NL"/>
        </w:rPr>
        <w:t>. Т. 8 . № 4(29). 2015. C.108-125 ; Шевчук С. Судовий захист прав людини: Практика Європейського Суду з прав людини у контексті західної правової традиції. Київ: Реферат, 2007. 848с .</w:t>
      </w:r>
    </w:p>
    <w:p w14:paraId="0C3C1F55" w14:textId="77777777" w:rsidR="001E2D5E" w:rsidRPr="00CC65A7" w:rsidRDefault="001E2D5E" w:rsidP="00CC65A7">
      <w:pPr>
        <w:pStyle w:val="af"/>
        <w:jc w:val="both"/>
        <w:rPr>
          <w:rFonts w:ascii="Times New Roman" w:hAnsi="Times New Roman"/>
          <w:sz w:val="24"/>
          <w:szCs w:val="24"/>
        </w:rPr>
      </w:pPr>
    </w:p>
  </w:footnote>
  <w:footnote w:id="58">
    <w:p w14:paraId="798AB839" w14:textId="6A1F653C" w:rsidR="001E2D5E" w:rsidRPr="00CC65A7" w:rsidRDefault="001E2D5E" w:rsidP="00CC65A7">
      <w:pPr>
        <w:pStyle w:val="af5"/>
        <w:tabs>
          <w:tab w:val="left" w:pos="567"/>
        </w:tabs>
        <w:spacing w:line="360" w:lineRule="auto"/>
        <w:ind w:right="-11" w:firstLine="0"/>
        <w:rPr>
          <w:sz w:val="24"/>
          <w:szCs w:val="24"/>
        </w:rPr>
      </w:pPr>
      <w:r w:rsidRPr="00CC65A7">
        <w:rPr>
          <w:rStyle w:val="af1"/>
          <w:sz w:val="24"/>
          <w:szCs w:val="24"/>
        </w:rPr>
        <w:footnoteRef/>
      </w:r>
      <w:r w:rsidRPr="00CC65A7">
        <w:rPr>
          <w:sz w:val="24"/>
          <w:szCs w:val="24"/>
        </w:rPr>
        <w:t xml:space="preserve"> ЄСПЛ, «Дель Ріо Прада проти Іспанії» / Del Rio Prada v. Spain. </w:t>
      </w:r>
      <w:hyperlink r:id="rId37" w:history="1">
        <w:r w:rsidRPr="00CC65A7">
          <w:rPr>
            <w:rStyle w:val="a6"/>
            <w:color w:val="auto"/>
            <w:sz w:val="24"/>
            <w:szCs w:val="24"/>
            <w:u w:val="none"/>
          </w:rPr>
          <w:t>URL:http://hudoc.echr.coe.int/fre?i=001-127697</w:t>
        </w:r>
      </w:hyperlink>
    </w:p>
    <w:p w14:paraId="59CA5353" w14:textId="77777777" w:rsidR="001E2D5E" w:rsidRPr="00CC65A7" w:rsidRDefault="001E2D5E" w:rsidP="00CC65A7">
      <w:pPr>
        <w:pStyle w:val="af"/>
        <w:jc w:val="both"/>
        <w:rPr>
          <w:rFonts w:ascii="Times New Roman" w:hAnsi="Times New Roman"/>
          <w:sz w:val="24"/>
          <w:szCs w:val="24"/>
          <w:lang w:val="uk-UA"/>
        </w:rPr>
      </w:pPr>
    </w:p>
  </w:footnote>
  <w:footnote w:id="59">
    <w:p w14:paraId="41EB714B" w14:textId="4E41B992" w:rsidR="001E2D5E" w:rsidRPr="00CC65A7" w:rsidRDefault="001E2D5E" w:rsidP="00CC65A7">
      <w:pPr>
        <w:tabs>
          <w:tab w:val="left" w:pos="0"/>
        </w:tabs>
        <w:spacing w:before="120"/>
        <w:ind w:firstLine="0"/>
        <w:contextualSpacing/>
        <w:rPr>
          <w:sz w:val="24"/>
          <w:szCs w:val="24"/>
          <w:lang w:val="en-US" w:eastAsia="nl-NL"/>
        </w:rPr>
      </w:pPr>
      <w:r w:rsidRPr="00CC65A7">
        <w:rPr>
          <w:rStyle w:val="af1"/>
          <w:sz w:val="24"/>
          <w:szCs w:val="24"/>
        </w:rPr>
        <w:footnoteRef/>
      </w:r>
      <w:r w:rsidRPr="00CC65A7">
        <w:rPr>
          <w:sz w:val="24"/>
          <w:szCs w:val="24"/>
          <w:lang w:val="en-US" w:eastAsia="nl-NL"/>
        </w:rPr>
        <w:t>Guide on Article 7 of the European Convention on Human Rights</w:t>
      </w:r>
      <w:r w:rsidRPr="00CC65A7">
        <w:rPr>
          <w:sz w:val="24"/>
          <w:szCs w:val="24"/>
          <w:lang w:eastAsia="nl-NL"/>
        </w:rPr>
        <w:t>.</w:t>
      </w:r>
      <w:r w:rsidRPr="00CC65A7">
        <w:rPr>
          <w:sz w:val="24"/>
          <w:szCs w:val="24"/>
          <w:lang w:val="en-US" w:eastAsia="nl-NL"/>
        </w:rPr>
        <w:t xml:space="preserve"> </w:t>
      </w:r>
      <w:r w:rsidRPr="00CC65A7">
        <w:rPr>
          <w:sz w:val="24"/>
          <w:szCs w:val="24"/>
          <w:lang w:eastAsia="nl-NL"/>
        </w:rPr>
        <w:t xml:space="preserve"> </w:t>
      </w:r>
      <w:r w:rsidRPr="00CC65A7">
        <w:rPr>
          <w:sz w:val="24"/>
          <w:szCs w:val="24"/>
          <w:lang w:val="en-US" w:eastAsia="nl-NL"/>
        </w:rPr>
        <w:t>URL</w:t>
      </w:r>
      <w:r w:rsidRPr="00CC65A7">
        <w:rPr>
          <w:sz w:val="24"/>
          <w:szCs w:val="24"/>
          <w:lang w:eastAsia="nl-NL"/>
        </w:rPr>
        <w:t>:</w:t>
      </w:r>
      <w:r w:rsidRPr="00CC65A7">
        <w:rPr>
          <w:sz w:val="24"/>
          <w:szCs w:val="24"/>
          <w:lang w:val="en-US" w:eastAsia="nl-NL"/>
        </w:rPr>
        <w:t xml:space="preserve"> </w:t>
      </w:r>
      <w:hyperlink r:id="rId38" w:history="1">
        <w:r w:rsidRPr="00CC65A7">
          <w:rPr>
            <w:sz w:val="24"/>
            <w:szCs w:val="24"/>
            <w:lang w:val="en-US" w:eastAsia="nl-NL"/>
          </w:rPr>
          <w:t>https://www.echr.coe.int/Documents/Guide_Art_7_ENG.pdf</w:t>
        </w:r>
      </w:hyperlink>
    </w:p>
    <w:p w14:paraId="0066116F" w14:textId="77777777" w:rsidR="001E2D5E" w:rsidRPr="00CC65A7" w:rsidRDefault="001E2D5E" w:rsidP="00CC65A7">
      <w:pPr>
        <w:pStyle w:val="af"/>
        <w:jc w:val="both"/>
        <w:rPr>
          <w:rFonts w:ascii="Times New Roman" w:hAnsi="Times New Roman"/>
          <w:sz w:val="24"/>
          <w:szCs w:val="24"/>
          <w:lang w:val="en-US"/>
        </w:rPr>
      </w:pPr>
    </w:p>
  </w:footnote>
  <w:footnote w:id="60">
    <w:p w14:paraId="72009332" w14:textId="5B36005D" w:rsidR="00287895" w:rsidRPr="00CC65A7" w:rsidRDefault="00287895" w:rsidP="00CC65A7">
      <w:pPr>
        <w:pStyle w:val="af"/>
        <w:jc w:val="both"/>
        <w:rPr>
          <w:rFonts w:ascii="Times New Roman" w:hAnsi="Times New Roman"/>
          <w:sz w:val="24"/>
          <w:szCs w:val="24"/>
          <w:lang w:val="uk-UA"/>
        </w:rPr>
      </w:pPr>
      <w:r w:rsidRPr="00CC65A7">
        <w:rPr>
          <w:rStyle w:val="af1"/>
          <w:rFonts w:ascii="Times New Roman" w:hAnsi="Times New Roman"/>
          <w:sz w:val="24"/>
          <w:szCs w:val="24"/>
        </w:rPr>
        <w:footnoteRef/>
      </w:r>
      <w:r w:rsidRPr="00CC65A7">
        <w:rPr>
          <w:rFonts w:ascii="Times New Roman" w:hAnsi="Times New Roman"/>
          <w:sz w:val="24"/>
          <w:szCs w:val="24"/>
        </w:rPr>
        <w:t xml:space="preserve"> </w:t>
      </w:r>
      <w:r w:rsidR="00E362DD" w:rsidRPr="00CC65A7">
        <w:rPr>
          <w:rFonts w:ascii="Times New Roman" w:hAnsi="Times New Roman"/>
          <w:color w:val="444444"/>
          <w:sz w:val="24"/>
          <w:szCs w:val="24"/>
        </w:rPr>
        <w:t>Організована та економічна злочинність=Organised and financial crime : підручник / С. В. Ківалов, Б. М. Головкін, В. О. Туляков, Т. В. Мельничук, Л. І. Аркуша, В. І. Маркін, Д. Є. Крикливець ; за ред. В. О. Тулякова. - Одеса : Національний університет "Одеська юридична академія", 2022. - 292 с. DOI: https://doi.org/10.32837/11300.26025</w:t>
      </w:r>
    </w:p>
  </w:footnote>
  <w:footnote w:id="61">
    <w:p w14:paraId="779095DE" w14:textId="29B9A3F1" w:rsidR="00E362DD" w:rsidRPr="00CC65A7" w:rsidRDefault="00E362DD" w:rsidP="00CC65A7">
      <w:pPr>
        <w:pStyle w:val="af"/>
        <w:jc w:val="both"/>
        <w:rPr>
          <w:rFonts w:ascii="Times New Roman" w:hAnsi="Times New Roman"/>
          <w:sz w:val="24"/>
          <w:szCs w:val="24"/>
          <w:lang w:val="uk-UA"/>
        </w:rPr>
      </w:pPr>
      <w:r w:rsidRPr="00CC65A7">
        <w:rPr>
          <w:rStyle w:val="af1"/>
          <w:rFonts w:ascii="Times New Roman" w:hAnsi="Times New Roman"/>
          <w:sz w:val="24"/>
          <w:szCs w:val="24"/>
        </w:rPr>
        <w:footnoteRef/>
      </w:r>
      <w:r w:rsidRPr="00CC65A7">
        <w:rPr>
          <w:rFonts w:ascii="Times New Roman" w:hAnsi="Times New Roman"/>
          <w:sz w:val="24"/>
          <w:szCs w:val="24"/>
        </w:rPr>
        <w:t xml:space="preserve"> </w:t>
      </w:r>
      <w:r w:rsidRPr="00CC65A7">
        <w:rPr>
          <w:rFonts w:ascii="Times New Roman" w:hAnsi="Times New Roman"/>
          <w:color w:val="444444"/>
          <w:sz w:val="24"/>
          <w:szCs w:val="24"/>
        </w:rPr>
        <w:t>Організована та економічна злочинність=Organised and financial crime : підручник / С. В. Ківалов, Б. М. Головкін, В. О. Туляков, Т. В. Мельничук, Л. І. Аркуша, В. І. Маркін, Д. Є. Крикливець ; за ред. В. О. Тулякова. - Одеса : Національний університет "Одеська юридична академія", 2022. - 292 с. DOI: https://doi.org/10.32837/11300.26025</w:t>
      </w:r>
    </w:p>
  </w:footnote>
  <w:footnote w:id="62">
    <w:p w14:paraId="2B9F26CB" w14:textId="1BB42F30" w:rsidR="00E362DD" w:rsidRPr="00CC65A7" w:rsidRDefault="00E362DD" w:rsidP="00CC65A7">
      <w:pPr>
        <w:ind w:firstLine="0"/>
        <w:textAlignment w:val="baseline"/>
        <w:rPr>
          <w:color w:val="444444"/>
          <w:sz w:val="24"/>
          <w:szCs w:val="24"/>
        </w:rPr>
      </w:pPr>
      <w:r w:rsidRPr="00CC65A7">
        <w:rPr>
          <w:rStyle w:val="af1"/>
          <w:sz w:val="24"/>
          <w:szCs w:val="24"/>
        </w:rPr>
        <w:footnoteRef/>
      </w:r>
      <w:r w:rsidRPr="00CC65A7">
        <w:rPr>
          <w:sz w:val="24"/>
          <w:szCs w:val="24"/>
        </w:rPr>
        <w:t xml:space="preserve"> </w:t>
      </w:r>
      <w:r w:rsidRPr="00CC65A7">
        <w:rPr>
          <w:color w:val="444444"/>
          <w:sz w:val="24"/>
          <w:szCs w:val="24"/>
        </w:rPr>
        <w:t>Коломієць Ю. Ю. Ідеологічна обумовленість в кримінальному праві України принципів законності та верховенства права / Ю. Ю. Коломієць // Правові та інституційні механізми забезпечення розвитку України в умовах європейської інтеграції : матеріали Міжнародної науково-практичної конференції (м. Одеса, 18 травня 2018 р.) У 2-х т. Т. 2 / відп. ред. Г.О. Ульянова. – Одеса : Видавничий дім «Гельветика», 2018. – С. 183-186. Коломієць Ю.Ю. Кримінально-правова ідеологія: філософсько-правове дослідження: Монографія / Ю.Ю. Коломієць. - Арциз : ФОП Петров О.С., 2019. - 472с.</w:t>
      </w:r>
    </w:p>
    <w:p w14:paraId="13A004D4" w14:textId="77777777" w:rsidR="00E362DD" w:rsidRPr="00E362DD" w:rsidRDefault="00E362DD" w:rsidP="00CC65A7">
      <w:pPr>
        <w:ind w:firstLine="0"/>
        <w:rPr>
          <w:sz w:val="24"/>
          <w:szCs w:val="24"/>
        </w:rPr>
      </w:pPr>
    </w:p>
    <w:p w14:paraId="56A9E0C5" w14:textId="7CE5ECA3" w:rsidR="00E362DD" w:rsidRPr="00CC65A7" w:rsidRDefault="00E362DD" w:rsidP="00CC65A7">
      <w:pPr>
        <w:pStyle w:val="af"/>
        <w:jc w:val="both"/>
        <w:rPr>
          <w:rFonts w:ascii="Times New Roman" w:hAnsi="Times New Roman"/>
          <w:sz w:val="24"/>
          <w:szCs w:val="24"/>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345AA"/>
    <w:multiLevelType w:val="hybridMultilevel"/>
    <w:tmpl w:val="1D06D2D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
    <w:nsid w:val="02C20156"/>
    <w:multiLevelType w:val="hybridMultilevel"/>
    <w:tmpl w:val="DAB4BE2C"/>
    <w:lvl w:ilvl="0" w:tplc="04190001">
      <w:start w:val="1"/>
      <w:numFmt w:val="bullet"/>
      <w:lvlText w:val=""/>
      <w:lvlJc w:val="left"/>
      <w:pPr>
        <w:ind w:left="896" w:hanging="360"/>
      </w:pPr>
      <w:rPr>
        <w:rFonts w:ascii="Symbol" w:hAnsi="Symbol" w:hint="default"/>
      </w:rPr>
    </w:lvl>
    <w:lvl w:ilvl="1" w:tplc="04190003" w:tentative="1">
      <w:start w:val="1"/>
      <w:numFmt w:val="bullet"/>
      <w:lvlText w:val="o"/>
      <w:lvlJc w:val="left"/>
      <w:pPr>
        <w:ind w:left="1616" w:hanging="360"/>
      </w:pPr>
      <w:rPr>
        <w:rFonts w:ascii="Courier New" w:hAnsi="Courier New" w:cs="Courier New" w:hint="default"/>
      </w:rPr>
    </w:lvl>
    <w:lvl w:ilvl="2" w:tplc="04190005" w:tentative="1">
      <w:start w:val="1"/>
      <w:numFmt w:val="bullet"/>
      <w:lvlText w:val=""/>
      <w:lvlJc w:val="left"/>
      <w:pPr>
        <w:ind w:left="2336" w:hanging="360"/>
      </w:pPr>
      <w:rPr>
        <w:rFonts w:ascii="Wingdings" w:hAnsi="Wingdings" w:hint="default"/>
      </w:rPr>
    </w:lvl>
    <w:lvl w:ilvl="3" w:tplc="04190001" w:tentative="1">
      <w:start w:val="1"/>
      <w:numFmt w:val="bullet"/>
      <w:lvlText w:val=""/>
      <w:lvlJc w:val="left"/>
      <w:pPr>
        <w:ind w:left="3056" w:hanging="360"/>
      </w:pPr>
      <w:rPr>
        <w:rFonts w:ascii="Symbol" w:hAnsi="Symbol" w:hint="default"/>
      </w:rPr>
    </w:lvl>
    <w:lvl w:ilvl="4" w:tplc="04190003" w:tentative="1">
      <w:start w:val="1"/>
      <w:numFmt w:val="bullet"/>
      <w:lvlText w:val="o"/>
      <w:lvlJc w:val="left"/>
      <w:pPr>
        <w:ind w:left="3776" w:hanging="360"/>
      </w:pPr>
      <w:rPr>
        <w:rFonts w:ascii="Courier New" w:hAnsi="Courier New" w:cs="Courier New" w:hint="default"/>
      </w:rPr>
    </w:lvl>
    <w:lvl w:ilvl="5" w:tplc="04190005" w:tentative="1">
      <w:start w:val="1"/>
      <w:numFmt w:val="bullet"/>
      <w:lvlText w:val=""/>
      <w:lvlJc w:val="left"/>
      <w:pPr>
        <w:ind w:left="4496" w:hanging="360"/>
      </w:pPr>
      <w:rPr>
        <w:rFonts w:ascii="Wingdings" w:hAnsi="Wingdings" w:hint="default"/>
      </w:rPr>
    </w:lvl>
    <w:lvl w:ilvl="6" w:tplc="04190001" w:tentative="1">
      <w:start w:val="1"/>
      <w:numFmt w:val="bullet"/>
      <w:lvlText w:val=""/>
      <w:lvlJc w:val="left"/>
      <w:pPr>
        <w:ind w:left="5216" w:hanging="360"/>
      </w:pPr>
      <w:rPr>
        <w:rFonts w:ascii="Symbol" w:hAnsi="Symbol" w:hint="default"/>
      </w:rPr>
    </w:lvl>
    <w:lvl w:ilvl="7" w:tplc="04190003" w:tentative="1">
      <w:start w:val="1"/>
      <w:numFmt w:val="bullet"/>
      <w:lvlText w:val="o"/>
      <w:lvlJc w:val="left"/>
      <w:pPr>
        <w:ind w:left="5936" w:hanging="360"/>
      </w:pPr>
      <w:rPr>
        <w:rFonts w:ascii="Courier New" w:hAnsi="Courier New" w:cs="Courier New" w:hint="default"/>
      </w:rPr>
    </w:lvl>
    <w:lvl w:ilvl="8" w:tplc="04190005" w:tentative="1">
      <w:start w:val="1"/>
      <w:numFmt w:val="bullet"/>
      <w:lvlText w:val=""/>
      <w:lvlJc w:val="left"/>
      <w:pPr>
        <w:ind w:left="6656" w:hanging="360"/>
      </w:pPr>
      <w:rPr>
        <w:rFonts w:ascii="Wingdings" w:hAnsi="Wingdings" w:hint="default"/>
      </w:rPr>
    </w:lvl>
  </w:abstractNum>
  <w:abstractNum w:abstractNumId="2">
    <w:nsid w:val="041542ED"/>
    <w:multiLevelType w:val="hybridMultilevel"/>
    <w:tmpl w:val="CE2AB6A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
    <w:nsid w:val="050B29DE"/>
    <w:multiLevelType w:val="hybridMultilevel"/>
    <w:tmpl w:val="B72CAFC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nsid w:val="07AD326F"/>
    <w:multiLevelType w:val="hybridMultilevel"/>
    <w:tmpl w:val="EEC46602"/>
    <w:lvl w:ilvl="0" w:tplc="0419000F">
      <w:start w:val="1"/>
      <w:numFmt w:val="decimal"/>
      <w:lvlText w:val="%1."/>
      <w:lvlJc w:val="left"/>
      <w:pPr>
        <w:ind w:left="2149" w:hanging="360"/>
      </w:pPr>
    </w:lvl>
    <w:lvl w:ilvl="1" w:tplc="04190019" w:tentative="1">
      <w:start w:val="1"/>
      <w:numFmt w:val="lowerLetter"/>
      <w:lvlText w:val="%2."/>
      <w:lvlJc w:val="left"/>
      <w:pPr>
        <w:ind w:left="2869" w:hanging="360"/>
      </w:pPr>
    </w:lvl>
    <w:lvl w:ilvl="2" w:tplc="0419001B" w:tentative="1">
      <w:start w:val="1"/>
      <w:numFmt w:val="lowerRoman"/>
      <w:lvlText w:val="%3."/>
      <w:lvlJc w:val="right"/>
      <w:pPr>
        <w:ind w:left="3589" w:hanging="180"/>
      </w:pPr>
    </w:lvl>
    <w:lvl w:ilvl="3" w:tplc="0419000F" w:tentative="1">
      <w:start w:val="1"/>
      <w:numFmt w:val="decimal"/>
      <w:lvlText w:val="%4."/>
      <w:lvlJc w:val="left"/>
      <w:pPr>
        <w:ind w:left="4309" w:hanging="360"/>
      </w:pPr>
    </w:lvl>
    <w:lvl w:ilvl="4" w:tplc="04190019" w:tentative="1">
      <w:start w:val="1"/>
      <w:numFmt w:val="lowerLetter"/>
      <w:lvlText w:val="%5."/>
      <w:lvlJc w:val="left"/>
      <w:pPr>
        <w:ind w:left="5029" w:hanging="360"/>
      </w:pPr>
    </w:lvl>
    <w:lvl w:ilvl="5" w:tplc="0419001B" w:tentative="1">
      <w:start w:val="1"/>
      <w:numFmt w:val="lowerRoman"/>
      <w:lvlText w:val="%6."/>
      <w:lvlJc w:val="right"/>
      <w:pPr>
        <w:ind w:left="5749" w:hanging="180"/>
      </w:pPr>
    </w:lvl>
    <w:lvl w:ilvl="6" w:tplc="0419000F" w:tentative="1">
      <w:start w:val="1"/>
      <w:numFmt w:val="decimal"/>
      <w:lvlText w:val="%7."/>
      <w:lvlJc w:val="left"/>
      <w:pPr>
        <w:ind w:left="6469" w:hanging="360"/>
      </w:pPr>
    </w:lvl>
    <w:lvl w:ilvl="7" w:tplc="04190019" w:tentative="1">
      <w:start w:val="1"/>
      <w:numFmt w:val="lowerLetter"/>
      <w:lvlText w:val="%8."/>
      <w:lvlJc w:val="left"/>
      <w:pPr>
        <w:ind w:left="7189" w:hanging="360"/>
      </w:pPr>
    </w:lvl>
    <w:lvl w:ilvl="8" w:tplc="0419001B" w:tentative="1">
      <w:start w:val="1"/>
      <w:numFmt w:val="lowerRoman"/>
      <w:lvlText w:val="%9."/>
      <w:lvlJc w:val="right"/>
      <w:pPr>
        <w:ind w:left="7909" w:hanging="180"/>
      </w:pPr>
    </w:lvl>
  </w:abstractNum>
  <w:abstractNum w:abstractNumId="5">
    <w:nsid w:val="13D76160"/>
    <w:multiLevelType w:val="hybridMultilevel"/>
    <w:tmpl w:val="301A9FEA"/>
    <w:lvl w:ilvl="0" w:tplc="04190001">
      <w:start w:val="1"/>
      <w:numFmt w:val="bullet"/>
      <w:lvlText w:val=""/>
      <w:lvlJc w:val="left"/>
      <w:pPr>
        <w:ind w:left="896" w:hanging="360"/>
      </w:pPr>
      <w:rPr>
        <w:rFonts w:ascii="Symbol" w:hAnsi="Symbol" w:hint="default"/>
      </w:rPr>
    </w:lvl>
    <w:lvl w:ilvl="1" w:tplc="04190003" w:tentative="1">
      <w:start w:val="1"/>
      <w:numFmt w:val="bullet"/>
      <w:lvlText w:val="o"/>
      <w:lvlJc w:val="left"/>
      <w:pPr>
        <w:ind w:left="1616" w:hanging="360"/>
      </w:pPr>
      <w:rPr>
        <w:rFonts w:ascii="Courier New" w:hAnsi="Courier New" w:cs="Courier New" w:hint="default"/>
      </w:rPr>
    </w:lvl>
    <w:lvl w:ilvl="2" w:tplc="04190005" w:tentative="1">
      <w:start w:val="1"/>
      <w:numFmt w:val="bullet"/>
      <w:lvlText w:val=""/>
      <w:lvlJc w:val="left"/>
      <w:pPr>
        <w:ind w:left="2336" w:hanging="360"/>
      </w:pPr>
      <w:rPr>
        <w:rFonts w:ascii="Wingdings" w:hAnsi="Wingdings" w:hint="default"/>
      </w:rPr>
    </w:lvl>
    <w:lvl w:ilvl="3" w:tplc="04190001" w:tentative="1">
      <w:start w:val="1"/>
      <w:numFmt w:val="bullet"/>
      <w:lvlText w:val=""/>
      <w:lvlJc w:val="left"/>
      <w:pPr>
        <w:ind w:left="3056" w:hanging="360"/>
      </w:pPr>
      <w:rPr>
        <w:rFonts w:ascii="Symbol" w:hAnsi="Symbol" w:hint="default"/>
      </w:rPr>
    </w:lvl>
    <w:lvl w:ilvl="4" w:tplc="04190003" w:tentative="1">
      <w:start w:val="1"/>
      <w:numFmt w:val="bullet"/>
      <w:lvlText w:val="o"/>
      <w:lvlJc w:val="left"/>
      <w:pPr>
        <w:ind w:left="3776" w:hanging="360"/>
      </w:pPr>
      <w:rPr>
        <w:rFonts w:ascii="Courier New" w:hAnsi="Courier New" w:cs="Courier New" w:hint="default"/>
      </w:rPr>
    </w:lvl>
    <w:lvl w:ilvl="5" w:tplc="04190005" w:tentative="1">
      <w:start w:val="1"/>
      <w:numFmt w:val="bullet"/>
      <w:lvlText w:val=""/>
      <w:lvlJc w:val="left"/>
      <w:pPr>
        <w:ind w:left="4496" w:hanging="360"/>
      </w:pPr>
      <w:rPr>
        <w:rFonts w:ascii="Wingdings" w:hAnsi="Wingdings" w:hint="default"/>
      </w:rPr>
    </w:lvl>
    <w:lvl w:ilvl="6" w:tplc="04190001" w:tentative="1">
      <w:start w:val="1"/>
      <w:numFmt w:val="bullet"/>
      <w:lvlText w:val=""/>
      <w:lvlJc w:val="left"/>
      <w:pPr>
        <w:ind w:left="5216" w:hanging="360"/>
      </w:pPr>
      <w:rPr>
        <w:rFonts w:ascii="Symbol" w:hAnsi="Symbol" w:hint="default"/>
      </w:rPr>
    </w:lvl>
    <w:lvl w:ilvl="7" w:tplc="04190003" w:tentative="1">
      <w:start w:val="1"/>
      <w:numFmt w:val="bullet"/>
      <w:lvlText w:val="o"/>
      <w:lvlJc w:val="left"/>
      <w:pPr>
        <w:ind w:left="5936" w:hanging="360"/>
      </w:pPr>
      <w:rPr>
        <w:rFonts w:ascii="Courier New" w:hAnsi="Courier New" w:cs="Courier New" w:hint="default"/>
      </w:rPr>
    </w:lvl>
    <w:lvl w:ilvl="8" w:tplc="04190005" w:tentative="1">
      <w:start w:val="1"/>
      <w:numFmt w:val="bullet"/>
      <w:lvlText w:val=""/>
      <w:lvlJc w:val="left"/>
      <w:pPr>
        <w:ind w:left="6656" w:hanging="360"/>
      </w:pPr>
      <w:rPr>
        <w:rFonts w:ascii="Wingdings" w:hAnsi="Wingdings" w:hint="default"/>
      </w:rPr>
    </w:lvl>
  </w:abstractNum>
  <w:abstractNum w:abstractNumId="6">
    <w:nsid w:val="157C5F18"/>
    <w:multiLevelType w:val="hybridMultilevel"/>
    <w:tmpl w:val="EDE87808"/>
    <w:lvl w:ilvl="0" w:tplc="04190001">
      <w:start w:val="1"/>
      <w:numFmt w:val="bullet"/>
      <w:lvlText w:val=""/>
      <w:lvlJc w:val="left"/>
      <w:pPr>
        <w:ind w:left="896" w:hanging="360"/>
      </w:pPr>
      <w:rPr>
        <w:rFonts w:ascii="Symbol" w:hAnsi="Symbol" w:hint="default"/>
      </w:rPr>
    </w:lvl>
    <w:lvl w:ilvl="1" w:tplc="04190003" w:tentative="1">
      <w:start w:val="1"/>
      <w:numFmt w:val="bullet"/>
      <w:lvlText w:val="o"/>
      <w:lvlJc w:val="left"/>
      <w:pPr>
        <w:ind w:left="1616" w:hanging="360"/>
      </w:pPr>
      <w:rPr>
        <w:rFonts w:ascii="Courier New" w:hAnsi="Courier New" w:cs="Courier New" w:hint="default"/>
      </w:rPr>
    </w:lvl>
    <w:lvl w:ilvl="2" w:tplc="04190005" w:tentative="1">
      <w:start w:val="1"/>
      <w:numFmt w:val="bullet"/>
      <w:lvlText w:val=""/>
      <w:lvlJc w:val="left"/>
      <w:pPr>
        <w:ind w:left="2336" w:hanging="360"/>
      </w:pPr>
      <w:rPr>
        <w:rFonts w:ascii="Wingdings" w:hAnsi="Wingdings" w:hint="default"/>
      </w:rPr>
    </w:lvl>
    <w:lvl w:ilvl="3" w:tplc="04190001" w:tentative="1">
      <w:start w:val="1"/>
      <w:numFmt w:val="bullet"/>
      <w:lvlText w:val=""/>
      <w:lvlJc w:val="left"/>
      <w:pPr>
        <w:ind w:left="3056" w:hanging="360"/>
      </w:pPr>
      <w:rPr>
        <w:rFonts w:ascii="Symbol" w:hAnsi="Symbol" w:hint="default"/>
      </w:rPr>
    </w:lvl>
    <w:lvl w:ilvl="4" w:tplc="04190003" w:tentative="1">
      <w:start w:val="1"/>
      <w:numFmt w:val="bullet"/>
      <w:lvlText w:val="o"/>
      <w:lvlJc w:val="left"/>
      <w:pPr>
        <w:ind w:left="3776" w:hanging="360"/>
      </w:pPr>
      <w:rPr>
        <w:rFonts w:ascii="Courier New" w:hAnsi="Courier New" w:cs="Courier New" w:hint="default"/>
      </w:rPr>
    </w:lvl>
    <w:lvl w:ilvl="5" w:tplc="04190005" w:tentative="1">
      <w:start w:val="1"/>
      <w:numFmt w:val="bullet"/>
      <w:lvlText w:val=""/>
      <w:lvlJc w:val="left"/>
      <w:pPr>
        <w:ind w:left="4496" w:hanging="360"/>
      </w:pPr>
      <w:rPr>
        <w:rFonts w:ascii="Wingdings" w:hAnsi="Wingdings" w:hint="default"/>
      </w:rPr>
    </w:lvl>
    <w:lvl w:ilvl="6" w:tplc="04190001" w:tentative="1">
      <w:start w:val="1"/>
      <w:numFmt w:val="bullet"/>
      <w:lvlText w:val=""/>
      <w:lvlJc w:val="left"/>
      <w:pPr>
        <w:ind w:left="5216" w:hanging="360"/>
      </w:pPr>
      <w:rPr>
        <w:rFonts w:ascii="Symbol" w:hAnsi="Symbol" w:hint="default"/>
      </w:rPr>
    </w:lvl>
    <w:lvl w:ilvl="7" w:tplc="04190003" w:tentative="1">
      <w:start w:val="1"/>
      <w:numFmt w:val="bullet"/>
      <w:lvlText w:val="o"/>
      <w:lvlJc w:val="left"/>
      <w:pPr>
        <w:ind w:left="5936" w:hanging="360"/>
      </w:pPr>
      <w:rPr>
        <w:rFonts w:ascii="Courier New" w:hAnsi="Courier New" w:cs="Courier New" w:hint="default"/>
      </w:rPr>
    </w:lvl>
    <w:lvl w:ilvl="8" w:tplc="04190005" w:tentative="1">
      <w:start w:val="1"/>
      <w:numFmt w:val="bullet"/>
      <w:lvlText w:val=""/>
      <w:lvlJc w:val="left"/>
      <w:pPr>
        <w:ind w:left="6656" w:hanging="360"/>
      </w:pPr>
      <w:rPr>
        <w:rFonts w:ascii="Wingdings" w:hAnsi="Wingdings" w:hint="default"/>
      </w:rPr>
    </w:lvl>
  </w:abstractNum>
  <w:abstractNum w:abstractNumId="7">
    <w:nsid w:val="192E4195"/>
    <w:multiLevelType w:val="hybridMultilevel"/>
    <w:tmpl w:val="6C7C3906"/>
    <w:lvl w:ilvl="0" w:tplc="E506C76E">
      <w:start w:val="1"/>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26A72162"/>
    <w:multiLevelType w:val="hybridMultilevel"/>
    <w:tmpl w:val="C6322492"/>
    <w:lvl w:ilvl="0" w:tplc="E506C76E">
      <w:start w:val="1"/>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29736561"/>
    <w:multiLevelType w:val="hybridMultilevel"/>
    <w:tmpl w:val="EFD2E2A8"/>
    <w:lvl w:ilvl="0" w:tplc="E506C76E">
      <w:start w:val="1"/>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nsid w:val="298458DA"/>
    <w:multiLevelType w:val="hybridMultilevel"/>
    <w:tmpl w:val="F6DCE3A6"/>
    <w:lvl w:ilvl="0" w:tplc="E506C76E">
      <w:start w:val="1"/>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nsid w:val="2EAC497F"/>
    <w:multiLevelType w:val="hybridMultilevel"/>
    <w:tmpl w:val="BB16D696"/>
    <w:lvl w:ilvl="0" w:tplc="04190001">
      <w:start w:val="1"/>
      <w:numFmt w:val="bullet"/>
      <w:lvlText w:val=""/>
      <w:lvlJc w:val="left"/>
      <w:pPr>
        <w:ind w:left="896" w:hanging="360"/>
      </w:pPr>
      <w:rPr>
        <w:rFonts w:ascii="Symbol" w:hAnsi="Symbol" w:hint="default"/>
      </w:rPr>
    </w:lvl>
    <w:lvl w:ilvl="1" w:tplc="04190003" w:tentative="1">
      <w:start w:val="1"/>
      <w:numFmt w:val="bullet"/>
      <w:lvlText w:val="o"/>
      <w:lvlJc w:val="left"/>
      <w:pPr>
        <w:ind w:left="1616" w:hanging="360"/>
      </w:pPr>
      <w:rPr>
        <w:rFonts w:ascii="Courier New" w:hAnsi="Courier New" w:cs="Courier New" w:hint="default"/>
      </w:rPr>
    </w:lvl>
    <w:lvl w:ilvl="2" w:tplc="04190005" w:tentative="1">
      <w:start w:val="1"/>
      <w:numFmt w:val="bullet"/>
      <w:lvlText w:val=""/>
      <w:lvlJc w:val="left"/>
      <w:pPr>
        <w:ind w:left="2336" w:hanging="360"/>
      </w:pPr>
      <w:rPr>
        <w:rFonts w:ascii="Wingdings" w:hAnsi="Wingdings" w:hint="default"/>
      </w:rPr>
    </w:lvl>
    <w:lvl w:ilvl="3" w:tplc="04190001" w:tentative="1">
      <w:start w:val="1"/>
      <w:numFmt w:val="bullet"/>
      <w:lvlText w:val=""/>
      <w:lvlJc w:val="left"/>
      <w:pPr>
        <w:ind w:left="3056" w:hanging="360"/>
      </w:pPr>
      <w:rPr>
        <w:rFonts w:ascii="Symbol" w:hAnsi="Symbol" w:hint="default"/>
      </w:rPr>
    </w:lvl>
    <w:lvl w:ilvl="4" w:tplc="04190003" w:tentative="1">
      <w:start w:val="1"/>
      <w:numFmt w:val="bullet"/>
      <w:lvlText w:val="o"/>
      <w:lvlJc w:val="left"/>
      <w:pPr>
        <w:ind w:left="3776" w:hanging="360"/>
      </w:pPr>
      <w:rPr>
        <w:rFonts w:ascii="Courier New" w:hAnsi="Courier New" w:cs="Courier New" w:hint="default"/>
      </w:rPr>
    </w:lvl>
    <w:lvl w:ilvl="5" w:tplc="04190005" w:tentative="1">
      <w:start w:val="1"/>
      <w:numFmt w:val="bullet"/>
      <w:lvlText w:val=""/>
      <w:lvlJc w:val="left"/>
      <w:pPr>
        <w:ind w:left="4496" w:hanging="360"/>
      </w:pPr>
      <w:rPr>
        <w:rFonts w:ascii="Wingdings" w:hAnsi="Wingdings" w:hint="default"/>
      </w:rPr>
    </w:lvl>
    <w:lvl w:ilvl="6" w:tplc="04190001" w:tentative="1">
      <w:start w:val="1"/>
      <w:numFmt w:val="bullet"/>
      <w:lvlText w:val=""/>
      <w:lvlJc w:val="left"/>
      <w:pPr>
        <w:ind w:left="5216" w:hanging="360"/>
      </w:pPr>
      <w:rPr>
        <w:rFonts w:ascii="Symbol" w:hAnsi="Symbol" w:hint="default"/>
      </w:rPr>
    </w:lvl>
    <w:lvl w:ilvl="7" w:tplc="04190003" w:tentative="1">
      <w:start w:val="1"/>
      <w:numFmt w:val="bullet"/>
      <w:lvlText w:val="o"/>
      <w:lvlJc w:val="left"/>
      <w:pPr>
        <w:ind w:left="5936" w:hanging="360"/>
      </w:pPr>
      <w:rPr>
        <w:rFonts w:ascii="Courier New" w:hAnsi="Courier New" w:cs="Courier New" w:hint="default"/>
      </w:rPr>
    </w:lvl>
    <w:lvl w:ilvl="8" w:tplc="04190005" w:tentative="1">
      <w:start w:val="1"/>
      <w:numFmt w:val="bullet"/>
      <w:lvlText w:val=""/>
      <w:lvlJc w:val="left"/>
      <w:pPr>
        <w:ind w:left="6656" w:hanging="360"/>
      </w:pPr>
      <w:rPr>
        <w:rFonts w:ascii="Wingdings" w:hAnsi="Wingdings" w:hint="default"/>
      </w:rPr>
    </w:lvl>
  </w:abstractNum>
  <w:abstractNum w:abstractNumId="12">
    <w:nsid w:val="36A6324B"/>
    <w:multiLevelType w:val="hybridMultilevel"/>
    <w:tmpl w:val="272C124E"/>
    <w:lvl w:ilvl="0" w:tplc="57C4909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3">
    <w:nsid w:val="3B7E16A8"/>
    <w:multiLevelType w:val="hybridMultilevel"/>
    <w:tmpl w:val="D55014F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4">
    <w:nsid w:val="449D0BF5"/>
    <w:multiLevelType w:val="hybridMultilevel"/>
    <w:tmpl w:val="B7D8731A"/>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4A753FBB"/>
    <w:multiLevelType w:val="hybridMultilevel"/>
    <w:tmpl w:val="5AEA1F5E"/>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16">
    <w:nsid w:val="50076E20"/>
    <w:multiLevelType w:val="hybridMultilevel"/>
    <w:tmpl w:val="34CA8AF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7">
    <w:nsid w:val="51625B93"/>
    <w:multiLevelType w:val="hybridMultilevel"/>
    <w:tmpl w:val="11044E28"/>
    <w:lvl w:ilvl="0" w:tplc="04190001">
      <w:start w:val="1"/>
      <w:numFmt w:val="bullet"/>
      <w:lvlText w:val=""/>
      <w:lvlJc w:val="left"/>
      <w:pPr>
        <w:ind w:left="896" w:hanging="360"/>
      </w:pPr>
      <w:rPr>
        <w:rFonts w:ascii="Symbol" w:hAnsi="Symbol" w:hint="default"/>
      </w:rPr>
    </w:lvl>
    <w:lvl w:ilvl="1" w:tplc="04190003" w:tentative="1">
      <w:start w:val="1"/>
      <w:numFmt w:val="bullet"/>
      <w:lvlText w:val="o"/>
      <w:lvlJc w:val="left"/>
      <w:pPr>
        <w:ind w:left="1616" w:hanging="360"/>
      </w:pPr>
      <w:rPr>
        <w:rFonts w:ascii="Courier New" w:hAnsi="Courier New" w:cs="Courier New" w:hint="default"/>
      </w:rPr>
    </w:lvl>
    <w:lvl w:ilvl="2" w:tplc="04190005" w:tentative="1">
      <w:start w:val="1"/>
      <w:numFmt w:val="bullet"/>
      <w:lvlText w:val=""/>
      <w:lvlJc w:val="left"/>
      <w:pPr>
        <w:ind w:left="2336" w:hanging="360"/>
      </w:pPr>
      <w:rPr>
        <w:rFonts w:ascii="Wingdings" w:hAnsi="Wingdings" w:hint="default"/>
      </w:rPr>
    </w:lvl>
    <w:lvl w:ilvl="3" w:tplc="04190001" w:tentative="1">
      <w:start w:val="1"/>
      <w:numFmt w:val="bullet"/>
      <w:lvlText w:val=""/>
      <w:lvlJc w:val="left"/>
      <w:pPr>
        <w:ind w:left="3056" w:hanging="360"/>
      </w:pPr>
      <w:rPr>
        <w:rFonts w:ascii="Symbol" w:hAnsi="Symbol" w:hint="default"/>
      </w:rPr>
    </w:lvl>
    <w:lvl w:ilvl="4" w:tplc="04190003" w:tentative="1">
      <w:start w:val="1"/>
      <w:numFmt w:val="bullet"/>
      <w:lvlText w:val="o"/>
      <w:lvlJc w:val="left"/>
      <w:pPr>
        <w:ind w:left="3776" w:hanging="360"/>
      </w:pPr>
      <w:rPr>
        <w:rFonts w:ascii="Courier New" w:hAnsi="Courier New" w:cs="Courier New" w:hint="default"/>
      </w:rPr>
    </w:lvl>
    <w:lvl w:ilvl="5" w:tplc="04190005" w:tentative="1">
      <w:start w:val="1"/>
      <w:numFmt w:val="bullet"/>
      <w:lvlText w:val=""/>
      <w:lvlJc w:val="left"/>
      <w:pPr>
        <w:ind w:left="4496" w:hanging="360"/>
      </w:pPr>
      <w:rPr>
        <w:rFonts w:ascii="Wingdings" w:hAnsi="Wingdings" w:hint="default"/>
      </w:rPr>
    </w:lvl>
    <w:lvl w:ilvl="6" w:tplc="04190001" w:tentative="1">
      <w:start w:val="1"/>
      <w:numFmt w:val="bullet"/>
      <w:lvlText w:val=""/>
      <w:lvlJc w:val="left"/>
      <w:pPr>
        <w:ind w:left="5216" w:hanging="360"/>
      </w:pPr>
      <w:rPr>
        <w:rFonts w:ascii="Symbol" w:hAnsi="Symbol" w:hint="default"/>
      </w:rPr>
    </w:lvl>
    <w:lvl w:ilvl="7" w:tplc="04190003" w:tentative="1">
      <w:start w:val="1"/>
      <w:numFmt w:val="bullet"/>
      <w:lvlText w:val="o"/>
      <w:lvlJc w:val="left"/>
      <w:pPr>
        <w:ind w:left="5936" w:hanging="360"/>
      </w:pPr>
      <w:rPr>
        <w:rFonts w:ascii="Courier New" w:hAnsi="Courier New" w:cs="Courier New" w:hint="default"/>
      </w:rPr>
    </w:lvl>
    <w:lvl w:ilvl="8" w:tplc="04190005" w:tentative="1">
      <w:start w:val="1"/>
      <w:numFmt w:val="bullet"/>
      <w:lvlText w:val=""/>
      <w:lvlJc w:val="left"/>
      <w:pPr>
        <w:ind w:left="6656" w:hanging="360"/>
      </w:pPr>
      <w:rPr>
        <w:rFonts w:ascii="Wingdings" w:hAnsi="Wingdings" w:hint="default"/>
      </w:rPr>
    </w:lvl>
  </w:abstractNum>
  <w:abstractNum w:abstractNumId="18">
    <w:nsid w:val="570D4FB3"/>
    <w:multiLevelType w:val="hybridMultilevel"/>
    <w:tmpl w:val="8FCE5B64"/>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9">
    <w:nsid w:val="578D0A6D"/>
    <w:multiLevelType w:val="hybridMultilevel"/>
    <w:tmpl w:val="579ED0BE"/>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0">
    <w:nsid w:val="591C5345"/>
    <w:multiLevelType w:val="hybridMultilevel"/>
    <w:tmpl w:val="8F9276C4"/>
    <w:lvl w:ilvl="0" w:tplc="E506C76E">
      <w:start w:val="1"/>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nsid w:val="653B543A"/>
    <w:multiLevelType w:val="hybridMultilevel"/>
    <w:tmpl w:val="07C2D88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2">
    <w:nsid w:val="6907005C"/>
    <w:multiLevelType w:val="hybridMultilevel"/>
    <w:tmpl w:val="1032A0A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3">
    <w:nsid w:val="6B817843"/>
    <w:multiLevelType w:val="hybridMultilevel"/>
    <w:tmpl w:val="0F44E26E"/>
    <w:lvl w:ilvl="0" w:tplc="04190001">
      <w:start w:val="1"/>
      <w:numFmt w:val="bullet"/>
      <w:lvlText w:val=""/>
      <w:lvlJc w:val="left"/>
      <w:pPr>
        <w:tabs>
          <w:tab w:val="num" w:pos="1428"/>
        </w:tabs>
        <w:ind w:left="1428" w:hanging="360"/>
      </w:pPr>
      <w:rPr>
        <w:rFonts w:ascii="Symbol" w:hAnsi="Symbol" w:cs="Symbol" w:hint="default"/>
      </w:rPr>
    </w:lvl>
    <w:lvl w:ilvl="1" w:tplc="04190003">
      <w:start w:val="1"/>
      <w:numFmt w:val="bullet"/>
      <w:lvlText w:val="o"/>
      <w:lvlJc w:val="left"/>
      <w:pPr>
        <w:tabs>
          <w:tab w:val="num" w:pos="2148"/>
        </w:tabs>
        <w:ind w:left="2148" w:hanging="360"/>
      </w:pPr>
      <w:rPr>
        <w:rFonts w:ascii="Courier New" w:hAnsi="Courier New" w:cs="Courier New" w:hint="default"/>
      </w:rPr>
    </w:lvl>
    <w:lvl w:ilvl="2" w:tplc="04190005">
      <w:start w:val="1"/>
      <w:numFmt w:val="bullet"/>
      <w:lvlText w:val=""/>
      <w:lvlJc w:val="left"/>
      <w:pPr>
        <w:tabs>
          <w:tab w:val="num" w:pos="2868"/>
        </w:tabs>
        <w:ind w:left="2868" w:hanging="360"/>
      </w:pPr>
      <w:rPr>
        <w:rFonts w:ascii="Wingdings" w:hAnsi="Wingdings" w:cs="Wingdings" w:hint="default"/>
      </w:rPr>
    </w:lvl>
    <w:lvl w:ilvl="3" w:tplc="04190001">
      <w:start w:val="1"/>
      <w:numFmt w:val="bullet"/>
      <w:lvlText w:val=""/>
      <w:lvlJc w:val="left"/>
      <w:pPr>
        <w:tabs>
          <w:tab w:val="num" w:pos="3588"/>
        </w:tabs>
        <w:ind w:left="3588" w:hanging="360"/>
      </w:pPr>
      <w:rPr>
        <w:rFonts w:ascii="Symbol" w:hAnsi="Symbol" w:cs="Symbol" w:hint="default"/>
      </w:rPr>
    </w:lvl>
    <w:lvl w:ilvl="4" w:tplc="04190003">
      <w:start w:val="1"/>
      <w:numFmt w:val="bullet"/>
      <w:lvlText w:val="o"/>
      <w:lvlJc w:val="left"/>
      <w:pPr>
        <w:tabs>
          <w:tab w:val="num" w:pos="4308"/>
        </w:tabs>
        <w:ind w:left="4308" w:hanging="360"/>
      </w:pPr>
      <w:rPr>
        <w:rFonts w:ascii="Courier New" w:hAnsi="Courier New" w:cs="Courier New" w:hint="default"/>
      </w:rPr>
    </w:lvl>
    <w:lvl w:ilvl="5" w:tplc="04190005">
      <w:start w:val="1"/>
      <w:numFmt w:val="bullet"/>
      <w:lvlText w:val=""/>
      <w:lvlJc w:val="left"/>
      <w:pPr>
        <w:tabs>
          <w:tab w:val="num" w:pos="5028"/>
        </w:tabs>
        <w:ind w:left="5028" w:hanging="360"/>
      </w:pPr>
      <w:rPr>
        <w:rFonts w:ascii="Wingdings" w:hAnsi="Wingdings" w:cs="Wingdings" w:hint="default"/>
      </w:rPr>
    </w:lvl>
    <w:lvl w:ilvl="6" w:tplc="04190001">
      <w:start w:val="1"/>
      <w:numFmt w:val="bullet"/>
      <w:lvlText w:val=""/>
      <w:lvlJc w:val="left"/>
      <w:pPr>
        <w:tabs>
          <w:tab w:val="num" w:pos="5748"/>
        </w:tabs>
        <w:ind w:left="5748" w:hanging="360"/>
      </w:pPr>
      <w:rPr>
        <w:rFonts w:ascii="Symbol" w:hAnsi="Symbol" w:cs="Symbol" w:hint="default"/>
      </w:rPr>
    </w:lvl>
    <w:lvl w:ilvl="7" w:tplc="04190003">
      <w:start w:val="1"/>
      <w:numFmt w:val="bullet"/>
      <w:lvlText w:val="o"/>
      <w:lvlJc w:val="left"/>
      <w:pPr>
        <w:tabs>
          <w:tab w:val="num" w:pos="6468"/>
        </w:tabs>
        <w:ind w:left="6468" w:hanging="360"/>
      </w:pPr>
      <w:rPr>
        <w:rFonts w:ascii="Courier New" w:hAnsi="Courier New" w:cs="Courier New" w:hint="default"/>
      </w:rPr>
    </w:lvl>
    <w:lvl w:ilvl="8" w:tplc="04190005">
      <w:start w:val="1"/>
      <w:numFmt w:val="bullet"/>
      <w:lvlText w:val=""/>
      <w:lvlJc w:val="left"/>
      <w:pPr>
        <w:tabs>
          <w:tab w:val="num" w:pos="7188"/>
        </w:tabs>
        <w:ind w:left="7188" w:hanging="360"/>
      </w:pPr>
      <w:rPr>
        <w:rFonts w:ascii="Wingdings" w:hAnsi="Wingdings" w:cs="Wingdings" w:hint="default"/>
      </w:rPr>
    </w:lvl>
  </w:abstractNum>
  <w:abstractNum w:abstractNumId="24">
    <w:nsid w:val="6C55544B"/>
    <w:multiLevelType w:val="hybridMultilevel"/>
    <w:tmpl w:val="1914949C"/>
    <w:lvl w:ilvl="0" w:tplc="04190001">
      <w:start w:val="1"/>
      <w:numFmt w:val="bullet"/>
      <w:lvlText w:val=""/>
      <w:lvlJc w:val="left"/>
      <w:pPr>
        <w:ind w:left="1493" w:hanging="360"/>
      </w:pPr>
      <w:rPr>
        <w:rFonts w:ascii="Symbol" w:hAnsi="Symbol" w:hint="default"/>
      </w:rPr>
    </w:lvl>
    <w:lvl w:ilvl="1" w:tplc="04190003" w:tentative="1">
      <w:start w:val="1"/>
      <w:numFmt w:val="bullet"/>
      <w:lvlText w:val="o"/>
      <w:lvlJc w:val="left"/>
      <w:pPr>
        <w:ind w:left="2213" w:hanging="360"/>
      </w:pPr>
      <w:rPr>
        <w:rFonts w:ascii="Courier New" w:hAnsi="Courier New" w:cs="Courier New" w:hint="default"/>
      </w:rPr>
    </w:lvl>
    <w:lvl w:ilvl="2" w:tplc="04190005" w:tentative="1">
      <w:start w:val="1"/>
      <w:numFmt w:val="bullet"/>
      <w:lvlText w:val=""/>
      <w:lvlJc w:val="left"/>
      <w:pPr>
        <w:ind w:left="2933" w:hanging="360"/>
      </w:pPr>
      <w:rPr>
        <w:rFonts w:ascii="Wingdings" w:hAnsi="Wingdings" w:hint="default"/>
      </w:rPr>
    </w:lvl>
    <w:lvl w:ilvl="3" w:tplc="04190001" w:tentative="1">
      <w:start w:val="1"/>
      <w:numFmt w:val="bullet"/>
      <w:lvlText w:val=""/>
      <w:lvlJc w:val="left"/>
      <w:pPr>
        <w:ind w:left="3653" w:hanging="360"/>
      </w:pPr>
      <w:rPr>
        <w:rFonts w:ascii="Symbol" w:hAnsi="Symbol" w:hint="default"/>
      </w:rPr>
    </w:lvl>
    <w:lvl w:ilvl="4" w:tplc="04190003" w:tentative="1">
      <w:start w:val="1"/>
      <w:numFmt w:val="bullet"/>
      <w:lvlText w:val="o"/>
      <w:lvlJc w:val="left"/>
      <w:pPr>
        <w:ind w:left="4373" w:hanging="360"/>
      </w:pPr>
      <w:rPr>
        <w:rFonts w:ascii="Courier New" w:hAnsi="Courier New" w:cs="Courier New" w:hint="default"/>
      </w:rPr>
    </w:lvl>
    <w:lvl w:ilvl="5" w:tplc="04190005" w:tentative="1">
      <w:start w:val="1"/>
      <w:numFmt w:val="bullet"/>
      <w:lvlText w:val=""/>
      <w:lvlJc w:val="left"/>
      <w:pPr>
        <w:ind w:left="5093" w:hanging="360"/>
      </w:pPr>
      <w:rPr>
        <w:rFonts w:ascii="Wingdings" w:hAnsi="Wingdings" w:hint="default"/>
      </w:rPr>
    </w:lvl>
    <w:lvl w:ilvl="6" w:tplc="04190001" w:tentative="1">
      <w:start w:val="1"/>
      <w:numFmt w:val="bullet"/>
      <w:lvlText w:val=""/>
      <w:lvlJc w:val="left"/>
      <w:pPr>
        <w:ind w:left="5813" w:hanging="360"/>
      </w:pPr>
      <w:rPr>
        <w:rFonts w:ascii="Symbol" w:hAnsi="Symbol" w:hint="default"/>
      </w:rPr>
    </w:lvl>
    <w:lvl w:ilvl="7" w:tplc="04190003" w:tentative="1">
      <w:start w:val="1"/>
      <w:numFmt w:val="bullet"/>
      <w:lvlText w:val="o"/>
      <w:lvlJc w:val="left"/>
      <w:pPr>
        <w:ind w:left="6533" w:hanging="360"/>
      </w:pPr>
      <w:rPr>
        <w:rFonts w:ascii="Courier New" w:hAnsi="Courier New" w:cs="Courier New" w:hint="default"/>
      </w:rPr>
    </w:lvl>
    <w:lvl w:ilvl="8" w:tplc="04190005" w:tentative="1">
      <w:start w:val="1"/>
      <w:numFmt w:val="bullet"/>
      <w:lvlText w:val=""/>
      <w:lvlJc w:val="left"/>
      <w:pPr>
        <w:ind w:left="7253" w:hanging="360"/>
      </w:pPr>
      <w:rPr>
        <w:rFonts w:ascii="Wingdings" w:hAnsi="Wingdings" w:hint="default"/>
      </w:rPr>
    </w:lvl>
  </w:abstractNum>
  <w:abstractNum w:abstractNumId="25">
    <w:nsid w:val="709C57A3"/>
    <w:multiLevelType w:val="hybridMultilevel"/>
    <w:tmpl w:val="B4EEC07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6">
    <w:nsid w:val="70CB7A8D"/>
    <w:multiLevelType w:val="hybridMultilevel"/>
    <w:tmpl w:val="A718D2B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70FA6D26"/>
    <w:multiLevelType w:val="hybridMultilevel"/>
    <w:tmpl w:val="403E08B4"/>
    <w:lvl w:ilvl="0" w:tplc="E506C76E">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734B51B6"/>
    <w:multiLevelType w:val="hybridMultilevel"/>
    <w:tmpl w:val="DFFA2E30"/>
    <w:lvl w:ilvl="0" w:tplc="04190001">
      <w:start w:val="1"/>
      <w:numFmt w:val="bullet"/>
      <w:lvlText w:val=""/>
      <w:lvlJc w:val="left"/>
      <w:pPr>
        <w:ind w:left="1860" w:hanging="360"/>
      </w:pPr>
      <w:rPr>
        <w:rFonts w:ascii="Symbol" w:hAnsi="Symbol" w:hint="default"/>
      </w:rPr>
    </w:lvl>
    <w:lvl w:ilvl="1" w:tplc="04190003" w:tentative="1">
      <w:start w:val="1"/>
      <w:numFmt w:val="bullet"/>
      <w:lvlText w:val="o"/>
      <w:lvlJc w:val="left"/>
      <w:pPr>
        <w:ind w:left="2580" w:hanging="360"/>
      </w:pPr>
      <w:rPr>
        <w:rFonts w:ascii="Courier New" w:hAnsi="Courier New" w:cs="Courier New" w:hint="default"/>
      </w:rPr>
    </w:lvl>
    <w:lvl w:ilvl="2" w:tplc="04190005" w:tentative="1">
      <w:start w:val="1"/>
      <w:numFmt w:val="bullet"/>
      <w:lvlText w:val=""/>
      <w:lvlJc w:val="left"/>
      <w:pPr>
        <w:ind w:left="3300" w:hanging="360"/>
      </w:pPr>
      <w:rPr>
        <w:rFonts w:ascii="Wingdings" w:hAnsi="Wingdings" w:hint="default"/>
      </w:rPr>
    </w:lvl>
    <w:lvl w:ilvl="3" w:tplc="04190001" w:tentative="1">
      <w:start w:val="1"/>
      <w:numFmt w:val="bullet"/>
      <w:lvlText w:val=""/>
      <w:lvlJc w:val="left"/>
      <w:pPr>
        <w:ind w:left="4020" w:hanging="360"/>
      </w:pPr>
      <w:rPr>
        <w:rFonts w:ascii="Symbol" w:hAnsi="Symbol" w:hint="default"/>
      </w:rPr>
    </w:lvl>
    <w:lvl w:ilvl="4" w:tplc="04190003" w:tentative="1">
      <w:start w:val="1"/>
      <w:numFmt w:val="bullet"/>
      <w:lvlText w:val="o"/>
      <w:lvlJc w:val="left"/>
      <w:pPr>
        <w:ind w:left="4740" w:hanging="360"/>
      </w:pPr>
      <w:rPr>
        <w:rFonts w:ascii="Courier New" w:hAnsi="Courier New" w:cs="Courier New" w:hint="default"/>
      </w:rPr>
    </w:lvl>
    <w:lvl w:ilvl="5" w:tplc="04190005" w:tentative="1">
      <w:start w:val="1"/>
      <w:numFmt w:val="bullet"/>
      <w:lvlText w:val=""/>
      <w:lvlJc w:val="left"/>
      <w:pPr>
        <w:ind w:left="5460" w:hanging="360"/>
      </w:pPr>
      <w:rPr>
        <w:rFonts w:ascii="Wingdings" w:hAnsi="Wingdings" w:hint="default"/>
      </w:rPr>
    </w:lvl>
    <w:lvl w:ilvl="6" w:tplc="04190001" w:tentative="1">
      <w:start w:val="1"/>
      <w:numFmt w:val="bullet"/>
      <w:lvlText w:val=""/>
      <w:lvlJc w:val="left"/>
      <w:pPr>
        <w:ind w:left="6180" w:hanging="360"/>
      </w:pPr>
      <w:rPr>
        <w:rFonts w:ascii="Symbol" w:hAnsi="Symbol" w:hint="default"/>
      </w:rPr>
    </w:lvl>
    <w:lvl w:ilvl="7" w:tplc="04190003" w:tentative="1">
      <w:start w:val="1"/>
      <w:numFmt w:val="bullet"/>
      <w:lvlText w:val="o"/>
      <w:lvlJc w:val="left"/>
      <w:pPr>
        <w:ind w:left="6900" w:hanging="360"/>
      </w:pPr>
      <w:rPr>
        <w:rFonts w:ascii="Courier New" w:hAnsi="Courier New" w:cs="Courier New" w:hint="default"/>
      </w:rPr>
    </w:lvl>
    <w:lvl w:ilvl="8" w:tplc="04190005" w:tentative="1">
      <w:start w:val="1"/>
      <w:numFmt w:val="bullet"/>
      <w:lvlText w:val=""/>
      <w:lvlJc w:val="left"/>
      <w:pPr>
        <w:ind w:left="7620" w:hanging="360"/>
      </w:pPr>
      <w:rPr>
        <w:rFonts w:ascii="Wingdings" w:hAnsi="Wingdings" w:hint="default"/>
      </w:rPr>
    </w:lvl>
  </w:abstractNum>
  <w:abstractNum w:abstractNumId="29">
    <w:nsid w:val="79F86F70"/>
    <w:multiLevelType w:val="hybridMultilevel"/>
    <w:tmpl w:val="EA266128"/>
    <w:lvl w:ilvl="0" w:tplc="E506C76E">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7EDD2E09"/>
    <w:multiLevelType w:val="hybridMultilevel"/>
    <w:tmpl w:val="F44CC27E"/>
    <w:lvl w:ilvl="0" w:tplc="294493E4">
      <w:start w:val="1"/>
      <w:numFmt w:val="decimal"/>
      <w:lvlText w:val="%1."/>
      <w:lvlJc w:val="left"/>
      <w:pPr>
        <w:tabs>
          <w:tab w:val="num" w:pos="1833"/>
        </w:tabs>
        <w:ind w:left="1833" w:hanging="1125"/>
      </w:pPr>
      <w:rPr>
        <w:rFonts w:hint="default"/>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num w:numId="1">
    <w:abstractNumId w:val="18"/>
  </w:num>
  <w:num w:numId="2">
    <w:abstractNumId w:val="19"/>
  </w:num>
  <w:num w:numId="3">
    <w:abstractNumId w:val="29"/>
  </w:num>
  <w:num w:numId="4">
    <w:abstractNumId w:val="27"/>
  </w:num>
  <w:num w:numId="5">
    <w:abstractNumId w:val="8"/>
  </w:num>
  <w:num w:numId="6">
    <w:abstractNumId w:val="26"/>
  </w:num>
  <w:num w:numId="7">
    <w:abstractNumId w:val="14"/>
  </w:num>
  <w:num w:numId="8">
    <w:abstractNumId w:val="1"/>
  </w:num>
  <w:num w:numId="9">
    <w:abstractNumId w:val="5"/>
  </w:num>
  <w:num w:numId="10">
    <w:abstractNumId w:val="6"/>
  </w:num>
  <w:num w:numId="11">
    <w:abstractNumId w:val="11"/>
  </w:num>
  <w:num w:numId="12">
    <w:abstractNumId w:val="17"/>
  </w:num>
  <w:num w:numId="13">
    <w:abstractNumId w:val="20"/>
  </w:num>
  <w:num w:numId="14">
    <w:abstractNumId w:val="9"/>
  </w:num>
  <w:num w:numId="15">
    <w:abstractNumId w:val="7"/>
  </w:num>
  <w:num w:numId="16">
    <w:abstractNumId w:val="28"/>
  </w:num>
  <w:num w:numId="17">
    <w:abstractNumId w:val="10"/>
  </w:num>
  <w:num w:numId="18">
    <w:abstractNumId w:val="2"/>
  </w:num>
  <w:num w:numId="19">
    <w:abstractNumId w:val="24"/>
  </w:num>
  <w:num w:numId="20">
    <w:abstractNumId w:val="30"/>
  </w:num>
  <w:num w:numId="21">
    <w:abstractNumId w:val="15"/>
  </w:num>
  <w:num w:numId="22">
    <w:abstractNumId w:val="12"/>
  </w:num>
  <w:num w:numId="23">
    <w:abstractNumId w:val="23"/>
  </w:num>
  <w:num w:numId="24">
    <w:abstractNumId w:val="22"/>
  </w:num>
  <w:num w:numId="25">
    <w:abstractNumId w:val="4"/>
  </w:num>
  <w:num w:numId="26">
    <w:abstractNumId w:val="0"/>
  </w:num>
  <w:num w:numId="27">
    <w:abstractNumId w:val="3"/>
  </w:num>
  <w:num w:numId="28">
    <w:abstractNumId w:val="16"/>
  </w:num>
  <w:num w:numId="29">
    <w:abstractNumId w:val="21"/>
  </w:num>
  <w:num w:numId="30">
    <w:abstractNumId w:val="25"/>
  </w:num>
  <w:num w:numId="31">
    <w:abstractNumId w:val="13"/>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evenAndOddHeaders/>
  <w:drawingGridHorizontalSpacing w:val="14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141"/>
    <w:rsid w:val="000002D0"/>
    <w:rsid w:val="00001454"/>
    <w:rsid w:val="000027E0"/>
    <w:rsid w:val="00002AAE"/>
    <w:rsid w:val="00002FE1"/>
    <w:rsid w:val="00003C1F"/>
    <w:rsid w:val="00004EA2"/>
    <w:rsid w:val="0000514B"/>
    <w:rsid w:val="00010DB0"/>
    <w:rsid w:val="00010FA6"/>
    <w:rsid w:val="000117E5"/>
    <w:rsid w:val="00016160"/>
    <w:rsid w:val="00026B59"/>
    <w:rsid w:val="000273FF"/>
    <w:rsid w:val="00032223"/>
    <w:rsid w:val="00036CD4"/>
    <w:rsid w:val="00040B4F"/>
    <w:rsid w:val="0004141B"/>
    <w:rsid w:val="00052DF4"/>
    <w:rsid w:val="000539E3"/>
    <w:rsid w:val="00055C1D"/>
    <w:rsid w:val="00056D23"/>
    <w:rsid w:val="00070A74"/>
    <w:rsid w:val="00070CD9"/>
    <w:rsid w:val="0007224B"/>
    <w:rsid w:val="0007331B"/>
    <w:rsid w:val="000737DF"/>
    <w:rsid w:val="000739D6"/>
    <w:rsid w:val="00076EC6"/>
    <w:rsid w:val="00080902"/>
    <w:rsid w:val="00080F63"/>
    <w:rsid w:val="0008355B"/>
    <w:rsid w:val="00083FFC"/>
    <w:rsid w:val="000A34EA"/>
    <w:rsid w:val="000A6560"/>
    <w:rsid w:val="000A6EC4"/>
    <w:rsid w:val="000B0ABE"/>
    <w:rsid w:val="000B195F"/>
    <w:rsid w:val="000B2770"/>
    <w:rsid w:val="000B5F2A"/>
    <w:rsid w:val="000B73C1"/>
    <w:rsid w:val="000C0C65"/>
    <w:rsid w:val="000C3F1B"/>
    <w:rsid w:val="000C64B0"/>
    <w:rsid w:val="000D0FB9"/>
    <w:rsid w:val="000D1E25"/>
    <w:rsid w:val="000D557F"/>
    <w:rsid w:val="000D5FC7"/>
    <w:rsid w:val="000D7448"/>
    <w:rsid w:val="000E0247"/>
    <w:rsid w:val="000E31A0"/>
    <w:rsid w:val="000E392A"/>
    <w:rsid w:val="000E3D35"/>
    <w:rsid w:val="000E562D"/>
    <w:rsid w:val="000E66A6"/>
    <w:rsid w:val="000E7ABA"/>
    <w:rsid w:val="000E7D00"/>
    <w:rsid w:val="000F19E1"/>
    <w:rsid w:val="000F27C0"/>
    <w:rsid w:val="000F58D8"/>
    <w:rsid w:val="000F5A15"/>
    <w:rsid w:val="000F67B5"/>
    <w:rsid w:val="000F771B"/>
    <w:rsid w:val="000F7EDE"/>
    <w:rsid w:val="00106A01"/>
    <w:rsid w:val="0011038D"/>
    <w:rsid w:val="001116FB"/>
    <w:rsid w:val="00111ED4"/>
    <w:rsid w:val="00114ABF"/>
    <w:rsid w:val="00114C78"/>
    <w:rsid w:val="00115725"/>
    <w:rsid w:val="0012258F"/>
    <w:rsid w:val="00122A8F"/>
    <w:rsid w:val="00127BD5"/>
    <w:rsid w:val="00136A5C"/>
    <w:rsid w:val="001412A3"/>
    <w:rsid w:val="00142621"/>
    <w:rsid w:val="00145890"/>
    <w:rsid w:val="00145F4A"/>
    <w:rsid w:val="00146415"/>
    <w:rsid w:val="00146FAF"/>
    <w:rsid w:val="001503D6"/>
    <w:rsid w:val="001522DF"/>
    <w:rsid w:val="00152CE0"/>
    <w:rsid w:val="00153BE7"/>
    <w:rsid w:val="00156E1C"/>
    <w:rsid w:val="00157861"/>
    <w:rsid w:val="00157C56"/>
    <w:rsid w:val="001624ED"/>
    <w:rsid w:val="00163787"/>
    <w:rsid w:val="001674D2"/>
    <w:rsid w:val="00172D2B"/>
    <w:rsid w:val="00182C75"/>
    <w:rsid w:val="00182E2C"/>
    <w:rsid w:val="001833AC"/>
    <w:rsid w:val="0018747B"/>
    <w:rsid w:val="00196356"/>
    <w:rsid w:val="001A088F"/>
    <w:rsid w:val="001A0F0E"/>
    <w:rsid w:val="001A1A24"/>
    <w:rsid w:val="001A575D"/>
    <w:rsid w:val="001A59C9"/>
    <w:rsid w:val="001A5B1F"/>
    <w:rsid w:val="001A5C8B"/>
    <w:rsid w:val="001B025C"/>
    <w:rsid w:val="001B76E4"/>
    <w:rsid w:val="001C4EFA"/>
    <w:rsid w:val="001C59B8"/>
    <w:rsid w:val="001D2101"/>
    <w:rsid w:val="001D2A6A"/>
    <w:rsid w:val="001D2BC5"/>
    <w:rsid w:val="001D39FB"/>
    <w:rsid w:val="001D64AB"/>
    <w:rsid w:val="001E09F3"/>
    <w:rsid w:val="001E175A"/>
    <w:rsid w:val="001E2D5E"/>
    <w:rsid w:val="001F05A9"/>
    <w:rsid w:val="001F0B0E"/>
    <w:rsid w:val="001F0E22"/>
    <w:rsid w:val="001F3E0B"/>
    <w:rsid w:val="00205D91"/>
    <w:rsid w:val="00213A2D"/>
    <w:rsid w:val="00214290"/>
    <w:rsid w:val="00214CD4"/>
    <w:rsid w:val="00223C27"/>
    <w:rsid w:val="002256FE"/>
    <w:rsid w:val="00225DB9"/>
    <w:rsid w:val="00230DA2"/>
    <w:rsid w:val="002360A6"/>
    <w:rsid w:val="00237190"/>
    <w:rsid w:val="00237B8D"/>
    <w:rsid w:val="00242516"/>
    <w:rsid w:val="002453CE"/>
    <w:rsid w:val="00251B41"/>
    <w:rsid w:val="00251BBA"/>
    <w:rsid w:val="00252747"/>
    <w:rsid w:val="0025309B"/>
    <w:rsid w:val="00254543"/>
    <w:rsid w:val="00254BD5"/>
    <w:rsid w:val="00263F3B"/>
    <w:rsid w:val="002654C2"/>
    <w:rsid w:val="002654FD"/>
    <w:rsid w:val="00265B83"/>
    <w:rsid w:val="0026652B"/>
    <w:rsid w:val="00266C17"/>
    <w:rsid w:val="002737AC"/>
    <w:rsid w:val="00280154"/>
    <w:rsid w:val="00281BDD"/>
    <w:rsid w:val="00282D07"/>
    <w:rsid w:val="002875B4"/>
    <w:rsid w:val="00287895"/>
    <w:rsid w:val="00293251"/>
    <w:rsid w:val="002964B6"/>
    <w:rsid w:val="002A3A7A"/>
    <w:rsid w:val="002A4535"/>
    <w:rsid w:val="002A4563"/>
    <w:rsid w:val="002A4EE5"/>
    <w:rsid w:val="002A551A"/>
    <w:rsid w:val="002B6227"/>
    <w:rsid w:val="002C1C82"/>
    <w:rsid w:val="002C4414"/>
    <w:rsid w:val="002C6869"/>
    <w:rsid w:val="002D0BA1"/>
    <w:rsid w:val="002D0E0C"/>
    <w:rsid w:val="002D43C2"/>
    <w:rsid w:val="002E2E51"/>
    <w:rsid w:val="002E5503"/>
    <w:rsid w:val="002F1693"/>
    <w:rsid w:val="002F2746"/>
    <w:rsid w:val="002F547C"/>
    <w:rsid w:val="002F585D"/>
    <w:rsid w:val="002F6D54"/>
    <w:rsid w:val="002F707E"/>
    <w:rsid w:val="0030038F"/>
    <w:rsid w:val="0030419E"/>
    <w:rsid w:val="00304EE5"/>
    <w:rsid w:val="003079A0"/>
    <w:rsid w:val="003101C3"/>
    <w:rsid w:val="003111A1"/>
    <w:rsid w:val="00311872"/>
    <w:rsid w:val="00312F77"/>
    <w:rsid w:val="00315F43"/>
    <w:rsid w:val="003211C6"/>
    <w:rsid w:val="00322378"/>
    <w:rsid w:val="003232B4"/>
    <w:rsid w:val="00324AA6"/>
    <w:rsid w:val="00325CC3"/>
    <w:rsid w:val="0032713D"/>
    <w:rsid w:val="00330470"/>
    <w:rsid w:val="003365C8"/>
    <w:rsid w:val="003405DA"/>
    <w:rsid w:val="00343442"/>
    <w:rsid w:val="00347C1A"/>
    <w:rsid w:val="0035042F"/>
    <w:rsid w:val="0036153A"/>
    <w:rsid w:val="00363E65"/>
    <w:rsid w:val="00364B51"/>
    <w:rsid w:val="00365112"/>
    <w:rsid w:val="003707D5"/>
    <w:rsid w:val="00371506"/>
    <w:rsid w:val="00371943"/>
    <w:rsid w:val="00372C45"/>
    <w:rsid w:val="0037799F"/>
    <w:rsid w:val="00380C9B"/>
    <w:rsid w:val="00382181"/>
    <w:rsid w:val="00385A96"/>
    <w:rsid w:val="00386293"/>
    <w:rsid w:val="0039615D"/>
    <w:rsid w:val="00396479"/>
    <w:rsid w:val="00396712"/>
    <w:rsid w:val="003A034F"/>
    <w:rsid w:val="003A048C"/>
    <w:rsid w:val="003A1DBC"/>
    <w:rsid w:val="003A3391"/>
    <w:rsid w:val="003A51B7"/>
    <w:rsid w:val="003B0FA8"/>
    <w:rsid w:val="003B17F4"/>
    <w:rsid w:val="003B309B"/>
    <w:rsid w:val="003C1E7B"/>
    <w:rsid w:val="003C2879"/>
    <w:rsid w:val="003C703E"/>
    <w:rsid w:val="003D00ED"/>
    <w:rsid w:val="003E0D41"/>
    <w:rsid w:val="003E1286"/>
    <w:rsid w:val="003E24D2"/>
    <w:rsid w:val="003E2BCC"/>
    <w:rsid w:val="003E4F76"/>
    <w:rsid w:val="003E5267"/>
    <w:rsid w:val="003F0C31"/>
    <w:rsid w:val="003F5A2C"/>
    <w:rsid w:val="003F5D16"/>
    <w:rsid w:val="0040077A"/>
    <w:rsid w:val="0040194B"/>
    <w:rsid w:val="00402C54"/>
    <w:rsid w:val="00407F99"/>
    <w:rsid w:val="004126A7"/>
    <w:rsid w:val="00413F87"/>
    <w:rsid w:val="004160FC"/>
    <w:rsid w:val="00422FCC"/>
    <w:rsid w:val="004237EB"/>
    <w:rsid w:val="00424099"/>
    <w:rsid w:val="0042530C"/>
    <w:rsid w:val="004266BC"/>
    <w:rsid w:val="0043501A"/>
    <w:rsid w:val="00436233"/>
    <w:rsid w:val="004455C7"/>
    <w:rsid w:val="00445C73"/>
    <w:rsid w:val="00446E1C"/>
    <w:rsid w:val="00451EFC"/>
    <w:rsid w:val="00451F8F"/>
    <w:rsid w:val="00452F91"/>
    <w:rsid w:val="0045305B"/>
    <w:rsid w:val="004542ED"/>
    <w:rsid w:val="004666D1"/>
    <w:rsid w:val="00466F30"/>
    <w:rsid w:val="0047326C"/>
    <w:rsid w:val="00473CEF"/>
    <w:rsid w:val="004812D2"/>
    <w:rsid w:val="00485B01"/>
    <w:rsid w:val="00487A11"/>
    <w:rsid w:val="0049120A"/>
    <w:rsid w:val="004A5EF0"/>
    <w:rsid w:val="004A7C25"/>
    <w:rsid w:val="004B0723"/>
    <w:rsid w:val="004B1A4C"/>
    <w:rsid w:val="004B200F"/>
    <w:rsid w:val="004B3CB1"/>
    <w:rsid w:val="004B4A6E"/>
    <w:rsid w:val="004C4543"/>
    <w:rsid w:val="004C4DB6"/>
    <w:rsid w:val="004D0D59"/>
    <w:rsid w:val="004D1BCA"/>
    <w:rsid w:val="004D5F44"/>
    <w:rsid w:val="004D7CD4"/>
    <w:rsid w:val="004D7DDF"/>
    <w:rsid w:val="004E1581"/>
    <w:rsid w:val="004E4F40"/>
    <w:rsid w:val="004E65C9"/>
    <w:rsid w:val="004E665D"/>
    <w:rsid w:val="004F1BFE"/>
    <w:rsid w:val="004F21D8"/>
    <w:rsid w:val="004F229C"/>
    <w:rsid w:val="004F2340"/>
    <w:rsid w:val="004F334B"/>
    <w:rsid w:val="004F50AB"/>
    <w:rsid w:val="004F57FE"/>
    <w:rsid w:val="004F77CA"/>
    <w:rsid w:val="00510E3C"/>
    <w:rsid w:val="005136FB"/>
    <w:rsid w:val="00531387"/>
    <w:rsid w:val="00535F17"/>
    <w:rsid w:val="00536589"/>
    <w:rsid w:val="00541E8F"/>
    <w:rsid w:val="00546FCB"/>
    <w:rsid w:val="00547C7D"/>
    <w:rsid w:val="0055087A"/>
    <w:rsid w:val="00554272"/>
    <w:rsid w:val="005556FE"/>
    <w:rsid w:val="00557ABF"/>
    <w:rsid w:val="00562214"/>
    <w:rsid w:val="00563196"/>
    <w:rsid w:val="0056349C"/>
    <w:rsid w:val="00563972"/>
    <w:rsid w:val="00566114"/>
    <w:rsid w:val="005677A0"/>
    <w:rsid w:val="00573E76"/>
    <w:rsid w:val="00574139"/>
    <w:rsid w:val="005765F1"/>
    <w:rsid w:val="00580390"/>
    <w:rsid w:val="00580941"/>
    <w:rsid w:val="0058149A"/>
    <w:rsid w:val="00581621"/>
    <w:rsid w:val="00585149"/>
    <w:rsid w:val="00585DA5"/>
    <w:rsid w:val="0058630A"/>
    <w:rsid w:val="0058647F"/>
    <w:rsid w:val="00591430"/>
    <w:rsid w:val="0059485A"/>
    <w:rsid w:val="00594A56"/>
    <w:rsid w:val="005A36E5"/>
    <w:rsid w:val="005B0298"/>
    <w:rsid w:val="005B1CD1"/>
    <w:rsid w:val="005B430A"/>
    <w:rsid w:val="005C36AD"/>
    <w:rsid w:val="005D3219"/>
    <w:rsid w:val="005E4FA2"/>
    <w:rsid w:val="005E5005"/>
    <w:rsid w:val="005E6493"/>
    <w:rsid w:val="005E7F33"/>
    <w:rsid w:val="005F24A2"/>
    <w:rsid w:val="005F4703"/>
    <w:rsid w:val="005F55EB"/>
    <w:rsid w:val="005F5766"/>
    <w:rsid w:val="005F6B5B"/>
    <w:rsid w:val="0060250E"/>
    <w:rsid w:val="00607570"/>
    <w:rsid w:val="00610429"/>
    <w:rsid w:val="00611079"/>
    <w:rsid w:val="00612D9A"/>
    <w:rsid w:val="00615A4D"/>
    <w:rsid w:val="006500EE"/>
    <w:rsid w:val="00651241"/>
    <w:rsid w:val="0065681A"/>
    <w:rsid w:val="00657E1F"/>
    <w:rsid w:val="00660847"/>
    <w:rsid w:val="006620CF"/>
    <w:rsid w:val="00665477"/>
    <w:rsid w:val="0067205F"/>
    <w:rsid w:val="00673D19"/>
    <w:rsid w:val="00673D1F"/>
    <w:rsid w:val="00674234"/>
    <w:rsid w:val="00676506"/>
    <w:rsid w:val="00677735"/>
    <w:rsid w:val="006807D5"/>
    <w:rsid w:val="006839F2"/>
    <w:rsid w:val="00686690"/>
    <w:rsid w:val="00686E54"/>
    <w:rsid w:val="006A5D95"/>
    <w:rsid w:val="006B43A1"/>
    <w:rsid w:val="006C14DF"/>
    <w:rsid w:val="006C1938"/>
    <w:rsid w:val="006C7158"/>
    <w:rsid w:val="006D2314"/>
    <w:rsid w:val="006D699F"/>
    <w:rsid w:val="006E1527"/>
    <w:rsid w:val="006F0F9F"/>
    <w:rsid w:val="006F10BA"/>
    <w:rsid w:val="006F1337"/>
    <w:rsid w:val="006F3A2C"/>
    <w:rsid w:val="006F3D73"/>
    <w:rsid w:val="006F7CB4"/>
    <w:rsid w:val="006F7F34"/>
    <w:rsid w:val="00701749"/>
    <w:rsid w:val="00701D5C"/>
    <w:rsid w:val="00703CB6"/>
    <w:rsid w:val="00704B3B"/>
    <w:rsid w:val="0071021E"/>
    <w:rsid w:val="00712DD4"/>
    <w:rsid w:val="00713CE0"/>
    <w:rsid w:val="007157F6"/>
    <w:rsid w:val="00721425"/>
    <w:rsid w:val="00725012"/>
    <w:rsid w:val="0073242D"/>
    <w:rsid w:val="007462E9"/>
    <w:rsid w:val="007502D1"/>
    <w:rsid w:val="00751318"/>
    <w:rsid w:val="00752C2C"/>
    <w:rsid w:val="00755675"/>
    <w:rsid w:val="007558E4"/>
    <w:rsid w:val="0076302E"/>
    <w:rsid w:val="00772DAF"/>
    <w:rsid w:val="007765B2"/>
    <w:rsid w:val="0077767F"/>
    <w:rsid w:val="00777A3C"/>
    <w:rsid w:val="00794B79"/>
    <w:rsid w:val="00797EC4"/>
    <w:rsid w:val="007A6F51"/>
    <w:rsid w:val="007B0E44"/>
    <w:rsid w:val="007B6EE2"/>
    <w:rsid w:val="007D45C9"/>
    <w:rsid w:val="007D6600"/>
    <w:rsid w:val="007E01CD"/>
    <w:rsid w:val="007E22C0"/>
    <w:rsid w:val="007E2D0E"/>
    <w:rsid w:val="007E4C2E"/>
    <w:rsid w:val="007E4C3D"/>
    <w:rsid w:val="007E7330"/>
    <w:rsid w:val="007F0792"/>
    <w:rsid w:val="007F11A4"/>
    <w:rsid w:val="007F2CF2"/>
    <w:rsid w:val="00804000"/>
    <w:rsid w:val="00815DD1"/>
    <w:rsid w:val="00816082"/>
    <w:rsid w:val="00817197"/>
    <w:rsid w:val="008217C4"/>
    <w:rsid w:val="008253D6"/>
    <w:rsid w:val="008275D7"/>
    <w:rsid w:val="008303CA"/>
    <w:rsid w:val="00832778"/>
    <w:rsid w:val="008369A4"/>
    <w:rsid w:val="008446E2"/>
    <w:rsid w:val="0084584D"/>
    <w:rsid w:val="008462BC"/>
    <w:rsid w:val="00846BB1"/>
    <w:rsid w:val="00847BD0"/>
    <w:rsid w:val="00852120"/>
    <w:rsid w:val="008525FE"/>
    <w:rsid w:val="00853C92"/>
    <w:rsid w:val="008562E3"/>
    <w:rsid w:val="00860CF8"/>
    <w:rsid w:val="00875908"/>
    <w:rsid w:val="008800CD"/>
    <w:rsid w:val="00883D37"/>
    <w:rsid w:val="00885B60"/>
    <w:rsid w:val="008865DB"/>
    <w:rsid w:val="00890084"/>
    <w:rsid w:val="008917A9"/>
    <w:rsid w:val="00891BE5"/>
    <w:rsid w:val="00893981"/>
    <w:rsid w:val="00897B0C"/>
    <w:rsid w:val="008A2114"/>
    <w:rsid w:val="008B2B45"/>
    <w:rsid w:val="008B2F79"/>
    <w:rsid w:val="008B64D7"/>
    <w:rsid w:val="008C394F"/>
    <w:rsid w:val="008C6320"/>
    <w:rsid w:val="008D16D8"/>
    <w:rsid w:val="008D5E08"/>
    <w:rsid w:val="008E1722"/>
    <w:rsid w:val="008E215F"/>
    <w:rsid w:val="008E3ADB"/>
    <w:rsid w:val="008F2CC7"/>
    <w:rsid w:val="008F5611"/>
    <w:rsid w:val="008F593D"/>
    <w:rsid w:val="00901820"/>
    <w:rsid w:val="00902833"/>
    <w:rsid w:val="00903C48"/>
    <w:rsid w:val="0090527F"/>
    <w:rsid w:val="0090546D"/>
    <w:rsid w:val="009054DF"/>
    <w:rsid w:val="00906483"/>
    <w:rsid w:val="0091460A"/>
    <w:rsid w:val="00927553"/>
    <w:rsid w:val="00931129"/>
    <w:rsid w:val="009331B2"/>
    <w:rsid w:val="009402FC"/>
    <w:rsid w:val="009406A8"/>
    <w:rsid w:val="00944416"/>
    <w:rsid w:val="00944EF3"/>
    <w:rsid w:val="009477B4"/>
    <w:rsid w:val="00947BF8"/>
    <w:rsid w:val="00950048"/>
    <w:rsid w:val="00951826"/>
    <w:rsid w:val="009568DC"/>
    <w:rsid w:val="009600DB"/>
    <w:rsid w:val="00960F3E"/>
    <w:rsid w:val="00966C87"/>
    <w:rsid w:val="0097178D"/>
    <w:rsid w:val="00972E29"/>
    <w:rsid w:val="009800DB"/>
    <w:rsid w:val="009845F9"/>
    <w:rsid w:val="00987E8B"/>
    <w:rsid w:val="00990D17"/>
    <w:rsid w:val="00991E19"/>
    <w:rsid w:val="009928BB"/>
    <w:rsid w:val="00994956"/>
    <w:rsid w:val="009A0359"/>
    <w:rsid w:val="009A155E"/>
    <w:rsid w:val="009A5948"/>
    <w:rsid w:val="009A65EE"/>
    <w:rsid w:val="009C24B9"/>
    <w:rsid w:val="009C28F1"/>
    <w:rsid w:val="009C6368"/>
    <w:rsid w:val="009D3E32"/>
    <w:rsid w:val="009D4540"/>
    <w:rsid w:val="009E01EE"/>
    <w:rsid w:val="009E4EF4"/>
    <w:rsid w:val="009F0BD5"/>
    <w:rsid w:val="009F5AE1"/>
    <w:rsid w:val="009F64F3"/>
    <w:rsid w:val="009F6D47"/>
    <w:rsid w:val="00A000B3"/>
    <w:rsid w:val="00A01CCB"/>
    <w:rsid w:val="00A07580"/>
    <w:rsid w:val="00A162D6"/>
    <w:rsid w:val="00A1771F"/>
    <w:rsid w:val="00A224E1"/>
    <w:rsid w:val="00A24DB0"/>
    <w:rsid w:val="00A27C4A"/>
    <w:rsid w:val="00A33B4F"/>
    <w:rsid w:val="00A37855"/>
    <w:rsid w:val="00A37CCF"/>
    <w:rsid w:val="00A401CD"/>
    <w:rsid w:val="00A442F7"/>
    <w:rsid w:val="00A45CD8"/>
    <w:rsid w:val="00A52B79"/>
    <w:rsid w:val="00A553D7"/>
    <w:rsid w:val="00A56292"/>
    <w:rsid w:val="00A61822"/>
    <w:rsid w:val="00A6531D"/>
    <w:rsid w:val="00A65B08"/>
    <w:rsid w:val="00A75C36"/>
    <w:rsid w:val="00A77591"/>
    <w:rsid w:val="00A77632"/>
    <w:rsid w:val="00A77E4E"/>
    <w:rsid w:val="00A81FB0"/>
    <w:rsid w:val="00A83289"/>
    <w:rsid w:val="00A8399C"/>
    <w:rsid w:val="00A8438F"/>
    <w:rsid w:val="00A86F50"/>
    <w:rsid w:val="00A8715B"/>
    <w:rsid w:val="00A90AD3"/>
    <w:rsid w:val="00A91F3C"/>
    <w:rsid w:val="00A92932"/>
    <w:rsid w:val="00A943C7"/>
    <w:rsid w:val="00AA1F1B"/>
    <w:rsid w:val="00AA33DC"/>
    <w:rsid w:val="00AA4A6D"/>
    <w:rsid w:val="00AB568B"/>
    <w:rsid w:val="00AC1BB1"/>
    <w:rsid w:val="00AC1F6F"/>
    <w:rsid w:val="00AC3DDF"/>
    <w:rsid w:val="00AC682D"/>
    <w:rsid w:val="00AD12F1"/>
    <w:rsid w:val="00AD57DD"/>
    <w:rsid w:val="00AE6E24"/>
    <w:rsid w:val="00AF1A09"/>
    <w:rsid w:val="00AF3E71"/>
    <w:rsid w:val="00AF7589"/>
    <w:rsid w:val="00B001B5"/>
    <w:rsid w:val="00B008C4"/>
    <w:rsid w:val="00B0230D"/>
    <w:rsid w:val="00B02B34"/>
    <w:rsid w:val="00B11C5F"/>
    <w:rsid w:val="00B12360"/>
    <w:rsid w:val="00B156AC"/>
    <w:rsid w:val="00B1688E"/>
    <w:rsid w:val="00B21C96"/>
    <w:rsid w:val="00B247CD"/>
    <w:rsid w:val="00B253A7"/>
    <w:rsid w:val="00B2586A"/>
    <w:rsid w:val="00B303EC"/>
    <w:rsid w:val="00B312FC"/>
    <w:rsid w:val="00B3151A"/>
    <w:rsid w:val="00B31AF5"/>
    <w:rsid w:val="00B62F7D"/>
    <w:rsid w:val="00B6584A"/>
    <w:rsid w:val="00B66115"/>
    <w:rsid w:val="00B713F0"/>
    <w:rsid w:val="00B74E71"/>
    <w:rsid w:val="00B76420"/>
    <w:rsid w:val="00B766E9"/>
    <w:rsid w:val="00B7676C"/>
    <w:rsid w:val="00B82C84"/>
    <w:rsid w:val="00B848B7"/>
    <w:rsid w:val="00B852DE"/>
    <w:rsid w:val="00B8534A"/>
    <w:rsid w:val="00B8542D"/>
    <w:rsid w:val="00B915F3"/>
    <w:rsid w:val="00B95A42"/>
    <w:rsid w:val="00B9722D"/>
    <w:rsid w:val="00BA264C"/>
    <w:rsid w:val="00BA46F6"/>
    <w:rsid w:val="00BA48EC"/>
    <w:rsid w:val="00BB0A88"/>
    <w:rsid w:val="00BB2CE8"/>
    <w:rsid w:val="00BB2FCE"/>
    <w:rsid w:val="00BC1E8C"/>
    <w:rsid w:val="00BC2DB4"/>
    <w:rsid w:val="00BD0B7A"/>
    <w:rsid w:val="00BE037D"/>
    <w:rsid w:val="00BE1141"/>
    <w:rsid w:val="00BE35F2"/>
    <w:rsid w:val="00BE36F5"/>
    <w:rsid w:val="00BE45D8"/>
    <w:rsid w:val="00BE4821"/>
    <w:rsid w:val="00BE6581"/>
    <w:rsid w:val="00BF2173"/>
    <w:rsid w:val="00BF3360"/>
    <w:rsid w:val="00BF64AF"/>
    <w:rsid w:val="00BF7222"/>
    <w:rsid w:val="00C01D36"/>
    <w:rsid w:val="00C05B39"/>
    <w:rsid w:val="00C05DD7"/>
    <w:rsid w:val="00C072C3"/>
    <w:rsid w:val="00C07ED6"/>
    <w:rsid w:val="00C10910"/>
    <w:rsid w:val="00C11656"/>
    <w:rsid w:val="00C1189D"/>
    <w:rsid w:val="00C17788"/>
    <w:rsid w:val="00C20DAD"/>
    <w:rsid w:val="00C27D44"/>
    <w:rsid w:val="00C27E40"/>
    <w:rsid w:val="00C306C6"/>
    <w:rsid w:val="00C31CD1"/>
    <w:rsid w:val="00C33902"/>
    <w:rsid w:val="00C342E7"/>
    <w:rsid w:val="00C3480A"/>
    <w:rsid w:val="00C416E8"/>
    <w:rsid w:val="00C424D8"/>
    <w:rsid w:val="00C470D6"/>
    <w:rsid w:val="00C47174"/>
    <w:rsid w:val="00C5148D"/>
    <w:rsid w:val="00C65854"/>
    <w:rsid w:val="00C662B4"/>
    <w:rsid w:val="00C663F1"/>
    <w:rsid w:val="00C70CFD"/>
    <w:rsid w:val="00C72802"/>
    <w:rsid w:val="00C72ABA"/>
    <w:rsid w:val="00C74FA2"/>
    <w:rsid w:val="00C77054"/>
    <w:rsid w:val="00C77F3B"/>
    <w:rsid w:val="00C83278"/>
    <w:rsid w:val="00C85BCB"/>
    <w:rsid w:val="00C87BDC"/>
    <w:rsid w:val="00C90732"/>
    <w:rsid w:val="00C90FA5"/>
    <w:rsid w:val="00C93831"/>
    <w:rsid w:val="00C94A7F"/>
    <w:rsid w:val="00CA1FF0"/>
    <w:rsid w:val="00CA6527"/>
    <w:rsid w:val="00CB2B68"/>
    <w:rsid w:val="00CB4B9D"/>
    <w:rsid w:val="00CB5DBA"/>
    <w:rsid w:val="00CB7131"/>
    <w:rsid w:val="00CC0ED0"/>
    <w:rsid w:val="00CC1D43"/>
    <w:rsid w:val="00CC36FD"/>
    <w:rsid w:val="00CC38AA"/>
    <w:rsid w:val="00CC65A7"/>
    <w:rsid w:val="00CE2DB1"/>
    <w:rsid w:val="00CE3F51"/>
    <w:rsid w:val="00CF3B8E"/>
    <w:rsid w:val="00CF4CB1"/>
    <w:rsid w:val="00CF5057"/>
    <w:rsid w:val="00CF5CEC"/>
    <w:rsid w:val="00CF6378"/>
    <w:rsid w:val="00CF6883"/>
    <w:rsid w:val="00D003E8"/>
    <w:rsid w:val="00D009BA"/>
    <w:rsid w:val="00D03C74"/>
    <w:rsid w:val="00D069BA"/>
    <w:rsid w:val="00D11737"/>
    <w:rsid w:val="00D16DEC"/>
    <w:rsid w:val="00D203CD"/>
    <w:rsid w:val="00D21A0C"/>
    <w:rsid w:val="00D25180"/>
    <w:rsid w:val="00D2715E"/>
    <w:rsid w:val="00D40965"/>
    <w:rsid w:val="00D43ACD"/>
    <w:rsid w:val="00D448A4"/>
    <w:rsid w:val="00D4604C"/>
    <w:rsid w:val="00D622CC"/>
    <w:rsid w:val="00D629A8"/>
    <w:rsid w:val="00D66C49"/>
    <w:rsid w:val="00D67073"/>
    <w:rsid w:val="00D67596"/>
    <w:rsid w:val="00D716A7"/>
    <w:rsid w:val="00D71A49"/>
    <w:rsid w:val="00D71E6D"/>
    <w:rsid w:val="00D75177"/>
    <w:rsid w:val="00D819EB"/>
    <w:rsid w:val="00D83123"/>
    <w:rsid w:val="00D83328"/>
    <w:rsid w:val="00D85DC6"/>
    <w:rsid w:val="00D86530"/>
    <w:rsid w:val="00D94102"/>
    <w:rsid w:val="00D97A54"/>
    <w:rsid w:val="00D97D03"/>
    <w:rsid w:val="00DA0281"/>
    <w:rsid w:val="00DA0DCB"/>
    <w:rsid w:val="00DA2AFF"/>
    <w:rsid w:val="00DA5C6C"/>
    <w:rsid w:val="00DA7D5B"/>
    <w:rsid w:val="00DB45C2"/>
    <w:rsid w:val="00DB4D24"/>
    <w:rsid w:val="00DB756E"/>
    <w:rsid w:val="00DC12AA"/>
    <w:rsid w:val="00DC5BB2"/>
    <w:rsid w:val="00DC6391"/>
    <w:rsid w:val="00DC6EB7"/>
    <w:rsid w:val="00DD01B7"/>
    <w:rsid w:val="00DD29CD"/>
    <w:rsid w:val="00DD4910"/>
    <w:rsid w:val="00DD4DEA"/>
    <w:rsid w:val="00DD6018"/>
    <w:rsid w:val="00DD6375"/>
    <w:rsid w:val="00DD75A5"/>
    <w:rsid w:val="00DE1127"/>
    <w:rsid w:val="00DE5D88"/>
    <w:rsid w:val="00DF00C7"/>
    <w:rsid w:val="00DF0BBA"/>
    <w:rsid w:val="00DF2778"/>
    <w:rsid w:val="00DF660C"/>
    <w:rsid w:val="00E03451"/>
    <w:rsid w:val="00E05FA4"/>
    <w:rsid w:val="00E15003"/>
    <w:rsid w:val="00E20C01"/>
    <w:rsid w:val="00E21C10"/>
    <w:rsid w:val="00E2206C"/>
    <w:rsid w:val="00E23BC4"/>
    <w:rsid w:val="00E2688B"/>
    <w:rsid w:val="00E26FF0"/>
    <w:rsid w:val="00E362DD"/>
    <w:rsid w:val="00E3691C"/>
    <w:rsid w:val="00E44BE6"/>
    <w:rsid w:val="00E4678A"/>
    <w:rsid w:val="00E47D2C"/>
    <w:rsid w:val="00E53856"/>
    <w:rsid w:val="00E53A90"/>
    <w:rsid w:val="00E55E4A"/>
    <w:rsid w:val="00E6158D"/>
    <w:rsid w:val="00E65CAE"/>
    <w:rsid w:val="00E67B47"/>
    <w:rsid w:val="00E749A8"/>
    <w:rsid w:val="00E75FB5"/>
    <w:rsid w:val="00E86933"/>
    <w:rsid w:val="00E87A3A"/>
    <w:rsid w:val="00EA2A59"/>
    <w:rsid w:val="00EA4E0C"/>
    <w:rsid w:val="00EB1278"/>
    <w:rsid w:val="00EB247A"/>
    <w:rsid w:val="00EB6047"/>
    <w:rsid w:val="00EC171A"/>
    <w:rsid w:val="00EC7086"/>
    <w:rsid w:val="00ED164B"/>
    <w:rsid w:val="00ED250F"/>
    <w:rsid w:val="00ED311D"/>
    <w:rsid w:val="00ED67D9"/>
    <w:rsid w:val="00ED69FD"/>
    <w:rsid w:val="00ED6F4C"/>
    <w:rsid w:val="00ED730D"/>
    <w:rsid w:val="00EE059C"/>
    <w:rsid w:val="00EE1290"/>
    <w:rsid w:val="00EE2636"/>
    <w:rsid w:val="00EE3349"/>
    <w:rsid w:val="00EE3428"/>
    <w:rsid w:val="00EE7BB0"/>
    <w:rsid w:val="00EF1030"/>
    <w:rsid w:val="00EF1F82"/>
    <w:rsid w:val="00F05938"/>
    <w:rsid w:val="00F13F70"/>
    <w:rsid w:val="00F1439C"/>
    <w:rsid w:val="00F15E66"/>
    <w:rsid w:val="00F203F8"/>
    <w:rsid w:val="00F23DCF"/>
    <w:rsid w:val="00F247EC"/>
    <w:rsid w:val="00F2625A"/>
    <w:rsid w:val="00F3599E"/>
    <w:rsid w:val="00F405BB"/>
    <w:rsid w:val="00F44EFC"/>
    <w:rsid w:val="00F473AA"/>
    <w:rsid w:val="00F502D6"/>
    <w:rsid w:val="00F50E23"/>
    <w:rsid w:val="00F51588"/>
    <w:rsid w:val="00F75DB0"/>
    <w:rsid w:val="00F76EDA"/>
    <w:rsid w:val="00F80C38"/>
    <w:rsid w:val="00F84C95"/>
    <w:rsid w:val="00F87E9E"/>
    <w:rsid w:val="00F9145A"/>
    <w:rsid w:val="00F92161"/>
    <w:rsid w:val="00F95E4C"/>
    <w:rsid w:val="00FA1DE0"/>
    <w:rsid w:val="00FA6283"/>
    <w:rsid w:val="00FB3C3A"/>
    <w:rsid w:val="00FB4AA8"/>
    <w:rsid w:val="00FC28EB"/>
    <w:rsid w:val="00FC5E59"/>
    <w:rsid w:val="00FD5748"/>
    <w:rsid w:val="00FE07BE"/>
    <w:rsid w:val="00FE318B"/>
    <w:rsid w:val="00FE6794"/>
    <w:rsid w:val="00FE6CD6"/>
    <w:rsid w:val="00FF2D82"/>
    <w:rsid w:val="00FF4483"/>
    <w:rsid w:val="00FF4C89"/>
    <w:rsid w:val="00FF5BE6"/>
    <w:rsid w:val="00FF6485"/>
    <w:rsid w:val="00FF733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62EDD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footnote text" w:uiPriority="99"/>
    <w:lsdException w:name="header" w:uiPriority="99"/>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Hyperlink" w:uiPriority="99"/>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lsdException w:name="No Spacing" w:semiHidden="0" w:uiPriority="1" w:unhideWhenUsed="0" w:qFormat="1"/>
    <w:lsdException w:name="Light Shading" w:semiHidden="0" w:uiPriority="99" w:unhideWhenUsed="0"/>
    <w:lsdException w:name="Light List" w:semiHidden="0" w:uiPriority="99" w:unhideWhenUsed="0"/>
    <w:lsdException w:name="Light Grid" w:semiHidden="0" w:uiPriority="99" w:unhideWhenUsed="0"/>
    <w:lsdException w:name="Medium Shading 1" w:semiHidden="0" w:uiPriority="99" w:unhideWhenUsed="0"/>
    <w:lsdException w:name="Medium Shading 2" w:semiHidden="0" w:uiPriority="99" w:unhideWhenUsed="0"/>
    <w:lsdException w:name="Medium List 1" w:semiHidden="0" w:uiPriority="99" w:unhideWhenUsed="0"/>
    <w:lsdException w:name="Medium List 2" w:semiHidden="0" w:uiPriority="99" w:unhideWhenUsed="0"/>
    <w:lsdException w:name="Medium Grid 1" w:semiHidden="0" w:uiPriority="99" w:unhideWhenUsed="0"/>
    <w:lsdException w:name="Medium Grid 2" w:semiHidden="0" w:uiPriority="99" w:unhideWhenUsed="0" w:qFormat="1"/>
    <w:lsdException w:name="Medium Grid 3" w:semiHidden="0" w:uiPriority="99" w:unhideWhenUsed="0"/>
    <w:lsdException w:name="Dark List" w:semiHidden="0" w:uiPriority="99" w:unhideWhenUsed="0"/>
    <w:lsdException w:name="Colorful Shading" w:semiHidden="0" w:uiPriority="99" w:unhideWhenUsed="0"/>
    <w:lsdException w:name="Colorful List" w:semiHidden="0" w:uiPriority="99" w:unhideWhenUsed="0"/>
    <w:lsdException w:name="Colorful Grid" w:semiHidden="0" w:uiPriority="99" w:unhideWhenUsed="0"/>
    <w:lsdException w:name="Light Shading Accent 1" w:semiHidden="0" w:uiPriority="99" w:unhideWhenUsed="0"/>
    <w:lsdException w:name="Light List Accent 1" w:semiHidden="0" w:uiPriority="99" w:unhideWhenUsed="0"/>
    <w:lsdException w:name="Light Grid Accent 1" w:semiHidden="0" w:uiPriority="99" w:unhideWhenUsed="0"/>
    <w:lsdException w:name="Medium Shading 1 Accent 1" w:semiHidden="0" w:uiPriority="1" w:unhideWhenUsed="0" w:qFormat="1"/>
    <w:lsdException w:name="Medium Shading 2 Accent 1" w:semiHidden="0" w:uiPriority="60" w:unhideWhenUsed="0"/>
    <w:lsdException w:name="Medium List 1 Accent 1" w:semiHidden="0" w:uiPriority="61" w:unhideWhenUsed="0"/>
    <w:lsdException w:name="Revision" w:uiPriority="62"/>
    <w:lsdException w:name="List Paragraph" w:semiHidden="0" w:uiPriority="34" w:unhideWhenUsed="0" w:qFormat="1"/>
    <w:lsdException w:name="Quote" w:semiHidden="0" w:uiPriority="64" w:unhideWhenUsed="0" w:qFormat="1"/>
    <w:lsdException w:name="Intense Quote" w:semiHidden="0" w:uiPriority="65"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99" w:unhideWhenUsed="0" w:qFormat="1"/>
    <w:lsdException w:name="Colorful Grid Accent 1" w:semiHidden="0" w:uiPriority="73" w:unhideWhenUsed="0" w:qFormat="1"/>
    <w:lsdException w:name="Light Shading Accent 2" w:semiHidden="0" w:uiPriority="60" w:unhideWhenUsed="0" w:qFormat="1"/>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99" w:unhideWhenUsed="0"/>
    <w:lsdException w:name="Medium Grid 1 Accent 2" w:semiHidden="0" w:uiPriority="34" w:unhideWhenUsed="0" w:qFormat="1"/>
    <w:lsdException w:name="Medium Grid 2 Accent 2" w:semiHidden="0" w:uiPriority="29" w:unhideWhenUsed="0" w:qFormat="1"/>
    <w:lsdException w:name="Medium Grid 3 Accent 2" w:semiHidden="0" w:uiPriority="30" w:unhideWhenUsed="0" w:qFormat="1"/>
    <w:lsdException w:name="Dark List Accent 2" w:semiHidden="0" w:uiPriority="66" w:unhideWhenUsed="0"/>
    <w:lsdException w:name="Colorful Shading Accent 2" w:semiHidden="0" w:uiPriority="67" w:unhideWhenUsed="0"/>
    <w:lsdException w:name="Colorful List Accent 2" w:semiHidden="0" w:uiPriority="68" w:unhideWhenUsed="0"/>
    <w:lsdException w:name="Colorful Grid Accent 2" w:semiHidden="0" w:uiPriority="69" w:unhideWhenUsed="0"/>
    <w:lsdException w:name="Light Shading Accent 3" w:semiHidden="0" w:uiPriority="70" w:unhideWhenUsed="0"/>
    <w:lsdException w:name="Light List Accent 3" w:semiHidden="0" w:uiPriority="71" w:unhideWhenUsed="0"/>
    <w:lsdException w:name="Light Grid Accent 3" w:semiHidden="0" w:uiPriority="72" w:unhideWhenUsed="0"/>
    <w:lsdException w:name="Medium Shading 1 Accent 3" w:semiHidden="0" w:uiPriority="73" w:unhideWhenUsed="0"/>
    <w:lsdException w:name="Medium Shading 2 Accent 3" w:semiHidden="0" w:uiPriority="60" w:unhideWhenUsed="0"/>
    <w:lsdException w:name="Medium List 1 Accent 3" w:semiHidden="0" w:uiPriority="61" w:unhideWhenUsed="0"/>
    <w:lsdException w:name="Medium List 2 Accent 3" w:semiHidden="0" w:uiPriority="62" w:unhideWhenUsed="0"/>
    <w:lsdException w:name="Medium Grid 1 Accent 3" w:semiHidden="0" w:uiPriority="63" w:unhideWhenUsed="0"/>
    <w:lsdException w:name="Medium Grid 2 Accent 3" w:semiHidden="0" w:uiPriority="64" w:unhideWhenUsed="0"/>
    <w:lsdException w:name="Medium Grid 3 Accent 3" w:semiHidden="0" w:uiPriority="65" w:unhideWhenUsed="0"/>
    <w:lsdException w:name="Dark List Accent 3" w:semiHidden="0" w:uiPriority="66" w:unhideWhenUsed="0"/>
    <w:lsdException w:name="Colorful Shading Accent 3" w:semiHidden="0" w:uiPriority="67" w:unhideWhenUsed="0"/>
    <w:lsdException w:name="Colorful List Accent 3" w:semiHidden="0" w:uiPriority="68" w:unhideWhenUsed="0"/>
    <w:lsdException w:name="Colorful Grid Accent 3" w:semiHidden="0" w:uiPriority="69" w:unhideWhenUsed="0"/>
    <w:lsdException w:name="Light Shading Accent 4" w:semiHidden="0" w:uiPriority="70" w:unhideWhenUsed="0"/>
    <w:lsdException w:name="Light List Accent 4" w:semiHidden="0" w:uiPriority="71" w:unhideWhenUsed="0"/>
    <w:lsdException w:name="Light Grid Accent 4" w:semiHidden="0" w:uiPriority="72" w:unhideWhenUsed="0"/>
    <w:lsdException w:name="Medium Shading 1 Accent 4" w:semiHidden="0" w:uiPriority="73" w:unhideWhenUsed="0"/>
    <w:lsdException w:name="Medium Shading 2 Accent 4" w:semiHidden="0" w:uiPriority="60" w:unhideWhenUsed="0"/>
    <w:lsdException w:name="Medium List 1 Accent 4" w:semiHidden="0" w:uiPriority="61" w:unhideWhenUsed="0"/>
    <w:lsdException w:name="Medium List 2 Accent 4" w:semiHidden="0" w:uiPriority="62" w:unhideWhenUsed="0"/>
    <w:lsdException w:name="Medium Grid 1 Accent 4" w:semiHidden="0" w:uiPriority="63" w:unhideWhenUsed="0"/>
    <w:lsdException w:name="Medium Grid 2 Accent 4" w:semiHidden="0" w:uiPriority="64" w:unhideWhenUsed="0"/>
    <w:lsdException w:name="Medium Grid 3 Accent 4" w:semiHidden="0" w:uiPriority="65" w:unhideWhenUsed="0"/>
    <w:lsdException w:name="Dark List Accent 4" w:semiHidden="0" w:uiPriority="66" w:unhideWhenUsed="0"/>
    <w:lsdException w:name="Colorful Shading Accent 4" w:semiHidden="0" w:uiPriority="67" w:unhideWhenUsed="0"/>
    <w:lsdException w:name="Colorful List Accent 4" w:semiHidden="0" w:uiPriority="68" w:unhideWhenUsed="0"/>
    <w:lsdException w:name="Colorful Grid Accent 4" w:semiHidden="0" w:uiPriority="69" w:unhideWhenUsed="0"/>
    <w:lsdException w:name="Light Shading Accent 5" w:semiHidden="0" w:uiPriority="70" w:unhideWhenUsed="0"/>
    <w:lsdException w:name="Light List Accent 5" w:semiHidden="0" w:uiPriority="71" w:unhideWhenUsed="0"/>
    <w:lsdException w:name="Light Grid Accent 5" w:semiHidden="0" w:uiPriority="72" w:unhideWhenUsed="0"/>
    <w:lsdException w:name="Medium Shading 1 Accent 5" w:semiHidden="0" w:uiPriority="73" w:unhideWhenUsed="0"/>
    <w:lsdException w:name="Medium Shading 2 Accent 5" w:semiHidden="0" w:uiPriority="60" w:unhideWhenUsed="0"/>
    <w:lsdException w:name="Medium List 1 Accent 5" w:semiHidden="0" w:uiPriority="61" w:unhideWhenUsed="0"/>
    <w:lsdException w:name="Medium List 2 Accent 5" w:semiHidden="0" w:uiPriority="62" w:unhideWhenUsed="0"/>
    <w:lsdException w:name="Medium Grid 1 Accent 5" w:semiHidden="0" w:uiPriority="63" w:unhideWhenUsed="0"/>
    <w:lsdException w:name="Medium Grid 2 Accent 5" w:semiHidden="0" w:uiPriority="64" w:unhideWhenUsed="0"/>
    <w:lsdException w:name="Medium Grid 3 Accent 5" w:semiHidden="0" w:uiPriority="65" w:unhideWhenUsed="0"/>
    <w:lsdException w:name="Dark List Accent 5" w:semiHidden="0" w:uiPriority="66" w:unhideWhenUsed="0"/>
    <w:lsdException w:name="Colorful Shading Accent 5" w:semiHidden="0" w:uiPriority="67" w:unhideWhenUsed="0"/>
    <w:lsdException w:name="Colorful List Accent 5" w:semiHidden="0" w:uiPriority="68" w:unhideWhenUsed="0"/>
    <w:lsdException w:name="Colorful Grid Accent 5" w:semiHidden="0" w:uiPriority="69" w:unhideWhenUsed="0"/>
    <w:lsdException w:name="Light Shading Accent 6" w:semiHidden="0" w:uiPriority="70" w:unhideWhenUsed="0"/>
    <w:lsdException w:name="Light List Accent 6" w:semiHidden="0" w:uiPriority="71" w:unhideWhenUsed="0"/>
    <w:lsdException w:name="Light Grid Accent 6" w:semiHidden="0" w:uiPriority="72" w:unhideWhenUsed="0"/>
    <w:lsdException w:name="Medium Shading 1 Accent 6" w:semiHidden="0" w:uiPriority="73" w:unhideWhenUsed="0"/>
    <w:lsdException w:name="Medium Shading 2 Accent 6" w:semiHidden="0" w:uiPriority="60" w:unhideWhenUsed="0"/>
    <w:lsdException w:name="Medium List 1 Accent 6" w:semiHidden="0" w:uiPriority="61" w:unhideWhenUsed="0"/>
    <w:lsdException w:name="Medium List 2 Accent 6" w:semiHidden="0" w:uiPriority="62" w:unhideWhenUsed="0"/>
    <w:lsdException w:name="Medium Grid 1 Accent 6" w:semiHidden="0" w:uiPriority="63" w:unhideWhenUsed="0"/>
    <w:lsdException w:name="Medium Grid 2 Accent 6" w:semiHidden="0" w:uiPriority="64" w:unhideWhenUsed="0"/>
    <w:lsdException w:name="Medium Grid 3 Accent 6" w:semiHidden="0" w:uiPriority="65" w:unhideWhenUsed="0"/>
    <w:lsdException w:name="Dark List Accent 6" w:semiHidden="0" w:uiPriority="66" w:unhideWhenUsed="0"/>
    <w:lsdException w:name="Colorful Shading Accent 6" w:semiHidden="0" w:uiPriority="67" w:unhideWhenUsed="0"/>
    <w:lsdException w:name="Colorful List Accent 6" w:semiHidden="0" w:uiPriority="68" w:unhideWhenUsed="0"/>
    <w:lsdException w:name="Colorful Grid Accent 6" w:semiHidden="0" w:uiPriority="69" w:unhideWhenUsed="0"/>
    <w:lsdException w:name="Subtle Emphasis" w:semiHidden="0" w:uiPriority="70" w:unhideWhenUsed="0" w:qFormat="1"/>
    <w:lsdException w:name="Intense Emphasis" w:semiHidden="0" w:uiPriority="71" w:unhideWhenUsed="0" w:qFormat="1"/>
    <w:lsdException w:name="Subtle Reference" w:semiHidden="0" w:uiPriority="72" w:unhideWhenUsed="0" w:qFormat="1"/>
    <w:lsdException w:name="Intense Reference" w:semiHidden="0" w:uiPriority="73" w:unhideWhenUsed="0" w:qFormat="1"/>
    <w:lsdException w:name="Book Title" w:semiHidden="0" w:uiPriority="60" w:unhideWhenUsed="0" w:qFormat="1"/>
    <w:lsdException w:name="Bibliography" w:uiPriority="61"/>
    <w:lsdException w:name="TOC Heading" w:uiPriority="39" w:qFormat="1"/>
  </w:latentStyles>
  <w:style w:type="paragraph" w:default="1" w:styleId="a">
    <w:name w:val="Normal"/>
    <w:qFormat/>
    <w:rsid w:val="00B156AC"/>
    <w:pPr>
      <w:ind w:firstLine="567"/>
      <w:jc w:val="both"/>
    </w:pPr>
    <w:rPr>
      <w:sz w:val="28"/>
      <w:szCs w:val="28"/>
      <w:lang w:val="uk-UA"/>
    </w:rPr>
  </w:style>
  <w:style w:type="paragraph" w:styleId="1">
    <w:name w:val="heading 1"/>
    <w:basedOn w:val="a"/>
    <w:qFormat/>
    <w:rsid w:val="00485B01"/>
    <w:pPr>
      <w:jc w:val="center"/>
      <w:outlineLvl w:val="0"/>
    </w:pPr>
    <w:rPr>
      <w:rFonts w:eastAsia="Arial Unicode MS" w:cs="Arial Unicode MS"/>
      <w:b/>
      <w:kern w:val="36"/>
    </w:rPr>
  </w:style>
  <w:style w:type="paragraph" w:styleId="2">
    <w:name w:val="heading 2"/>
    <w:basedOn w:val="a"/>
    <w:next w:val="a"/>
    <w:link w:val="20"/>
    <w:qFormat/>
    <w:rsid w:val="00FB4AA8"/>
    <w:pPr>
      <w:keepNext/>
      <w:spacing w:before="240" w:after="60"/>
      <w:outlineLvl w:val="1"/>
    </w:pPr>
    <w:rPr>
      <w:rFonts w:ascii="Arial" w:hAnsi="Arial"/>
      <w:b/>
      <w:bCs/>
      <w:i/>
      <w:iCs/>
      <w:lang w:val="x-none" w:eastAsia="x-none"/>
    </w:rPr>
  </w:style>
  <w:style w:type="paragraph" w:styleId="4">
    <w:name w:val="heading 4"/>
    <w:basedOn w:val="a"/>
    <w:next w:val="a"/>
    <w:link w:val="40"/>
    <w:semiHidden/>
    <w:unhideWhenUsed/>
    <w:qFormat/>
    <w:rsid w:val="001C59B8"/>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0">
    <w:name w:val="Обычный (веб)1"/>
    <w:basedOn w:val="a"/>
    <w:uiPriority w:val="99"/>
    <w:rsid w:val="00FB4AA8"/>
    <w:pPr>
      <w:spacing w:before="100" w:beforeAutospacing="1" w:after="100" w:afterAutospacing="1"/>
    </w:pPr>
  </w:style>
  <w:style w:type="table" w:styleId="a3">
    <w:name w:val="Table Grid"/>
    <w:basedOn w:val="a1"/>
    <w:rsid w:val="00FB4AA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footer"/>
    <w:basedOn w:val="a"/>
    <w:rsid w:val="00D2715E"/>
    <w:pPr>
      <w:tabs>
        <w:tab w:val="center" w:pos="4677"/>
        <w:tab w:val="right" w:pos="9355"/>
      </w:tabs>
    </w:pPr>
  </w:style>
  <w:style w:type="character" w:styleId="a5">
    <w:name w:val="page number"/>
    <w:basedOn w:val="a0"/>
    <w:rsid w:val="00D2715E"/>
  </w:style>
  <w:style w:type="character" w:styleId="a6">
    <w:name w:val="Hyperlink"/>
    <w:uiPriority w:val="99"/>
    <w:rsid w:val="00704B3B"/>
    <w:rPr>
      <w:color w:val="0563C1"/>
      <w:u w:val="single"/>
    </w:rPr>
  </w:style>
  <w:style w:type="paragraph" w:styleId="a7">
    <w:name w:val="header"/>
    <w:basedOn w:val="a"/>
    <w:link w:val="a8"/>
    <w:uiPriority w:val="99"/>
    <w:unhideWhenUsed/>
    <w:rsid w:val="006F0F9F"/>
    <w:pPr>
      <w:tabs>
        <w:tab w:val="center" w:pos="4677"/>
        <w:tab w:val="right" w:pos="9355"/>
      </w:tabs>
    </w:pPr>
    <w:rPr>
      <w:rFonts w:eastAsia="Calibri"/>
      <w:szCs w:val="20"/>
      <w:lang w:val="x-none" w:eastAsia="x-none"/>
    </w:rPr>
  </w:style>
  <w:style w:type="character" w:customStyle="1" w:styleId="a8">
    <w:name w:val="Верхний колонтитул Знак"/>
    <w:link w:val="a7"/>
    <w:uiPriority w:val="99"/>
    <w:rsid w:val="006F0F9F"/>
    <w:rPr>
      <w:rFonts w:eastAsia="Calibri"/>
      <w:sz w:val="28"/>
      <w:lang w:val="x-none" w:eastAsia="x-none"/>
    </w:rPr>
  </w:style>
  <w:style w:type="paragraph" w:customStyle="1" w:styleId="FR2">
    <w:name w:val="FR2"/>
    <w:rsid w:val="006F0F9F"/>
    <w:pPr>
      <w:widowControl w:val="0"/>
      <w:autoSpaceDE w:val="0"/>
      <w:autoSpaceDN w:val="0"/>
      <w:adjustRightInd w:val="0"/>
      <w:spacing w:before="220"/>
      <w:ind w:left="40" w:hanging="20"/>
    </w:pPr>
    <w:rPr>
      <w:rFonts w:ascii="Arial" w:hAnsi="Arial" w:cs="Arial"/>
      <w:sz w:val="18"/>
      <w:szCs w:val="18"/>
      <w:lang w:val="uk-UA" w:eastAsia="uk-UA"/>
    </w:rPr>
  </w:style>
  <w:style w:type="character" w:customStyle="1" w:styleId="20">
    <w:name w:val="Заголовок 2 Знак"/>
    <w:link w:val="2"/>
    <w:rsid w:val="003C2879"/>
    <w:rPr>
      <w:rFonts w:ascii="Arial" w:hAnsi="Arial" w:cs="Arial"/>
      <w:b/>
      <w:bCs/>
      <w:i/>
      <w:iCs/>
      <w:sz w:val="28"/>
      <w:szCs w:val="28"/>
    </w:rPr>
  </w:style>
  <w:style w:type="paragraph" w:styleId="a9">
    <w:name w:val="Body Text"/>
    <w:basedOn w:val="a"/>
    <w:link w:val="aa"/>
    <w:rsid w:val="003C2879"/>
    <w:pPr>
      <w:spacing w:after="120"/>
    </w:pPr>
    <w:rPr>
      <w:szCs w:val="24"/>
      <w:lang w:val="x-none" w:eastAsia="x-none"/>
    </w:rPr>
  </w:style>
  <w:style w:type="character" w:customStyle="1" w:styleId="aa">
    <w:name w:val="Основной текст Знак"/>
    <w:link w:val="a9"/>
    <w:rsid w:val="003C2879"/>
    <w:rPr>
      <w:sz w:val="28"/>
      <w:szCs w:val="24"/>
    </w:rPr>
  </w:style>
  <w:style w:type="character" w:customStyle="1" w:styleId="apple-converted-space">
    <w:name w:val="apple-converted-space"/>
    <w:rsid w:val="00B0230D"/>
  </w:style>
  <w:style w:type="character" w:customStyle="1" w:styleId="il">
    <w:name w:val="il"/>
    <w:rsid w:val="00B0230D"/>
  </w:style>
  <w:style w:type="paragraph" w:styleId="ab">
    <w:name w:val="Document Map"/>
    <w:basedOn w:val="a"/>
    <w:link w:val="ac"/>
    <w:rsid w:val="002256FE"/>
    <w:rPr>
      <w:sz w:val="24"/>
      <w:szCs w:val="24"/>
      <w:lang w:val="x-none" w:eastAsia="x-none"/>
    </w:rPr>
  </w:style>
  <w:style w:type="character" w:customStyle="1" w:styleId="ac">
    <w:name w:val="Схема документа Знак"/>
    <w:link w:val="ab"/>
    <w:rsid w:val="002256FE"/>
    <w:rPr>
      <w:sz w:val="24"/>
      <w:szCs w:val="24"/>
    </w:rPr>
  </w:style>
  <w:style w:type="paragraph" w:styleId="ad">
    <w:name w:val="Balloon Text"/>
    <w:basedOn w:val="a"/>
    <w:link w:val="ae"/>
    <w:rsid w:val="009477B4"/>
    <w:rPr>
      <w:sz w:val="18"/>
      <w:szCs w:val="18"/>
      <w:lang w:val="x-none" w:eastAsia="x-none"/>
    </w:rPr>
  </w:style>
  <w:style w:type="character" w:customStyle="1" w:styleId="ae">
    <w:name w:val="Текст выноски Знак"/>
    <w:link w:val="ad"/>
    <w:rsid w:val="009477B4"/>
    <w:rPr>
      <w:sz w:val="18"/>
      <w:szCs w:val="18"/>
    </w:rPr>
  </w:style>
  <w:style w:type="table" w:customStyle="1" w:styleId="TableNormal">
    <w:name w:val="Table Normal"/>
    <w:rsid w:val="00251B41"/>
    <w:pPr>
      <w:pBdr>
        <w:top w:val="nil"/>
        <w:left w:val="nil"/>
        <w:bottom w:val="nil"/>
        <w:right w:val="nil"/>
        <w:between w:val="nil"/>
        <w:bar w:val="nil"/>
      </w:pBdr>
    </w:pPr>
    <w:rPr>
      <w:rFonts w:eastAsia="Arial Unicode MS"/>
      <w:bdr w:val="nil"/>
    </w:rPr>
    <w:tblPr>
      <w:tblInd w:w="0" w:type="dxa"/>
      <w:tblCellMar>
        <w:top w:w="0" w:type="dxa"/>
        <w:left w:w="0" w:type="dxa"/>
        <w:bottom w:w="0" w:type="dxa"/>
        <w:right w:w="0" w:type="dxa"/>
      </w:tblCellMar>
    </w:tblPr>
  </w:style>
  <w:style w:type="paragraph" w:customStyle="1" w:styleId="1-21">
    <w:name w:val="Средняя сетка 1 - Акцент 21"/>
    <w:basedOn w:val="a"/>
    <w:uiPriority w:val="34"/>
    <w:qFormat/>
    <w:rsid w:val="00251B41"/>
    <w:pPr>
      <w:ind w:left="720" w:firstLine="284"/>
      <w:contextualSpacing/>
    </w:pPr>
    <w:rPr>
      <w:lang w:eastAsia="en-US"/>
    </w:rPr>
  </w:style>
  <w:style w:type="paragraph" w:styleId="11">
    <w:name w:val="toc 1"/>
    <w:basedOn w:val="a"/>
    <w:next w:val="a"/>
    <w:autoRedefine/>
    <w:uiPriority w:val="39"/>
    <w:rsid w:val="00CB4B9D"/>
    <w:pPr>
      <w:tabs>
        <w:tab w:val="left" w:pos="1120"/>
        <w:tab w:val="right" w:leader="dot" w:pos="9486"/>
      </w:tabs>
      <w:spacing w:line="480" w:lineRule="auto"/>
    </w:pPr>
  </w:style>
  <w:style w:type="paragraph" w:styleId="21">
    <w:name w:val="toc 2"/>
    <w:basedOn w:val="a"/>
    <w:next w:val="a"/>
    <w:autoRedefine/>
    <w:uiPriority w:val="39"/>
    <w:rsid w:val="001503D6"/>
    <w:pPr>
      <w:ind w:left="280"/>
    </w:pPr>
  </w:style>
  <w:style w:type="paragraph" w:styleId="3">
    <w:name w:val="toc 3"/>
    <w:basedOn w:val="a"/>
    <w:next w:val="a"/>
    <w:autoRedefine/>
    <w:rsid w:val="001503D6"/>
    <w:pPr>
      <w:ind w:left="560"/>
    </w:pPr>
  </w:style>
  <w:style w:type="paragraph" w:styleId="41">
    <w:name w:val="toc 4"/>
    <w:basedOn w:val="a"/>
    <w:next w:val="a"/>
    <w:autoRedefine/>
    <w:rsid w:val="001503D6"/>
    <w:pPr>
      <w:ind w:left="840"/>
    </w:pPr>
  </w:style>
  <w:style w:type="paragraph" w:styleId="5">
    <w:name w:val="toc 5"/>
    <w:basedOn w:val="a"/>
    <w:next w:val="a"/>
    <w:autoRedefine/>
    <w:rsid w:val="001503D6"/>
    <w:pPr>
      <w:ind w:left="1120"/>
    </w:pPr>
  </w:style>
  <w:style w:type="paragraph" w:styleId="6">
    <w:name w:val="toc 6"/>
    <w:basedOn w:val="a"/>
    <w:next w:val="a"/>
    <w:autoRedefine/>
    <w:rsid w:val="001503D6"/>
    <w:pPr>
      <w:ind w:left="1400"/>
    </w:pPr>
  </w:style>
  <w:style w:type="paragraph" w:styleId="7">
    <w:name w:val="toc 7"/>
    <w:basedOn w:val="a"/>
    <w:next w:val="a"/>
    <w:autoRedefine/>
    <w:rsid w:val="001503D6"/>
    <w:pPr>
      <w:ind w:left="1680"/>
    </w:pPr>
  </w:style>
  <w:style w:type="paragraph" w:styleId="8">
    <w:name w:val="toc 8"/>
    <w:basedOn w:val="a"/>
    <w:next w:val="a"/>
    <w:autoRedefine/>
    <w:rsid w:val="001503D6"/>
    <w:pPr>
      <w:ind w:left="1960"/>
    </w:pPr>
  </w:style>
  <w:style w:type="paragraph" w:styleId="9">
    <w:name w:val="toc 9"/>
    <w:basedOn w:val="a"/>
    <w:next w:val="a"/>
    <w:autoRedefine/>
    <w:rsid w:val="001503D6"/>
    <w:pPr>
      <w:ind w:left="2240"/>
    </w:pPr>
  </w:style>
  <w:style w:type="paragraph" w:customStyle="1" w:styleId="2-21">
    <w:name w:val="Средний список 2 - Акцент 21"/>
    <w:hidden/>
    <w:uiPriority w:val="99"/>
    <w:semiHidden/>
    <w:rsid w:val="001116FB"/>
    <w:rPr>
      <w:sz w:val="28"/>
      <w:szCs w:val="28"/>
      <w:lang w:val="uk-UA"/>
    </w:rPr>
  </w:style>
  <w:style w:type="paragraph" w:styleId="af">
    <w:name w:val="footnote text"/>
    <w:basedOn w:val="a"/>
    <w:link w:val="af0"/>
    <w:uiPriority w:val="99"/>
    <w:rsid w:val="000027E0"/>
    <w:pPr>
      <w:ind w:firstLine="0"/>
      <w:jc w:val="left"/>
    </w:pPr>
    <w:rPr>
      <w:rFonts w:ascii="Calibri" w:eastAsia="Calibri" w:hAnsi="Calibri"/>
      <w:sz w:val="20"/>
      <w:szCs w:val="20"/>
      <w:lang w:val="x-none" w:eastAsia="x-none"/>
    </w:rPr>
  </w:style>
  <w:style w:type="character" w:customStyle="1" w:styleId="af0">
    <w:name w:val="Текст сноски Знак"/>
    <w:link w:val="af"/>
    <w:uiPriority w:val="99"/>
    <w:rsid w:val="000027E0"/>
    <w:rPr>
      <w:rFonts w:ascii="Calibri" w:eastAsia="Calibri" w:hAnsi="Calibri"/>
      <w:lang w:val="x-none" w:eastAsia="x-none"/>
    </w:rPr>
  </w:style>
  <w:style w:type="character" w:styleId="af1">
    <w:name w:val="footnote reference"/>
    <w:aliases w:val="ftref,16 Point,Superscript 6 Point,(NECG) Footnote Reference,BVI fnr,fr,Ref,de nota al pie,Footnote Ref in FtNote,Footnote Reference Number, BVI fnr,Fußnotenzeichen DISS,SUPERS,Footnotes refss,callout"/>
    <w:uiPriority w:val="99"/>
    <w:rsid w:val="000027E0"/>
    <w:rPr>
      <w:rFonts w:cs="Times New Roman"/>
      <w:vertAlign w:val="superscript"/>
    </w:rPr>
  </w:style>
  <w:style w:type="paragraph" w:customStyle="1" w:styleId="-11">
    <w:name w:val="Цветной список - Акцент 11"/>
    <w:basedOn w:val="a"/>
    <w:uiPriority w:val="99"/>
    <w:qFormat/>
    <w:rsid w:val="00E75FB5"/>
    <w:pPr>
      <w:spacing w:after="200" w:line="276" w:lineRule="auto"/>
      <w:ind w:left="720" w:firstLine="0"/>
      <w:contextualSpacing/>
      <w:jc w:val="left"/>
    </w:pPr>
    <w:rPr>
      <w:rFonts w:ascii="Calibri" w:eastAsia="Calibri" w:hAnsi="Calibri"/>
      <w:sz w:val="22"/>
      <w:szCs w:val="22"/>
      <w:lang w:val="ru-RU" w:eastAsia="en-US"/>
    </w:rPr>
  </w:style>
  <w:style w:type="paragraph" w:styleId="af2">
    <w:name w:val="Body Text Indent"/>
    <w:basedOn w:val="a"/>
    <w:link w:val="af3"/>
    <w:unhideWhenUsed/>
    <w:rsid w:val="00FF2D82"/>
    <w:pPr>
      <w:spacing w:after="120"/>
      <w:ind w:left="283" w:firstLine="0"/>
      <w:jc w:val="left"/>
    </w:pPr>
    <w:rPr>
      <w:sz w:val="24"/>
      <w:szCs w:val="24"/>
      <w:lang w:val="x-none" w:eastAsia="x-none"/>
    </w:rPr>
  </w:style>
  <w:style w:type="character" w:customStyle="1" w:styleId="af3">
    <w:name w:val="Основной текст с отступом Знак"/>
    <w:link w:val="af2"/>
    <w:rsid w:val="00FF2D82"/>
    <w:rPr>
      <w:sz w:val="24"/>
      <w:szCs w:val="24"/>
      <w:lang w:val="x-none"/>
    </w:rPr>
  </w:style>
  <w:style w:type="paragraph" w:styleId="af4">
    <w:name w:val="List Paragraph"/>
    <w:basedOn w:val="a"/>
    <w:uiPriority w:val="34"/>
    <w:qFormat/>
    <w:rsid w:val="00D819EB"/>
    <w:pPr>
      <w:ind w:left="708"/>
    </w:pPr>
  </w:style>
  <w:style w:type="paragraph" w:customStyle="1" w:styleId="TableParagraph">
    <w:name w:val="Table Paragraph"/>
    <w:basedOn w:val="a"/>
    <w:uiPriority w:val="1"/>
    <w:qFormat/>
    <w:rsid w:val="00E4678A"/>
    <w:pPr>
      <w:widowControl w:val="0"/>
      <w:autoSpaceDE w:val="0"/>
      <w:autoSpaceDN w:val="0"/>
      <w:ind w:firstLine="0"/>
      <w:jc w:val="left"/>
    </w:pPr>
    <w:rPr>
      <w:sz w:val="22"/>
      <w:szCs w:val="22"/>
      <w:lang w:eastAsia="en-US"/>
    </w:rPr>
  </w:style>
  <w:style w:type="paragraph" w:customStyle="1" w:styleId="00">
    <w:name w:val="00_осн текст"/>
    <w:basedOn w:val="a"/>
    <w:uiPriority w:val="99"/>
    <w:rsid w:val="009800DB"/>
    <w:pPr>
      <w:autoSpaceDE w:val="0"/>
      <w:autoSpaceDN w:val="0"/>
      <w:adjustRightInd w:val="0"/>
      <w:spacing w:line="259" w:lineRule="auto"/>
      <w:ind w:firstLine="283"/>
      <w:textAlignment w:val="center"/>
    </w:pPr>
    <w:rPr>
      <w:rFonts w:ascii="NewtonCTT" w:hAnsi="NewtonCTT" w:cs="NewtonCTT"/>
      <w:color w:val="000000"/>
      <w:sz w:val="21"/>
      <w:szCs w:val="21"/>
    </w:rPr>
  </w:style>
  <w:style w:type="paragraph" w:customStyle="1" w:styleId="05">
    <w:name w:val="05_лит"/>
    <w:basedOn w:val="00"/>
    <w:uiPriority w:val="99"/>
    <w:rsid w:val="009800DB"/>
    <w:pPr>
      <w:ind w:left="397" w:hanging="397"/>
    </w:pPr>
    <w:rPr>
      <w:sz w:val="18"/>
      <w:szCs w:val="18"/>
    </w:rPr>
  </w:style>
  <w:style w:type="character" w:customStyle="1" w:styleId="alt2">
    <w:name w:val="alt2"/>
    <w:uiPriority w:val="99"/>
    <w:rsid w:val="009800DB"/>
  </w:style>
  <w:style w:type="character" w:customStyle="1" w:styleId="12">
    <w:name w:val="Незакрита згадка1"/>
    <w:basedOn w:val="a0"/>
    <w:uiPriority w:val="99"/>
    <w:semiHidden/>
    <w:unhideWhenUsed/>
    <w:rsid w:val="009800DB"/>
    <w:rPr>
      <w:color w:val="605E5C"/>
      <w:shd w:val="clear" w:color="auto" w:fill="E1DFDD"/>
    </w:rPr>
  </w:style>
  <w:style w:type="paragraph" w:customStyle="1" w:styleId="styletext">
    <w:name w:val="style_text"/>
    <w:basedOn w:val="a"/>
    <w:rsid w:val="009800DB"/>
    <w:pPr>
      <w:spacing w:before="100" w:beforeAutospacing="1" w:after="100" w:afterAutospacing="1"/>
      <w:ind w:firstLine="0"/>
      <w:jc w:val="left"/>
    </w:pPr>
    <w:rPr>
      <w:sz w:val="24"/>
      <w:szCs w:val="24"/>
      <w:lang w:val="ru-RU"/>
    </w:rPr>
  </w:style>
  <w:style w:type="paragraph" w:styleId="af5">
    <w:name w:val="No Spacing"/>
    <w:link w:val="af6"/>
    <w:uiPriority w:val="1"/>
    <w:qFormat/>
    <w:rsid w:val="009800DB"/>
    <w:pPr>
      <w:ind w:firstLine="567"/>
      <w:jc w:val="both"/>
    </w:pPr>
    <w:rPr>
      <w:sz w:val="28"/>
      <w:szCs w:val="28"/>
      <w:lang w:val="uk-UA"/>
    </w:rPr>
  </w:style>
  <w:style w:type="character" w:customStyle="1" w:styleId="rvts23">
    <w:name w:val="rvts23"/>
    <w:basedOn w:val="a0"/>
    <w:rsid w:val="009800DB"/>
  </w:style>
  <w:style w:type="character" w:customStyle="1" w:styleId="40">
    <w:name w:val="Заголовок 4 Знак"/>
    <w:basedOn w:val="a0"/>
    <w:link w:val="4"/>
    <w:semiHidden/>
    <w:rsid w:val="001C59B8"/>
    <w:rPr>
      <w:rFonts w:asciiTheme="majorHAnsi" w:eastAsiaTheme="majorEastAsia" w:hAnsiTheme="majorHAnsi" w:cstheme="majorBidi"/>
      <w:i/>
      <w:iCs/>
      <w:color w:val="2F5496" w:themeColor="accent1" w:themeShade="BF"/>
      <w:sz w:val="28"/>
      <w:szCs w:val="28"/>
      <w:lang w:val="uk-UA"/>
    </w:rPr>
  </w:style>
  <w:style w:type="character" w:customStyle="1" w:styleId="s7d2086b4">
    <w:name w:val="s7d2086b4"/>
    <w:basedOn w:val="a0"/>
    <w:rsid w:val="001C59B8"/>
  </w:style>
  <w:style w:type="character" w:customStyle="1" w:styleId="sfbbfee58">
    <w:name w:val="sfbbfee58"/>
    <w:basedOn w:val="a0"/>
    <w:rsid w:val="0030038F"/>
  </w:style>
  <w:style w:type="character" w:customStyle="1" w:styleId="s1a844bc0">
    <w:name w:val="s1a844bc0"/>
    <w:basedOn w:val="a0"/>
    <w:rsid w:val="0030038F"/>
  </w:style>
  <w:style w:type="character" w:styleId="af7">
    <w:name w:val="FollowedHyperlink"/>
    <w:basedOn w:val="a0"/>
    <w:semiHidden/>
    <w:unhideWhenUsed/>
    <w:rsid w:val="00145F4A"/>
    <w:rPr>
      <w:color w:val="954F72" w:themeColor="followedHyperlink"/>
      <w:u w:val="single"/>
    </w:rPr>
  </w:style>
  <w:style w:type="character" w:customStyle="1" w:styleId="UnresolvedMention">
    <w:name w:val="Unresolved Mention"/>
    <w:basedOn w:val="a0"/>
    <w:uiPriority w:val="99"/>
    <w:semiHidden/>
    <w:unhideWhenUsed/>
    <w:rsid w:val="00145F4A"/>
    <w:rPr>
      <w:color w:val="605E5C"/>
      <w:shd w:val="clear" w:color="auto" w:fill="E1DFDD"/>
    </w:rPr>
  </w:style>
  <w:style w:type="paragraph" w:styleId="af8">
    <w:name w:val="Normal (Web)"/>
    <w:basedOn w:val="a"/>
    <w:uiPriority w:val="99"/>
    <w:rsid w:val="000E0247"/>
    <w:pPr>
      <w:spacing w:before="100" w:beforeAutospacing="1" w:after="100" w:afterAutospacing="1"/>
      <w:ind w:firstLine="0"/>
      <w:jc w:val="left"/>
    </w:pPr>
    <w:rPr>
      <w:sz w:val="24"/>
      <w:szCs w:val="24"/>
      <w:lang w:val="ru-RU"/>
    </w:rPr>
  </w:style>
  <w:style w:type="character" w:customStyle="1" w:styleId="af6">
    <w:name w:val="Без интервала Знак"/>
    <w:link w:val="af5"/>
    <w:uiPriority w:val="1"/>
    <w:rsid w:val="000E0247"/>
    <w:rPr>
      <w:sz w:val="28"/>
      <w:szCs w:val="28"/>
      <w:lang w:val="uk-UA"/>
    </w:rPr>
  </w:style>
  <w:style w:type="paragraph" w:styleId="af9">
    <w:name w:val="TOC Heading"/>
    <w:basedOn w:val="1"/>
    <w:next w:val="a"/>
    <w:uiPriority w:val="39"/>
    <w:unhideWhenUsed/>
    <w:qFormat/>
    <w:rsid w:val="003E1286"/>
    <w:pPr>
      <w:keepNext/>
      <w:keepLines/>
      <w:spacing w:before="240" w:line="259" w:lineRule="auto"/>
      <w:ind w:firstLine="0"/>
      <w:jc w:val="left"/>
      <w:outlineLvl w:val="9"/>
    </w:pPr>
    <w:rPr>
      <w:rFonts w:asciiTheme="majorHAnsi" w:eastAsiaTheme="majorEastAsia" w:hAnsiTheme="majorHAnsi" w:cstheme="majorBidi"/>
      <w:b w:val="0"/>
      <w:color w:val="2F5496" w:themeColor="accent1" w:themeShade="BF"/>
      <w:kern w:val="0"/>
      <w:sz w:val="32"/>
      <w:szCs w:val="32"/>
      <w:lang w:val="ru-RU"/>
    </w:rPr>
  </w:style>
  <w:style w:type="paragraph" w:customStyle="1" w:styleId="Default">
    <w:name w:val="Default"/>
    <w:uiPriority w:val="99"/>
    <w:rsid w:val="00223C27"/>
    <w:pPr>
      <w:autoSpaceDE w:val="0"/>
      <w:autoSpaceDN w:val="0"/>
      <w:adjustRightInd w:val="0"/>
    </w:pPr>
    <w:rPr>
      <w:color w:val="000000"/>
      <w:sz w:val="24"/>
      <w:szCs w:val="24"/>
    </w:rPr>
  </w:style>
  <w:style w:type="character" w:customStyle="1" w:styleId="markedcontent">
    <w:name w:val="markedcontent"/>
    <w:basedOn w:val="a0"/>
    <w:rsid w:val="003C703E"/>
  </w:style>
  <w:style w:type="paragraph" w:customStyle="1" w:styleId="title-bold">
    <w:name w:val="title-bold"/>
    <w:basedOn w:val="a"/>
    <w:rsid w:val="00594A56"/>
    <w:pPr>
      <w:spacing w:before="100" w:beforeAutospacing="1" w:after="100" w:afterAutospacing="1"/>
      <w:ind w:firstLine="0"/>
      <w:jc w:val="left"/>
    </w:pPr>
    <w:rPr>
      <w:sz w:val="24"/>
      <w:szCs w:val="24"/>
    </w:rPr>
  </w:style>
  <w:style w:type="character" w:customStyle="1" w:styleId="c-bibliographic-informationvalue">
    <w:name w:val="c-bibliographic-information__value"/>
    <w:basedOn w:val="a0"/>
    <w:rsid w:val="00594A56"/>
  </w:style>
  <w:style w:type="character" w:customStyle="1" w:styleId="rvts44">
    <w:name w:val="rvts44"/>
    <w:basedOn w:val="a0"/>
    <w:rsid w:val="00594A56"/>
  </w:style>
  <w:style w:type="paragraph" w:styleId="afa">
    <w:name w:val="Revision"/>
    <w:hidden/>
    <w:uiPriority w:val="62"/>
    <w:unhideWhenUsed/>
    <w:rsid w:val="00CB4B9D"/>
    <w:rPr>
      <w:sz w:val="28"/>
      <w:szCs w:val="28"/>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footnote text" w:uiPriority="99"/>
    <w:lsdException w:name="header" w:uiPriority="99"/>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Hyperlink" w:uiPriority="99"/>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lsdException w:name="No Spacing" w:semiHidden="0" w:uiPriority="1" w:unhideWhenUsed="0" w:qFormat="1"/>
    <w:lsdException w:name="Light Shading" w:semiHidden="0" w:uiPriority="99" w:unhideWhenUsed="0"/>
    <w:lsdException w:name="Light List" w:semiHidden="0" w:uiPriority="99" w:unhideWhenUsed="0"/>
    <w:lsdException w:name="Light Grid" w:semiHidden="0" w:uiPriority="99" w:unhideWhenUsed="0"/>
    <w:lsdException w:name="Medium Shading 1" w:semiHidden="0" w:uiPriority="99" w:unhideWhenUsed="0"/>
    <w:lsdException w:name="Medium Shading 2" w:semiHidden="0" w:uiPriority="99" w:unhideWhenUsed="0"/>
    <w:lsdException w:name="Medium List 1" w:semiHidden="0" w:uiPriority="99" w:unhideWhenUsed="0"/>
    <w:lsdException w:name="Medium List 2" w:semiHidden="0" w:uiPriority="99" w:unhideWhenUsed="0"/>
    <w:lsdException w:name="Medium Grid 1" w:semiHidden="0" w:uiPriority="99" w:unhideWhenUsed="0"/>
    <w:lsdException w:name="Medium Grid 2" w:semiHidden="0" w:uiPriority="99" w:unhideWhenUsed="0" w:qFormat="1"/>
    <w:lsdException w:name="Medium Grid 3" w:semiHidden="0" w:uiPriority="99" w:unhideWhenUsed="0"/>
    <w:lsdException w:name="Dark List" w:semiHidden="0" w:uiPriority="99" w:unhideWhenUsed="0"/>
    <w:lsdException w:name="Colorful Shading" w:semiHidden="0" w:uiPriority="99" w:unhideWhenUsed="0"/>
    <w:lsdException w:name="Colorful List" w:semiHidden="0" w:uiPriority="99" w:unhideWhenUsed="0"/>
    <w:lsdException w:name="Colorful Grid" w:semiHidden="0" w:uiPriority="99" w:unhideWhenUsed="0"/>
    <w:lsdException w:name="Light Shading Accent 1" w:semiHidden="0" w:uiPriority="99" w:unhideWhenUsed="0"/>
    <w:lsdException w:name="Light List Accent 1" w:semiHidden="0" w:uiPriority="99" w:unhideWhenUsed="0"/>
    <w:lsdException w:name="Light Grid Accent 1" w:semiHidden="0" w:uiPriority="99" w:unhideWhenUsed="0"/>
    <w:lsdException w:name="Medium Shading 1 Accent 1" w:semiHidden="0" w:uiPriority="1" w:unhideWhenUsed="0" w:qFormat="1"/>
    <w:lsdException w:name="Medium Shading 2 Accent 1" w:semiHidden="0" w:uiPriority="60" w:unhideWhenUsed="0"/>
    <w:lsdException w:name="Medium List 1 Accent 1" w:semiHidden="0" w:uiPriority="61" w:unhideWhenUsed="0"/>
    <w:lsdException w:name="Revision" w:uiPriority="62"/>
    <w:lsdException w:name="List Paragraph" w:semiHidden="0" w:uiPriority="34" w:unhideWhenUsed="0" w:qFormat="1"/>
    <w:lsdException w:name="Quote" w:semiHidden="0" w:uiPriority="64" w:unhideWhenUsed="0" w:qFormat="1"/>
    <w:lsdException w:name="Intense Quote" w:semiHidden="0" w:uiPriority="65"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99" w:unhideWhenUsed="0" w:qFormat="1"/>
    <w:lsdException w:name="Colorful Grid Accent 1" w:semiHidden="0" w:uiPriority="73" w:unhideWhenUsed="0" w:qFormat="1"/>
    <w:lsdException w:name="Light Shading Accent 2" w:semiHidden="0" w:uiPriority="60" w:unhideWhenUsed="0" w:qFormat="1"/>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99" w:unhideWhenUsed="0"/>
    <w:lsdException w:name="Medium Grid 1 Accent 2" w:semiHidden="0" w:uiPriority="34" w:unhideWhenUsed="0" w:qFormat="1"/>
    <w:lsdException w:name="Medium Grid 2 Accent 2" w:semiHidden="0" w:uiPriority="29" w:unhideWhenUsed="0" w:qFormat="1"/>
    <w:lsdException w:name="Medium Grid 3 Accent 2" w:semiHidden="0" w:uiPriority="30" w:unhideWhenUsed="0" w:qFormat="1"/>
    <w:lsdException w:name="Dark List Accent 2" w:semiHidden="0" w:uiPriority="66" w:unhideWhenUsed="0"/>
    <w:lsdException w:name="Colorful Shading Accent 2" w:semiHidden="0" w:uiPriority="67" w:unhideWhenUsed="0"/>
    <w:lsdException w:name="Colorful List Accent 2" w:semiHidden="0" w:uiPriority="68" w:unhideWhenUsed="0"/>
    <w:lsdException w:name="Colorful Grid Accent 2" w:semiHidden="0" w:uiPriority="69" w:unhideWhenUsed="0"/>
    <w:lsdException w:name="Light Shading Accent 3" w:semiHidden="0" w:uiPriority="70" w:unhideWhenUsed="0"/>
    <w:lsdException w:name="Light List Accent 3" w:semiHidden="0" w:uiPriority="71" w:unhideWhenUsed="0"/>
    <w:lsdException w:name="Light Grid Accent 3" w:semiHidden="0" w:uiPriority="72" w:unhideWhenUsed="0"/>
    <w:lsdException w:name="Medium Shading 1 Accent 3" w:semiHidden="0" w:uiPriority="73" w:unhideWhenUsed="0"/>
    <w:lsdException w:name="Medium Shading 2 Accent 3" w:semiHidden="0" w:uiPriority="60" w:unhideWhenUsed="0"/>
    <w:lsdException w:name="Medium List 1 Accent 3" w:semiHidden="0" w:uiPriority="61" w:unhideWhenUsed="0"/>
    <w:lsdException w:name="Medium List 2 Accent 3" w:semiHidden="0" w:uiPriority="62" w:unhideWhenUsed="0"/>
    <w:lsdException w:name="Medium Grid 1 Accent 3" w:semiHidden="0" w:uiPriority="63" w:unhideWhenUsed="0"/>
    <w:lsdException w:name="Medium Grid 2 Accent 3" w:semiHidden="0" w:uiPriority="64" w:unhideWhenUsed="0"/>
    <w:lsdException w:name="Medium Grid 3 Accent 3" w:semiHidden="0" w:uiPriority="65" w:unhideWhenUsed="0"/>
    <w:lsdException w:name="Dark List Accent 3" w:semiHidden="0" w:uiPriority="66" w:unhideWhenUsed="0"/>
    <w:lsdException w:name="Colorful Shading Accent 3" w:semiHidden="0" w:uiPriority="67" w:unhideWhenUsed="0"/>
    <w:lsdException w:name="Colorful List Accent 3" w:semiHidden="0" w:uiPriority="68" w:unhideWhenUsed="0"/>
    <w:lsdException w:name="Colorful Grid Accent 3" w:semiHidden="0" w:uiPriority="69" w:unhideWhenUsed="0"/>
    <w:lsdException w:name="Light Shading Accent 4" w:semiHidden="0" w:uiPriority="70" w:unhideWhenUsed="0"/>
    <w:lsdException w:name="Light List Accent 4" w:semiHidden="0" w:uiPriority="71" w:unhideWhenUsed="0"/>
    <w:lsdException w:name="Light Grid Accent 4" w:semiHidden="0" w:uiPriority="72" w:unhideWhenUsed="0"/>
    <w:lsdException w:name="Medium Shading 1 Accent 4" w:semiHidden="0" w:uiPriority="73" w:unhideWhenUsed="0"/>
    <w:lsdException w:name="Medium Shading 2 Accent 4" w:semiHidden="0" w:uiPriority="60" w:unhideWhenUsed="0"/>
    <w:lsdException w:name="Medium List 1 Accent 4" w:semiHidden="0" w:uiPriority="61" w:unhideWhenUsed="0"/>
    <w:lsdException w:name="Medium List 2 Accent 4" w:semiHidden="0" w:uiPriority="62" w:unhideWhenUsed="0"/>
    <w:lsdException w:name="Medium Grid 1 Accent 4" w:semiHidden="0" w:uiPriority="63" w:unhideWhenUsed="0"/>
    <w:lsdException w:name="Medium Grid 2 Accent 4" w:semiHidden="0" w:uiPriority="64" w:unhideWhenUsed="0"/>
    <w:lsdException w:name="Medium Grid 3 Accent 4" w:semiHidden="0" w:uiPriority="65" w:unhideWhenUsed="0"/>
    <w:lsdException w:name="Dark List Accent 4" w:semiHidden="0" w:uiPriority="66" w:unhideWhenUsed="0"/>
    <w:lsdException w:name="Colorful Shading Accent 4" w:semiHidden="0" w:uiPriority="67" w:unhideWhenUsed="0"/>
    <w:lsdException w:name="Colorful List Accent 4" w:semiHidden="0" w:uiPriority="68" w:unhideWhenUsed="0"/>
    <w:lsdException w:name="Colorful Grid Accent 4" w:semiHidden="0" w:uiPriority="69" w:unhideWhenUsed="0"/>
    <w:lsdException w:name="Light Shading Accent 5" w:semiHidden="0" w:uiPriority="70" w:unhideWhenUsed="0"/>
    <w:lsdException w:name="Light List Accent 5" w:semiHidden="0" w:uiPriority="71" w:unhideWhenUsed="0"/>
    <w:lsdException w:name="Light Grid Accent 5" w:semiHidden="0" w:uiPriority="72" w:unhideWhenUsed="0"/>
    <w:lsdException w:name="Medium Shading 1 Accent 5" w:semiHidden="0" w:uiPriority="73" w:unhideWhenUsed="0"/>
    <w:lsdException w:name="Medium Shading 2 Accent 5" w:semiHidden="0" w:uiPriority="60" w:unhideWhenUsed="0"/>
    <w:lsdException w:name="Medium List 1 Accent 5" w:semiHidden="0" w:uiPriority="61" w:unhideWhenUsed="0"/>
    <w:lsdException w:name="Medium List 2 Accent 5" w:semiHidden="0" w:uiPriority="62" w:unhideWhenUsed="0"/>
    <w:lsdException w:name="Medium Grid 1 Accent 5" w:semiHidden="0" w:uiPriority="63" w:unhideWhenUsed="0"/>
    <w:lsdException w:name="Medium Grid 2 Accent 5" w:semiHidden="0" w:uiPriority="64" w:unhideWhenUsed="0"/>
    <w:lsdException w:name="Medium Grid 3 Accent 5" w:semiHidden="0" w:uiPriority="65" w:unhideWhenUsed="0"/>
    <w:lsdException w:name="Dark List Accent 5" w:semiHidden="0" w:uiPriority="66" w:unhideWhenUsed="0"/>
    <w:lsdException w:name="Colorful Shading Accent 5" w:semiHidden="0" w:uiPriority="67" w:unhideWhenUsed="0"/>
    <w:lsdException w:name="Colorful List Accent 5" w:semiHidden="0" w:uiPriority="68" w:unhideWhenUsed="0"/>
    <w:lsdException w:name="Colorful Grid Accent 5" w:semiHidden="0" w:uiPriority="69" w:unhideWhenUsed="0"/>
    <w:lsdException w:name="Light Shading Accent 6" w:semiHidden="0" w:uiPriority="70" w:unhideWhenUsed="0"/>
    <w:lsdException w:name="Light List Accent 6" w:semiHidden="0" w:uiPriority="71" w:unhideWhenUsed="0"/>
    <w:lsdException w:name="Light Grid Accent 6" w:semiHidden="0" w:uiPriority="72" w:unhideWhenUsed="0"/>
    <w:lsdException w:name="Medium Shading 1 Accent 6" w:semiHidden="0" w:uiPriority="73" w:unhideWhenUsed="0"/>
    <w:lsdException w:name="Medium Shading 2 Accent 6" w:semiHidden="0" w:uiPriority="60" w:unhideWhenUsed="0"/>
    <w:lsdException w:name="Medium List 1 Accent 6" w:semiHidden="0" w:uiPriority="61" w:unhideWhenUsed="0"/>
    <w:lsdException w:name="Medium List 2 Accent 6" w:semiHidden="0" w:uiPriority="62" w:unhideWhenUsed="0"/>
    <w:lsdException w:name="Medium Grid 1 Accent 6" w:semiHidden="0" w:uiPriority="63" w:unhideWhenUsed="0"/>
    <w:lsdException w:name="Medium Grid 2 Accent 6" w:semiHidden="0" w:uiPriority="64" w:unhideWhenUsed="0"/>
    <w:lsdException w:name="Medium Grid 3 Accent 6" w:semiHidden="0" w:uiPriority="65" w:unhideWhenUsed="0"/>
    <w:lsdException w:name="Dark List Accent 6" w:semiHidden="0" w:uiPriority="66" w:unhideWhenUsed="0"/>
    <w:lsdException w:name="Colorful Shading Accent 6" w:semiHidden="0" w:uiPriority="67" w:unhideWhenUsed="0"/>
    <w:lsdException w:name="Colorful List Accent 6" w:semiHidden="0" w:uiPriority="68" w:unhideWhenUsed="0"/>
    <w:lsdException w:name="Colorful Grid Accent 6" w:semiHidden="0" w:uiPriority="69" w:unhideWhenUsed="0"/>
    <w:lsdException w:name="Subtle Emphasis" w:semiHidden="0" w:uiPriority="70" w:unhideWhenUsed="0" w:qFormat="1"/>
    <w:lsdException w:name="Intense Emphasis" w:semiHidden="0" w:uiPriority="71" w:unhideWhenUsed="0" w:qFormat="1"/>
    <w:lsdException w:name="Subtle Reference" w:semiHidden="0" w:uiPriority="72" w:unhideWhenUsed="0" w:qFormat="1"/>
    <w:lsdException w:name="Intense Reference" w:semiHidden="0" w:uiPriority="73" w:unhideWhenUsed="0" w:qFormat="1"/>
    <w:lsdException w:name="Book Title" w:semiHidden="0" w:uiPriority="60" w:unhideWhenUsed="0" w:qFormat="1"/>
    <w:lsdException w:name="Bibliography" w:uiPriority="61"/>
    <w:lsdException w:name="TOC Heading" w:uiPriority="39" w:qFormat="1"/>
  </w:latentStyles>
  <w:style w:type="paragraph" w:default="1" w:styleId="a">
    <w:name w:val="Normal"/>
    <w:qFormat/>
    <w:rsid w:val="00B156AC"/>
    <w:pPr>
      <w:ind w:firstLine="567"/>
      <w:jc w:val="both"/>
    </w:pPr>
    <w:rPr>
      <w:sz w:val="28"/>
      <w:szCs w:val="28"/>
      <w:lang w:val="uk-UA"/>
    </w:rPr>
  </w:style>
  <w:style w:type="paragraph" w:styleId="1">
    <w:name w:val="heading 1"/>
    <w:basedOn w:val="a"/>
    <w:qFormat/>
    <w:rsid w:val="00485B01"/>
    <w:pPr>
      <w:jc w:val="center"/>
      <w:outlineLvl w:val="0"/>
    </w:pPr>
    <w:rPr>
      <w:rFonts w:eastAsia="Arial Unicode MS" w:cs="Arial Unicode MS"/>
      <w:b/>
      <w:kern w:val="36"/>
    </w:rPr>
  </w:style>
  <w:style w:type="paragraph" w:styleId="2">
    <w:name w:val="heading 2"/>
    <w:basedOn w:val="a"/>
    <w:next w:val="a"/>
    <w:link w:val="20"/>
    <w:qFormat/>
    <w:rsid w:val="00FB4AA8"/>
    <w:pPr>
      <w:keepNext/>
      <w:spacing w:before="240" w:after="60"/>
      <w:outlineLvl w:val="1"/>
    </w:pPr>
    <w:rPr>
      <w:rFonts w:ascii="Arial" w:hAnsi="Arial"/>
      <w:b/>
      <w:bCs/>
      <w:i/>
      <w:iCs/>
      <w:lang w:val="x-none" w:eastAsia="x-none"/>
    </w:rPr>
  </w:style>
  <w:style w:type="paragraph" w:styleId="4">
    <w:name w:val="heading 4"/>
    <w:basedOn w:val="a"/>
    <w:next w:val="a"/>
    <w:link w:val="40"/>
    <w:semiHidden/>
    <w:unhideWhenUsed/>
    <w:qFormat/>
    <w:rsid w:val="001C59B8"/>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0">
    <w:name w:val="Обычный (веб)1"/>
    <w:basedOn w:val="a"/>
    <w:uiPriority w:val="99"/>
    <w:rsid w:val="00FB4AA8"/>
    <w:pPr>
      <w:spacing w:before="100" w:beforeAutospacing="1" w:after="100" w:afterAutospacing="1"/>
    </w:pPr>
  </w:style>
  <w:style w:type="table" w:styleId="a3">
    <w:name w:val="Table Grid"/>
    <w:basedOn w:val="a1"/>
    <w:rsid w:val="00FB4AA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footer"/>
    <w:basedOn w:val="a"/>
    <w:rsid w:val="00D2715E"/>
    <w:pPr>
      <w:tabs>
        <w:tab w:val="center" w:pos="4677"/>
        <w:tab w:val="right" w:pos="9355"/>
      </w:tabs>
    </w:pPr>
  </w:style>
  <w:style w:type="character" w:styleId="a5">
    <w:name w:val="page number"/>
    <w:basedOn w:val="a0"/>
    <w:rsid w:val="00D2715E"/>
  </w:style>
  <w:style w:type="character" w:styleId="a6">
    <w:name w:val="Hyperlink"/>
    <w:uiPriority w:val="99"/>
    <w:rsid w:val="00704B3B"/>
    <w:rPr>
      <w:color w:val="0563C1"/>
      <w:u w:val="single"/>
    </w:rPr>
  </w:style>
  <w:style w:type="paragraph" w:styleId="a7">
    <w:name w:val="header"/>
    <w:basedOn w:val="a"/>
    <w:link w:val="a8"/>
    <w:uiPriority w:val="99"/>
    <w:unhideWhenUsed/>
    <w:rsid w:val="006F0F9F"/>
    <w:pPr>
      <w:tabs>
        <w:tab w:val="center" w:pos="4677"/>
        <w:tab w:val="right" w:pos="9355"/>
      </w:tabs>
    </w:pPr>
    <w:rPr>
      <w:rFonts w:eastAsia="Calibri"/>
      <w:szCs w:val="20"/>
      <w:lang w:val="x-none" w:eastAsia="x-none"/>
    </w:rPr>
  </w:style>
  <w:style w:type="character" w:customStyle="1" w:styleId="a8">
    <w:name w:val="Верхний колонтитул Знак"/>
    <w:link w:val="a7"/>
    <w:uiPriority w:val="99"/>
    <w:rsid w:val="006F0F9F"/>
    <w:rPr>
      <w:rFonts w:eastAsia="Calibri"/>
      <w:sz w:val="28"/>
      <w:lang w:val="x-none" w:eastAsia="x-none"/>
    </w:rPr>
  </w:style>
  <w:style w:type="paragraph" w:customStyle="1" w:styleId="FR2">
    <w:name w:val="FR2"/>
    <w:rsid w:val="006F0F9F"/>
    <w:pPr>
      <w:widowControl w:val="0"/>
      <w:autoSpaceDE w:val="0"/>
      <w:autoSpaceDN w:val="0"/>
      <w:adjustRightInd w:val="0"/>
      <w:spacing w:before="220"/>
      <w:ind w:left="40" w:hanging="20"/>
    </w:pPr>
    <w:rPr>
      <w:rFonts w:ascii="Arial" w:hAnsi="Arial" w:cs="Arial"/>
      <w:sz w:val="18"/>
      <w:szCs w:val="18"/>
      <w:lang w:val="uk-UA" w:eastAsia="uk-UA"/>
    </w:rPr>
  </w:style>
  <w:style w:type="character" w:customStyle="1" w:styleId="20">
    <w:name w:val="Заголовок 2 Знак"/>
    <w:link w:val="2"/>
    <w:rsid w:val="003C2879"/>
    <w:rPr>
      <w:rFonts w:ascii="Arial" w:hAnsi="Arial" w:cs="Arial"/>
      <w:b/>
      <w:bCs/>
      <w:i/>
      <w:iCs/>
      <w:sz w:val="28"/>
      <w:szCs w:val="28"/>
    </w:rPr>
  </w:style>
  <w:style w:type="paragraph" w:styleId="a9">
    <w:name w:val="Body Text"/>
    <w:basedOn w:val="a"/>
    <w:link w:val="aa"/>
    <w:rsid w:val="003C2879"/>
    <w:pPr>
      <w:spacing w:after="120"/>
    </w:pPr>
    <w:rPr>
      <w:szCs w:val="24"/>
      <w:lang w:val="x-none" w:eastAsia="x-none"/>
    </w:rPr>
  </w:style>
  <w:style w:type="character" w:customStyle="1" w:styleId="aa">
    <w:name w:val="Основной текст Знак"/>
    <w:link w:val="a9"/>
    <w:rsid w:val="003C2879"/>
    <w:rPr>
      <w:sz w:val="28"/>
      <w:szCs w:val="24"/>
    </w:rPr>
  </w:style>
  <w:style w:type="character" w:customStyle="1" w:styleId="apple-converted-space">
    <w:name w:val="apple-converted-space"/>
    <w:rsid w:val="00B0230D"/>
  </w:style>
  <w:style w:type="character" w:customStyle="1" w:styleId="il">
    <w:name w:val="il"/>
    <w:rsid w:val="00B0230D"/>
  </w:style>
  <w:style w:type="paragraph" w:styleId="ab">
    <w:name w:val="Document Map"/>
    <w:basedOn w:val="a"/>
    <w:link w:val="ac"/>
    <w:rsid w:val="002256FE"/>
    <w:rPr>
      <w:sz w:val="24"/>
      <w:szCs w:val="24"/>
      <w:lang w:val="x-none" w:eastAsia="x-none"/>
    </w:rPr>
  </w:style>
  <w:style w:type="character" w:customStyle="1" w:styleId="ac">
    <w:name w:val="Схема документа Знак"/>
    <w:link w:val="ab"/>
    <w:rsid w:val="002256FE"/>
    <w:rPr>
      <w:sz w:val="24"/>
      <w:szCs w:val="24"/>
    </w:rPr>
  </w:style>
  <w:style w:type="paragraph" w:styleId="ad">
    <w:name w:val="Balloon Text"/>
    <w:basedOn w:val="a"/>
    <w:link w:val="ae"/>
    <w:rsid w:val="009477B4"/>
    <w:rPr>
      <w:sz w:val="18"/>
      <w:szCs w:val="18"/>
      <w:lang w:val="x-none" w:eastAsia="x-none"/>
    </w:rPr>
  </w:style>
  <w:style w:type="character" w:customStyle="1" w:styleId="ae">
    <w:name w:val="Текст выноски Знак"/>
    <w:link w:val="ad"/>
    <w:rsid w:val="009477B4"/>
    <w:rPr>
      <w:sz w:val="18"/>
      <w:szCs w:val="18"/>
    </w:rPr>
  </w:style>
  <w:style w:type="table" w:customStyle="1" w:styleId="TableNormal">
    <w:name w:val="Table Normal"/>
    <w:rsid w:val="00251B41"/>
    <w:pPr>
      <w:pBdr>
        <w:top w:val="nil"/>
        <w:left w:val="nil"/>
        <w:bottom w:val="nil"/>
        <w:right w:val="nil"/>
        <w:between w:val="nil"/>
        <w:bar w:val="nil"/>
      </w:pBdr>
    </w:pPr>
    <w:rPr>
      <w:rFonts w:eastAsia="Arial Unicode MS"/>
      <w:bdr w:val="nil"/>
    </w:rPr>
    <w:tblPr>
      <w:tblInd w:w="0" w:type="dxa"/>
      <w:tblCellMar>
        <w:top w:w="0" w:type="dxa"/>
        <w:left w:w="0" w:type="dxa"/>
        <w:bottom w:w="0" w:type="dxa"/>
        <w:right w:w="0" w:type="dxa"/>
      </w:tblCellMar>
    </w:tblPr>
  </w:style>
  <w:style w:type="paragraph" w:customStyle="1" w:styleId="1-21">
    <w:name w:val="Средняя сетка 1 - Акцент 21"/>
    <w:basedOn w:val="a"/>
    <w:uiPriority w:val="34"/>
    <w:qFormat/>
    <w:rsid w:val="00251B41"/>
    <w:pPr>
      <w:ind w:left="720" w:firstLine="284"/>
      <w:contextualSpacing/>
    </w:pPr>
    <w:rPr>
      <w:lang w:eastAsia="en-US"/>
    </w:rPr>
  </w:style>
  <w:style w:type="paragraph" w:styleId="11">
    <w:name w:val="toc 1"/>
    <w:basedOn w:val="a"/>
    <w:next w:val="a"/>
    <w:autoRedefine/>
    <w:uiPriority w:val="39"/>
    <w:rsid w:val="00CB4B9D"/>
    <w:pPr>
      <w:tabs>
        <w:tab w:val="left" w:pos="1120"/>
        <w:tab w:val="right" w:leader="dot" w:pos="9486"/>
      </w:tabs>
      <w:spacing w:line="480" w:lineRule="auto"/>
    </w:pPr>
  </w:style>
  <w:style w:type="paragraph" w:styleId="21">
    <w:name w:val="toc 2"/>
    <w:basedOn w:val="a"/>
    <w:next w:val="a"/>
    <w:autoRedefine/>
    <w:uiPriority w:val="39"/>
    <w:rsid w:val="001503D6"/>
    <w:pPr>
      <w:ind w:left="280"/>
    </w:pPr>
  </w:style>
  <w:style w:type="paragraph" w:styleId="3">
    <w:name w:val="toc 3"/>
    <w:basedOn w:val="a"/>
    <w:next w:val="a"/>
    <w:autoRedefine/>
    <w:rsid w:val="001503D6"/>
    <w:pPr>
      <w:ind w:left="560"/>
    </w:pPr>
  </w:style>
  <w:style w:type="paragraph" w:styleId="41">
    <w:name w:val="toc 4"/>
    <w:basedOn w:val="a"/>
    <w:next w:val="a"/>
    <w:autoRedefine/>
    <w:rsid w:val="001503D6"/>
    <w:pPr>
      <w:ind w:left="840"/>
    </w:pPr>
  </w:style>
  <w:style w:type="paragraph" w:styleId="5">
    <w:name w:val="toc 5"/>
    <w:basedOn w:val="a"/>
    <w:next w:val="a"/>
    <w:autoRedefine/>
    <w:rsid w:val="001503D6"/>
    <w:pPr>
      <w:ind w:left="1120"/>
    </w:pPr>
  </w:style>
  <w:style w:type="paragraph" w:styleId="6">
    <w:name w:val="toc 6"/>
    <w:basedOn w:val="a"/>
    <w:next w:val="a"/>
    <w:autoRedefine/>
    <w:rsid w:val="001503D6"/>
    <w:pPr>
      <w:ind w:left="1400"/>
    </w:pPr>
  </w:style>
  <w:style w:type="paragraph" w:styleId="7">
    <w:name w:val="toc 7"/>
    <w:basedOn w:val="a"/>
    <w:next w:val="a"/>
    <w:autoRedefine/>
    <w:rsid w:val="001503D6"/>
    <w:pPr>
      <w:ind w:left="1680"/>
    </w:pPr>
  </w:style>
  <w:style w:type="paragraph" w:styleId="8">
    <w:name w:val="toc 8"/>
    <w:basedOn w:val="a"/>
    <w:next w:val="a"/>
    <w:autoRedefine/>
    <w:rsid w:val="001503D6"/>
    <w:pPr>
      <w:ind w:left="1960"/>
    </w:pPr>
  </w:style>
  <w:style w:type="paragraph" w:styleId="9">
    <w:name w:val="toc 9"/>
    <w:basedOn w:val="a"/>
    <w:next w:val="a"/>
    <w:autoRedefine/>
    <w:rsid w:val="001503D6"/>
    <w:pPr>
      <w:ind w:left="2240"/>
    </w:pPr>
  </w:style>
  <w:style w:type="paragraph" w:customStyle="1" w:styleId="2-21">
    <w:name w:val="Средний список 2 - Акцент 21"/>
    <w:hidden/>
    <w:uiPriority w:val="99"/>
    <w:semiHidden/>
    <w:rsid w:val="001116FB"/>
    <w:rPr>
      <w:sz w:val="28"/>
      <w:szCs w:val="28"/>
      <w:lang w:val="uk-UA"/>
    </w:rPr>
  </w:style>
  <w:style w:type="paragraph" w:styleId="af">
    <w:name w:val="footnote text"/>
    <w:basedOn w:val="a"/>
    <w:link w:val="af0"/>
    <w:uiPriority w:val="99"/>
    <w:rsid w:val="000027E0"/>
    <w:pPr>
      <w:ind w:firstLine="0"/>
      <w:jc w:val="left"/>
    </w:pPr>
    <w:rPr>
      <w:rFonts w:ascii="Calibri" w:eastAsia="Calibri" w:hAnsi="Calibri"/>
      <w:sz w:val="20"/>
      <w:szCs w:val="20"/>
      <w:lang w:val="x-none" w:eastAsia="x-none"/>
    </w:rPr>
  </w:style>
  <w:style w:type="character" w:customStyle="1" w:styleId="af0">
    <w:name w:val="Текст сноски Знак"/>
    <w:link w:val="af"/>
    <w:uiPriority w:val="99"/>
    <w:rsid w:val="000027E0"/>
    <w:rPr>
      <w:rFonts w:ascii="Calibri" w:eastAsia="Calibri" w:hAnsi="Calibri"/>
      <w:lang w:val="x-none" w:eastAsia="x-none"/>
    </w:rPr>
  </w:style>
  <w:style w:type="character" w:styleId="af1">
    <w:name w:val="footnote reference"/>
    <w:aliases w:val="ftref,16 Point,Superscript 6 Point,(NECG) Footnote Reference,BVI fnr,fr,Ref,de nota al pie,Footnote Ref in FtNote,Footnote Reference Number, BVI fnr,Fußnotenzeichen DISS,SUPERS,Footnotes refss,callout"/>
    <w:uiPriority w:val="99"/>
    <w:rsid w:val="000027E0"/>
    <w:rPr>
      <w:rFonts w:cs="Times New Roman"/>
      <w:vertAlign w:val="superscript"/>
    </w:rPr>
  </w:style>
  <w:style w:type="paragraph" w:customStyle="1" w:styleId="-11">
    <w:name w:val="Цветной список - Акцент 11"/>
    <w:basedOn w:val="a"/>
    <w:uiPriority w:val="99"/>
    <w:qFormat/>
    <w:rsid w:val="00E75FB5"/>
    <w:pPr>
      <w:spacing w:after="200" w:line="276" w:lineRule="auto"/>
      <w:ind w:left="720" w:firstLine="0"/>
      <w:contextualSpacing/>
      <w:jc w:val="left"/>
    </w:pPr>
    <w:rPr>
      <w:rFonts w:ascii="Calibri" w:eastAsia="Calibri" w:hAnsi="Calibri"/>
      <w:sz w:val="22"/>
      <w:szCs w:val="22"/>
      <w:lang w:val="ru-RU" w:eastAsia="en-US"/>
    </w:rPr>
  </w:style>
  <w:style w:type="paragraph" w:styleId="af2">
    <w:name w:val="Body Text Indent"/>
    <w:basedOn w:val="a"/>
    <w:link w:val="af3"/>
    <w:unhideWhenUsed/>
    <w:rsid w:val="00FF2D82"/>
    <w:pPr>
      <w:spacing w:after="120"/>
      <w:ind w:left="283" w:firstLine="0"/>
      <w:jc w:val="left"/>
    </w:pPr>
    <w:rPr>
      <w:sz w:val="24"/>
      <w:szCs w:val="24"/>
      <w:lang w:val="x-none" w:eastAsia="x-none"/>
    </w:rPr>
  </w:style>
  <w:style w:type="character" w:customStyle="1" w:styleId="af3">
    <w:name w:val="Основной текст с отступом Знак"/>
    <w:link w:val="af2"/>
    <w:rsid w:val="00FF2D82"/>
    <w:rPr>
      <w:sz w:val="24"/>
      <w:szCs w:val="24"/>
      <w:lang w:val="x-none"/>
    </w:rPr>
  </w:style>
  <w:style w:type="paragraph" w:styleId="af4">
    <w:name w:val="List Paragraph"/>
    <w:basedOn w:val="a"/>
    <w:uiPriority w:val="34"/>
    <w:qFormat/>
    <w:rsid w:val="00D819EB"/>
    <w:pPr>
      <w:ind w:left="708"/>
    </w:pPr>
  </w:style>
  <w:style w:type="paragraph" w:customStyle="1" w:styleId="TableParagraph">
    <w:name w:val="Table Paragraph"/>
    <w:basedOn w:val="a"/>
    <w:uiPriority w:val="1"/>
    <w:qFormat/>
    <w:rsid w:val="00E4678A"/>
    <w:pPr>
      <w:widowControl w:val="0"/>
      <w:autoSpaceDE w:val="0"/>
      <w:autoSpaceDN w:val="0"/>
      <w:ind w:firstLine="0"/>
      <w:jc w:val="left"/>
    </w:pPr>
    <w:rPr>
      <w:sz w:val="22"/>
      <w:szCs w:val="22"/>
      <w:lang w:eastAsia="en-US"/>
    </w:rPr>
  </w:style>
  <w:style w:type="paragraph" w:customStyle="1" w:styleId="00">
    <w:name w:val="00_осн текст"/>
    <w:basedOn w:val="a"/>
    <w:uiPriority w:val="99"/>
    <w:rsid w:val="009800DB"/>
    <w:pPr>
      <w:autoSpaceDE w:val="0"/>
      <w:autoSpaceDN w:val="0"/>
      <w:adjustRightInd w:val="0"/>
      <w:spacing w:line="259" w:lineRule="auto"/>
      <w:ind w:firstLine="283"/>
      <w:textAlignment w:val="center"/>
    </w:pPr>
    <w:rPr>
      <w:rFonts w:ascii="NewtonCTT" w:hAnsi="NewtonCTT" w:cs="NewtonCTT"/>
      <w:color w:val="000000"/>
      <w:sz w:val="21"/>
      <w:szCs w:val="21"/>
    </w:rPr>
  </w:style>
  <w:style w:type="paragraph" w:customStyle="1" w:styleId="05">
    <w:name w:val="05_лит"/>
    <w:basedOn w:val="00"/>
    <w:uiPriority w:val="99"/>
    <w:rsid w:val="009800DB"/>
    <w:pPr>
      <w:ind w:left="397" w:hanging="397"/>
    </w:pPr>
    <w:rPr>
      <w:sz w:val="18"/>
      <w:szCs w:val="18"/>
    </w:rPr>
  </w:style>
  <w:style w:type="character" w:customStyle="1" w:styleId="alt2">
    <w:name w:val="alt2"/>
    <w:uiPriority w:val="99"/>
    <w:rsid w:val="009800DB"/>
  </w:style>
  <w:style w:type="character" w:customStyle="1" w:styleId="12">
    <w:name w:val="Незакрита згадка1"/>
    <w:basedOn w:val="a0"/>
    <w:uiPriority w:val="99"/>
    <w:semiHidden/>
    <w:unhideWhenUsed/>
    <w:rsid w:val="009800DB"/>
    <w:rPr>
      <w:color w:val="605E5C"/>
      <w:shd w:val="clear" w:color="auto" w:fill="E1DFDD"/>
    </w:rPr>
  </w:style>
  <w:style w:type="paragraph" w:customStyle="1" w:styleId="styletext">
    <w:name w:val="style_text"/>
    <w:basedOn w:val="a"/>
    <w:rsid w:val="009800DB"/>
    <w:pPr>
      <w:spacing w:before="100" w:beforeAutospacing="1" w:after="100" w:afterAutospacing="1"/>
      <w:ind w:firstLine="0"/>
      <w:jc w:val="left"/>
    </w:pPr>
    <w:rPr>
      <w:sz w:val="24"/>
      <w:szCs w:val="24"/>
      <w:lang w:val="ru-RU"/>
    </w:rPr>
  </w:style>
  <w:style w:type="paragraph" w:styleId="af5">
    <w:name w:val="No Spacing"/>
    <w:link w:val="af6"/>
    <w:uiPriority w:val="1"/>
    <w:qFormat/>
    <w:rsid w:val="009800DB"/>
    <w:pPr>
      <w:ind w:firstLine="567"/>
      <w:jc w:val="both"/>
    </w:pPr>
    <w:rPr>
      <w:sz w:val="28"/>
      <w:szCs w:val="28"/>
      <w:lang w:val="uk-UA"/>
    </w:rPr>
  </w:style>
  <w:style w:type="character" w:customStyle="1" w:styleId="rvts23">
    <w:name w:val="rvts23"/>
    <w:basedOn w:val="a0"/>
    <w:rsid w:val="009800DB"/>
  </w:style>
  <w:style w:type="character" w:customStyle="1" w:styleId="40">
    <w:name w:val="Заголовок 4 Знак"/>
    <w:basedOn w:val="a0"/>
    <w:link w:val="4"/>
    <w:semiHidden/>
    <w:rsid w:val="001C59B8"/>
    <w:rPr>
      <w:rFonts w:asciiTheme="majorHAnsi" w:eastAsiaTheme="majorEastAsia" w:hAnsiTheme="majorHAnsi" w:cstheme="majorBidi"/>
      <w:i/>
      <w:iCs/>
      <w:color w:val="2F5496" w:themeColor="accent1" w:themeShade="BF"/>
      <w:sz w:val="28"/>
      <w:szCs w:val="28"/>
      <w:lang w:val="uk-UA"/>
    </w:rPr>
  </w:style>
  <w:style w:type="character" w:customStyle="1" w:styleId="s7d2086b4">
    <w:name w:val="s7d2086b4"/>
    <w:basedOn w:val="a0"/>
    <w:rsid w:val="001C59B8"/>
  </w:style>
  <w:style w:type="character" w:customStyle="1" w:styleId="sfbbfee58">
    <w:name w:val="sfbbfee58"/>
    <w:basedOn w:val="a0"/>
    <w:rsid w:val="0030038F"/>
  </w:style>
  <w:style w:type="character" w:customStyle="1" w:styleId="s1a844bc0">
    <w:name w:val="s1a844bc0"/>
    <w:basedOn w:val="a0"/>
    <w:rsid w:val="0030038F"/>
  </w:style>
  <w:style w:type="character" w:styleId="af7">
    <w:name w:val="FollowedHyperlink"/>
    <w:basedOn w:val="a0"/>
    <w:semiHidden/>
    <w:unhideWhenUsed/>
    <w:rsid w:val="00145F4A"/>
    <w:rPr>
      <w:color w:val="954F72" w:themeColor="followedHyperlink"/>
      <w:u w:val="single"/>
    </w:rPr>
  </w:style>
  <w:style w:type="character" w:customStyle="1" w:styleId="UnresolvedMention">
    <w:name w:val="Unresolved Mention"/>
    <w:basedOn w:val="a0"/>
    <w:uiPriority w:val="99"/>
    <w:semiHidden/>
    <w:unhideWhenUsed/>
    <w:rsid w:val="00145F4A"/>
    <w:rPr>
      <w:color w:val="605E5C"/>
      <w:shd w:val="clear" w:color="auto" w:fill="E1DFDD"/>
    </w:rPr>
  </w:style>
  <w:style w:type="paragraph" w:styleId="af8">
    <w:name w:val="Normal (Web)"/>
    <w:basedOn w:val="a"/>
    <w:uiPriority w:val="99"/>
    <w:rsid w:val="000E0247"/>
    <w:pPr>
      <w:spacing w:before="100" w:beforeAutospacing="1" w:after="100" w:afterAutospacing="1"/>
      <w:ind w:firstLine="0"/>
      <w:jc w:val="left"/>
    </w:pPr>
    <w:rPr>
      <w:sz w:val="24"/>
      <w:szCs w:val="24"/>
      <w:lang w:val="ru-RU"/>
    </w:rPr>
  </w:style>
  <w:style w:type="character" w:customStyle="1" w:styleId="af6">
    <w:name w:val="Без интервала Знак"/>
    <w:link w:val="af5"/>
    <w:uiPriority w:val="1"/>
    <w:rsid w:val="000E0247"/>
    <w:rPr>
      <w:sz w:val="28"/>
      <w:szCs w:val="28"/>
      <w:lang w:val="uk-UA"/>
    </w:rPr>
  </w:style>
  <w:style w:type="paragraph" w:styleId="af9">
    <w:name w:val="TOC Heading"/>
    <w:basedOn w:val="1"/>
    <w:next w:val="a"/>
    <w:uiPriority w:val="39"/>
    <w:unhideWhenUsed/>
    <w:qFormat/>
    <w:rsid w:val="003E1286"/>
    <w:pPr>
      <w:keepNext/>
      <w:keepLines/>
      <w:spacing w:before="240" w:line="259" w:lineRule="auto"/>
      <w:ind w:firstLine="0"/>
      <w:jc w:val="left"/>
      <w:outlineLvl w:val="9"/>
    </w:pPr>
    <w:rPr>
      <w:rFonts w:asciiTheme="majorHAnsi" w:eastAsiaTheme="majorEastAsia" w:hAnsiTheme="majorHAnsi" w:cstheme="majorBidi"/>
      <w:b w:val="0"/>
      <w:color w:val="2F5496" w:themeColor="accent1" w:themeShade="BF"/>
      <w:kern w:val="0"/>
      <w:sz w:val="32"/>
      <w:szCs w:val="32"/>
      <w:lang w:val="ru-RU"/>
    </w:rPr>
  </w:style>
  <w:style w:type="paragraph" w:customStyle="1" w:styleId="Default">
    <w:name w:val="Default"/>
    <w:uiPriority w:val="99"/>
    <w:rsid w:val="00223C27"/>
    <w:pPr>
      <w:autoSpaceDE w:val="0"/>
      <w:autoSpaceDN w:val="0"/>
      <w:adjustRightInd w:val="0"/>
    </w:pPr>
    <w:rPr>
      <w:color w:val="000000"/>
      <w:sz w:val="24"/>
      <w:szCs w:val="24"/>
    </w:rPr>
  </w:style>
  <w:style w:type="character" w:customStyle="1" w:styleId="markedcontent">
    <w:name w:val="markedcontent"/>
    <w:basedOn w:val="a0"/>
    <w:rsid w:val="003C703E"/>
  </w:style>
  <w:style w:type="paragraph" w:customStyle="1" w:styleId="title-bold">
    <w:name w:val="title-bold"/>
    <w:basedOn w:val="a"/>
    <w:rsid w:val="00594A56"/>
    <w:pPr>
      <w:spacing w:before="100" w:beforeAutospacing="1" w:after="100" w:afterAutospacing="1"/>
      <w:ind w:firstLine="0"/>
      <w:jc w:val="left"/>
    </w:pPr>
    <w:rPr>
      <w:sz w:val="24"/>
      <w:szCs w:val="24"/>
    </w:rPr>
  </w:style>
  <w:style w:type="character" w:customStyle="1" w:styleId="c-bibliographic-informationvalue">
    <w:name w:val="c-bibliographic-information__value"/>
    <w:basedOn w:val="a0"/>
    <w:rsid w:val="00594A56"/>
  </w:style>
  <w:style w:type="character" w:customStyle="1" w:styleId="rvts44">
    <w:name w:val="rvts44"/>
    <w:basedOn w:val="a0"/>
    <w:rsid w:val="00594A56"/>
  </w:style>
  <w:style w:type="paragraph" w:styleId="afa">
    <w:name w:val="Revision"/>
    <w:hidden/>
    <w:uiPriority w:val="62"/>
    <w:unhideWhenUsed/>
    <w:rsid w:val="00CB4B9D"/>
    <w:rPr>
      <w:sz w:val="28"/>
      <w:szCs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48972">
      <w:bodyDiv w:val="1"/>
      <w:marLeft w:val="0"/>
      <w:marRight w:val="0"/>
      <w:marTop w:val="0"/>
      <w:marBottom w:val="0"/>
      <w:divBdr>
        <w:top w:val="none" w:sz="0" w:space="0" w:color="auto"/>
        <w:left w:val="none" w:sz="0" w:space="0" w:color="auto"/>
        <w:bottom w:val="none" w:sz="0" w:space="0" w:color="auto"/>
        <w:right w:val="none" w:sz="0" w:space="0" w:color="auto"/>
      </w:divBdr>
    </w:div>
    <w:div w:id="35400798">
      <w:bodyDiv w:val="1"/>
      <w:marLeft w:val="0"/>
      <w:marRight w:val="0"/>
      <w:marTop w:val="0"/>
      <w:marBottom w:val="0"/>
      <w:divBdr>
        <w:top w:val="none" w:sz="0" w:space="0" w:color="auto"/>
        <w:left w:val="none" w:sz="0" w:space="0" w:color="auto"/>
        <w:bottom w:val="none" w:sz="0" w:space="0" w:color="auto"/>
        <w:right w:val="none" w:sz="0" w:space="0" w:color="auto"/>
      </w:divBdr>
    </w:div>
    <w:div w:id="313023034">
      <w:bodyDiv w:val="1"/>
      <w:marLeft w:val="0"/>
      <w:marRight w:val="0"/>
      <w:marTop w:val="0"/>
      <w:marBottom w:val="0"/>
      <w:divBdr>
        <w:top w:val="none" w:sz="0" w:space="0" w:color="auto"/>
        <w:left w:val="none" w:sz="0" w:space="0" w:color="auto"/>
        <w:bottom w:val="none" w:sz="0" w:space="0" w:color="auto"/>
        <w:right w:val="none" w:sz="0" w:space="0" w:color="auto"/>
      </w:divBdr>
    </w:div>
    <w:div w:id="345329064">
      <w:bodyDiv w:val="1"/>
      <w:marLeft w:val="0"/>
      <w:marRight w:val="0"/>
      <w:marTop w:val="0"/>
      <w:marBottom w:val="0"/>
      <w:divBdr>
        <w:top w:val="none" w:sz="0" w:space="0" w:color="auto"/>
        <w:left w:val="none" w:sz="0" w:space="0" w:color="auto"/>
        <w:bottom w:val="none" w:sz="0" w:space="0" w:color="auto"/>
        <w:right w:val="none" w:sz="0" w:space="0" w:color="auto"/>
      </w:divBdr>
    </w:div>
    <w:div w:id="451093082">
      <w:bodyDiv w:val="1"/>
      <w:marLeft w:val="0"/>
      <w:marRight w:val="0"/>
      <w:marTop w:val="0"/>
      <w:marBottom w:val="0"/>
      <w:divBdr>
        <w:top w:val="none" w:sz="0" w:space="0" w:color="auto"/>
        <w:left w:val="none" w:sz="0" w:space="0" w:color="auto"/>
        <w:bottom w:val="none" w:sz="0" w:space="0" w:color="auto"/>
        <w:right w:val="none" w:sz="0" w:space="0" w:color="auto"/>
      </w:divBdr>
    </w:div>
    <w:div w:id="511771094">
      <w:bodyDiv w:val="1"/>
      <w:marLeft w:val="0"/>
      <w:marRight w:val="0"/>
      <w:marTop w:val="0"/>
      <w:marBottom w:val="0"/>
      <w:divBdr>
        <w:top w:val="none" w:sz="0" w:space="0" w:color="auto"/>
        <w:left w:val="none" w:sz="0" w:space="0" w:color="auto"/>
        <w:bottom w:val="none" w:sz="0" w:space="0" w:color="auto"/>
        <w:right w:val="none" w:sz="0" w:space="0" w:color="auto"/>
      </w:divBdr>
      <w:divsChild>
        <w:div w:id="1902598952">
          <w:marLeft w:val="0"/>
          <w:marRight w:val="0"/>
          <w:marTop w:val="0"/>
          <w:marBottom w:val="150"/>
          <w:divBdr>
            <w:top w:val="none" w:sz="0" w:space="0" w:color="auto"/>
            <w:left w:val="none" w:sz="0" w:space="0" w:color="auto"/>
            <w:bottom w:val="none" w:sz="0" w:space="0" w:color="auto"/>
            <w:right w:val="none" w:sz="0" w:space="0" w:color="auto"/>
          </w:divBdr>
        </w:div>
      </w:divsChild>
    </w:div>
    <w:div w:id="621035135">
      <w:bodyDiv w:val="1"/>
      <w:marLeft w:val="0"/>
      <w:marRight w:val="0"/>
      <w:marTop w:val="0"/>
      <w:marBottom w:val="0"/>
      <w:divBdr>
        <w:top w:val="none" w:sz="0" w:space="0" w:color="auto"/>
        <w:left w:val="none" w:sz="0" w:space="0" w:color="auto"/>
        <w:bottom w:val="none" w:sz="0" w:space="0" w:color="auto"/>
        <w:right w:val="none" w:sz="0" w:space="0" w:color="auto"/>
      </w:divBdr>
    </w:div>
    <w:div w:id="638924079">
      <w:bodyDiv w:val="1"/>
      <w:marLeft w:val="0"/>
      <w:marRight w:val="0"/>
      <w:marTop w:val="0"/>
      <w:marBottom w:val="0"/>
      <w:divBdr>
        <w:top w:val="none" w:sz="0" w:space="0" w:color="auto"/>
        <w:left w:val="none" w:sz="0" w:space="0" w:color="auto"/>
        <w:bottom w:val="none" w:sz="0" w:space="0" w:color="auto"/>
        <w:right w:val="none" w:sz="0" w:space="0" w:color="auto"/>
      </w:divBdr>
    </w:div>
    <w:div w:id="695081469">
      <w:bodyDiv w:val="1"/>
      <w:marLeft w:val="0"/>
      <w:marRight w:val="0"/>
      <w:marTop w:val="0"/>
      <w:marBottom w:val="0"/>
      <w:divBdr>
        <w:top w:val="none" w:sz="0" w:space="0" w:color="auto"/>
        <w:left w:val="none" w:sz="0" w:space="0" w:color="auto"/>
        <w:bottom w:val="none" w:sz="0" w:space="0" w:color="auto"/>
        <w:right w:val="none" w:sz="0" w:space="0" w:color="auto"/>
      </w:divBdr>
    </w:div>
    <w:div w:id="808280654">
      <w:bodyDiv w:val="1"/>
      <w:marLeft w:val="0"/>
      <w:marRight w:val="0"/>
      <w:marTop w:val="0"/>
      <w:marBottom w:val="0"/>
      <w:divBdr>
        <w:top w:val="none" w:sz="0" w:space="0" w:color="auto"/>
        <w:left w:val="none" w:sz="0" w:space="0" w:color="auto"/>
        <w:bottom w:val="none" w:sz="0" w:space="0" w:color="auto"/>
        <w:right w:val="none" w:sz="0" w:space="0" w:color="auto"/>
      </w:divBdr>
    </w:div>
    <w:div w:id="850608702">
      <w:bodyDiv w:val="1"/>
      <w:marLeft w:val="0"/>
      <w:marRight w:val="0"/>
      <w:marTop w:val="0"/>
      <w:marBottom w:val="0"/>
      <w:divBdr>
        <w:top w:val="none" w:sz="0" w:space="0" w:color="auto"/>
        <w:left w:val="none" w:sz="0" w:space="0" w:color="auto"/>
        <w:bottom w:val="none" w:sz="0" w:space="0" w:color="auto"/>
        <w:right w:val="none" w:sz="0" w:space="0" w:color="auto"/>
      </w:divBdr>
    </w:div>
    <w:div w:id="897860376">
      <w:bodyDiv w:val="1"/>
      <w:marLeft w:val="0"/>
      <w:marRight w:val="0"/>
      <w:marTop w:val="0"/>
      <w:marBottom w:val="0"/>
      <w:divBdr>
        <w:top w:val="none" w:sz="0" w:space="0" w:color="auto"/>
        <w:left w:val="none" w:sz="0" w:space="0" w:color="auto"/>
        <w:bottom w:val="none" w:sz="0" w:space="0" w:color="auto"/>
        <w:right w:val="none" w:sz="0" w:space="0" w:color="auto"/>
      </w:divBdr>
    </w:div>
    <w:div w:id="1000160859">
      <w:bodyDiv w:val="1"/>
      <w:marLeft w:val="0"/>
      <w:marRight w:val="0"/>
      <w:marTop w:val="0"/>
      <w:marBottom w:val="0"/>
      <w:divBdr>
        <w:top w:val="none" w:sz="0" w:space="0" w:color="auto"/>
        <w:left w:val="none" w:sz="0" w:space="0" w:color="auto"/>
        <w:bottom w:val="none" w:sz="0" w:space="0" w:color="auto"/>
        <w:right w:val="none" w:sz="0" w:space="0" w:color="auto"/>
      </w:divBdr>
    </w:div>
    <w:div w:id="1154027038">
      <w:bodyDiv w:val="1"/>
      <w:marLeft w:val="0"/>
      <w:marRight w:val="0"/>
      <w:marTop w:val="0"/>
      <w:marBottom w:val="0"/>
      <w:divBdr>
        <w:top w:val="none" w:sz="0" w:space="0" w:color="auto"/>
        <w:left w:val="none" w:sz="0" w:space="0" w:color="auto"/>
        <w:bottom w:val="none" w:sz="0" w:space="0" w:color="auto"/>
        <w:right w:val="none" w:sz="0" w:space="0" w:color="auto"/>
      </w:divBdr>
    </w:div>
    <w:div w:id="1262421528">
      <w:bodyDiv w:val="1"/>
      <w:marLeft w:val="0"/>
      <w:marRight w:val="0"/>
      <w:marTop w:val="0"/>
      <w:marBottom w:val="0"/>
      <w:divBdr>
        <w:top w:val="none" w:sz="0" w:space="0" w:color="auto"/>
        <w:left w:val="none" w:sz="0" w:space="0" w:color="auto"/>
        <w:bottom w:val="none" w:sz="0" w:space="0" w:color="auto"/>
        <w:right w:val="none" w:sz="0" w:space="0" w:color="auto"/>
      </w:divBdr>
    </w:div>
    <w:div w:id="1280448942">
      <w:bodyDiv w:val="1"/>
      <w:marLeft w:val="0"/>
      <w:marRight w:val="0"/>
      <w:marTop w:val="0"/>
      <w:marBottom w:val="0"/>
      <w:divBdr>
        <w:top w:val="none" w:sz="0" w:space="0" w:color="auto"/>
        <w:left w:val="none" w:sz="0" w:space="0" w:color="auto"/>
        <w:bottom w:val="none" w:sz="0" w:space="0" w:color="auto"/>
        <w:right w:val="none" w:sz="0" w:space="0" w:color="auto"/>
      </w:divBdr>
    </w:div>
    <w:div w:id="1309239831">
      <w:bodyDiv w:val="1"/>
      <w:marLeft w:val="0"/>
      <w:marRight w:val="0"/>
      <w:marTop w:val="0"/>
      <w:marBottom w:val="0"/>
      <w:divBdr>
        <w:top w:val="none" w:sz="0" w:space="0" w:color="auto"/>
        <w:left w:val="none" w:sz="0" w:space="0" w:color="auto"/>
        <w:bottom w:val="none" w:sz="0" w:space="0" w:color="auto"/>
        <w:right w:val="none" w:sz="0" w:space="0" w:color="auto"/>
      </w:divBdr>
    </w:div>
    <w:div w:id="1321352610">
      <w:bodyDiv w:val="1"/>
      <w:marLeft w:val="0"/>
      <w:marRight w:val="0"/>
      <w:marTop w:val="0"/>
      <w:marBottom w:val="0"/>
      <w:divBdr>
        <w:top w:val="none" w:sz="0" w:space="0" w:color="auto"/>
        <w:left w:val="none" w:sz="0" w:space="0" w:color="auto"/>
        <w:bottom w:val="none" w:sz="0" w:space="0" w:color="auto"/>
        <w:right w:val="none" w:sz="0" w:space="0" w:color="auto"/>
      </w:divBdr>
    </w:div>
    <w:div w:id="1470123999">
      <w:bodyDiv w:val="1"/>
      <w:marLeft w:val="0"/>
      <w:marRight w:val="0"/>
      <w:marTop w:val="0"/>
      <w:marBottom w:val="0"/>
      <w:divBdr>
        <w:top w:val="none" w:sz="0" w:space="0" w:color="auto"/>
        <w:left w:val="none" w:sz="0" w:space="0" w:color="auto"/>
        <w:bottom w:val="none" w:sz="0" w:space="0" w:color="auto"/>
        <w:right w:val="none" w:sz="0" w:space="0" w:color="auto"/>
      </w:divBdr>
    </w:div>
    <w:div w:id="1504204800">
      <w:bodyDiv w:val="1"/>
      <w:marLeft w:val="0"/>
      <w:marRight w:val="0"/>
      <w:marTop w:val="0"/>
      <w:marBottom w:val="0"/>
      <w:divBdr>
        <w:top w:val="none" w:sz="0" w:space="0" w:color="auto"/>
        <w:left w:val="none" w:sz="0" w:space="0" w:color="auto"/>
        <w:bottom w:val="none" w:sz="0" w:space="0" w:color="auto"/>
        <w:right w:val="none" w:sz="0" w:space="0" w:color="auto"/>
      </w:divBdr>
    </w:div>
    <w:div w:id="1645770778">
      <w:bodyDiv w:val="1"/>
      <w:marLeft w:val="0"/>
      <w:marRight w:val="0"/>
      <w:marTop w:val="0"/>
      <w:marBottom w:val="0"/>
      <w:divBdr>
        <w:top w:val="none" w:sz="0" w:space="0" w:color="auto"/>
        <w:left w:val="none" w:sz="0" w:space="0" w:color="auto"/>
        <w:bottom w:val="none" w:sz="0" w:space="0" w:color="auto"/>
        <w:right w:val="none" w:sz="0" w:space="0" w:color="auto"/>
      </w:divBdr>
    </w:div>
    <w:div w:id="1676498688">
      <w:bodyDiv w:val="1"/>
      <w:marLeft w:val="0"/>
      <w:marRight w:val="0"/>
      <w:marTop w:val="0"/>
      <w:marBottom w:val="0"/>
      <w:divBdr>
        <w:top w:val="none" w:sz="0" w:space="0" w:color="auto"/>
        <w:left w:val="none" w:sz="0" w:space="0" w:color="auto"/>
        <w:bottom w:val="none" w:sz="0" w:space="0" w:color="auto"/>
        <w:right w:val="none" w:sz="0" w:space="0" w:color="auto"/>
      </w:divBdr>
    </w:div>
    <w:div w:id="1768236502">
      <w:bodyDiv w:val="1"/>
      <w:marLeft w:val="0"/>
      <w:marRight w:val="0"/>
      <w:marTop w:val="0"/>
      <w:marBottom w:val="0"/>
      <w:divBdr>
        <w:top w:val="none" w:sz="0" w:space="0" w:color="auto"/>
        <w:left w:val="none" w:sz="0" w:space="0" w:color="auto"/>
        <w:bottom w:val="none" w:sz="0" w:space="0" w:color="auto"/>
        <w:right w:val="none" w:sz="0" w:space="0" w:color="auto"/>
      </w:divBdr>
    </w:div>
    <w:div w:id="1862820870">
      <w:bodyDiv w:val="1"/>
      <w:marLeft w:val="0"/>
      <w:marRight w:val="0"/>
      <w:marTop w:val="0"/>
      <w:marBottom w:val="0"/>
      <w:divBdr>
        <w:top w:val="none" w:sz="0" w:space="0" w:color="auto"/>
        <w:left w:val="none" w:sz="0" w:space="0" w:color="auto"/>
        <w:bottom w:val="none" w:sz="0" w:space="0" w:color="auto"/>
        <w:right w:val="none" w:sz="0" w:space="0" w:color="auto"/>
      </w:divBdr>
      <w:divsChild>
        <w:div w:id="21900474">
          <w:marLeft w:val="0"/>
          <w:marRight w:val="0"/>
          <w:marTop w:val="300"/>
          <w:marBottom w:val="0"/>
          <w:divBdr>
            <w:top w:val="none" w:sz="0" w:space="0" w:color="auto"/>
            <w:left w:val="none" w:sz="0" w:space="0" w:color="auto"/>
            <w:bottom w:val="none" w:sz="0" w:space="0" w:color="auto"/>
            <w:right w:val="none" w:sz="0" w:space="0" w:color="auto"/>
          </w:divBdr>
          <w:divsChild>
            <w:div w:id="1688288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0859841">
      <w:bodyDiv w:val="1"/>
      <w:marLeft w:val="0"/>
      <w:marRight w:val="0"/>
      <w:marTop w:val="0"/>
      <w:marBottom w:val="0"/>
      <w:divBdr>
        <w:top w:val="none" w:sz="0" w:space="0" w:color="auto"/>
        <w:left w:val="none" w:sz="0" w:space="0" w:color="auto"/>
        <w:bottom w:val="none" w:sz="0" w:space="0" w:color="auto"/>
        <w:right w:val="none" w:sz="0" w:space="0" w:color="auto"/>
      </w:divBdr>
    </w:div>
    <w:div w:id="1999730553">
      <w:bodyDiv w:val="1"/>
      <w:marLeft w:val="0"/>
      <w:marRight w:val="0"/>
      <w:marTop w:val="0"/>
      <w:marBottom w:val="0"/>
      <w:divBdr>
        <w:top w:val="none" w:sz="0" w:space="0" w:color="auto"/>
        <w:left w:val="none" w:sz="0" w:space="0" w:color="auto"/>
        <w:bottom w:val="none" w:sz="0" w:space="0" w:color="auto"/>
        <w:right w:val="none" w:sz="0" w:space="0" w:color="auto"/>
      </w:divBdr>
    </w:div>
    <w:div w:id="212962431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zakon.rada.gov.ua/laws/show/995_015" TargetMode="External"/><Relationship Id="rId18" Type="http://schemas.openxmlformats.org/officeDocument/2006/relationships/hyperlink" Target="http://hudoc.echr.coe.int/rus?i=001-187391"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hudoc.echr.coe.int/eng?i=001-188997" TargetMode="External"/><Relationship Id="rId7" Type="http://schemas.openxmlformats.org/officeDocument/2006/relationships/footnotes" Target="footnotes.xml"/><Relationship Id="rId12" Type="http://schemas.openxmlformats.org/officeDocument/2006/relationships/hyperlink" Target="https://hudoc.echr.coe.int/fre" TargetMode="External"/><Relationship Id="rId17" Type="http://schemas.openxmlformats.org/officeDocument/2006/relationships/hyperlink" Target="https://www.coe.int/ru/web/conventions/full-list/-/conventions/treaty/218" TargetMode="External"/><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www.dvorsportinfo.ru/articles/reglament-fifa-po-ohrane-pravoporyadka-i-obespecheniyu-bezopasnosti-stadionov" TargetMode="External"/><Relationship Id="rId20" Type="http://schemas.openxmlformats.org/officeDocument/2006/relationships/hyperlink" Target="http://hudoc.echr.coe.int/eng-press?i=003-470135-47126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zakon.rada.gov.ua/laws/show/995_004" TargetMode="External"/><Relationship Id="rId24"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s://zakon.rada.gov.ua/laws/show/2341-14" TargetMode="External"/><Relationship Id="rId23" Type="http://schemas.openxmlformats.org/officeDocument/2006/relationships/hyperlink" Target="http://nbuv.gov.ua/j-pdf/vapny_2014_4_5.pdf" TargetMode="External"/><Relationship Id="rId10" Type="http://schemas.openxmlformats.org/officeDocument/2006/relationships/hyperlink" Target="https://zakon.rada.gov.ua/laws/show/254%D0%BA/96-%D0%B2%D1%80" TargetMode="External"/><Relationship Id="rId19" Type="http://schemas.openxmlformats.org/officeDocument/2006/relationships/hyperlink" Target="http://hudoc.echr.coe.int/eng?i=001-122255" TargetMode="External"/><Relationship Id="rId4" Type="http://schemas.microsoft.com/office/2007/relationships/stylesWithEffects" Target="stylesWithEffects.xml"/><Relationship Id="rId9" Type="http://schemas.openxmlformats.org/officeDocument/2006/relationships/hyperlink" Target="https://zakon.rada.gov.ua/laws/show/z1038-14" TargetMode="External"/><Relationship Id="rId14" Type="http://schemas.openxmlformats.org/officeDocument/2006/relationships/hyperlink" Target="https://zakon.rada.gov.ua/laws/show/254%D0%BA/96-%D0%B2%D1%80" TargetMode="External"/><Relationship Id="rId22" Type="http://schemas.openxmlformats.org/officeDocument/2006/relationships/hyperlink" Target="http://nauka.nlu.edu.ua/download/diss/Kretova/d_Kretova.pdf" TargetMode="External"/><Relationship Id="rId27"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s://eucrim.eu/media/issue/pdf/eucrim_issue_2020-02.pdf" TargetMode="External"/><Relationship Id="rId13" Type="http://schemas.openxmlformats.org/officeDocument/2006/relationships/hyperlink" Target="https://hudoc.echr.coe.int/eng?i=001-146047" TargetMode="External"/><Relationship Id="rId18" Type="http://schemas.openxmlformats.org/officeDocument/2006/relationships/hyperlink" Target="https://hudoc.echr.coe.int/eng?i=001-210077" TargetMode="External"/><Relationship Id="rId26" Type="http://schemas.openxmlformats.org/officeDocument/2006/relationships/hyperlink" Target="https://journals.sagepub.com/toc/njea/13/3" TargetMode="External"/><Relationship Id="rId3" Type="http://schemas.openxmlformats.org/officeDocument/2006/relationships/hyperlink" Target="https://hudoc.echr.coe.int/eng" TargetMode="External"/><Relationship Id="rId21" Type="http://schemas.openxmlformats.org/officeDocument/2006/relationships/hyperlink" Target="https://www.consilium.europa.eu/en/press/press-releases/2022/11/28/sanctions-council-adds-the-violation-of-restrictive-measures-to-the-list-of-eu-crimes/" TargetMode="External"/><Relationship Id="rId34" Type="http://schemas.openxmlformats.org/officeDocument/2006/relationships/hyperlink" Target="https://commission.europa.eu/strategy-and-policy/policies/justice-and-fundamental-rights/criminal-justice/eu-strategy-criminal-justice_en" TargetMode="External"/><Relationship Id="rId7" Type="http://schemas.openxmlformats.org/officeDocument/2006/relationships/hyperlink" Target="http://www.ebi-europa.eu/wp-content/uploads/2016/12/Providentibologna17.pdf" TargetMode="External"/><Relationship Id="rId12" Type="http://schemas.openxmlformats.org/officeDocument/2006/relationships/hyperlink" Target="https://hudoc.echr.coe.int/eng?i=001-183685" TargetMode="External"/><Relationship Id="rId17" Type="http://schemas.openxmlformats.org/officeDocument/2006/relationships/hyperlink" Target="https://zakon.rada.gov.ua/laws/show/1698-18" TargetMode="External"/><Relationship Id="rId25" Type="http://schemas.openxmlformats.org/officeDocument/2006/relationships/hyperlink" Target="https://doi.org/10.30709/eucrim-2019-007" TargetMode="External"/><Relationship Id="rId33" Type="http://schemas.openxmlformats.org/officeDocument/2006/relationships/hyperlink" Target="https://eur-lex.europa.eu/legal-content/EN/ALL/?uri=COM:2010:0171:FIN" TargetMode="External"/><Relationship Id="rId38" Type="http://schemas.openxmlformats.org/officeDocument/2006/relationships/hyperlink" Target="https://www.echr.coe.int/Documents/Guide_Art_7_ENG.pdf" TargetMode="External"/><Relationship Id="rId2" Type="http://schemas.openxmlformats.org/officeDocument/2006/relationships/hyperlink" Target="https://hudoc.echr.coe.int/eng" TargetMode="External"/><Relationship Id="rId16" Type="http://schemas.openxmlformats.org/officeDocument/2006/relationships/hyperlink" Target="https://itd.rada.gov.ua/billInfo/Bills/pubFile/1580880" TargetMode="External"/><Relationship Id="rId20" Type="http://schemas.openxmlformats.org/officeDocument/2006/relationships/hyperlink" Target="https://curia.europa.eu/juris/documents.jsf?num=C-37/20" TargetMode="External"/><Relationship Id="rId29" Type="http://schemas.openxmlformats.org/officeDocument/2006/relationships/hyperlink" Target="https://doi.org/10.1007/978-3-030-84831-6%20-%20p.p" TargetMode="External"/><Relationship Id="rId1" Type="http://schemas.openxmlformats.org/officeDocument/2006/relationships/hyperlink" Target="https://hudoc.echr.coe.int/eng" TargetMode="External"/><Relationship Id="rId6" Type="http://schemas.openxmlformats.org/officeDocument/2006/relationships/hyperlink" Target="file:///C:\Temp\February%2019,%202021" TargetMode="External"/><Relationship Id="rId11" Type="http://schemas.openxmlformats.org/officeDocument/2006/relationships/hyperlink" Target="https://eur-lex.europa.eu/legal-content/EN/ALL/?uri=COM:2010:0171:FIN" TargetMode="External"/><Relationship Id="rId24" Type="http://schemas.openxmlformats.org/officeDocument/2006/relationships/hyperlink" Target="https://newcriminalcode.org.ua/upload/media/2023/01/30/proyekt-kryminalnogo-kodeksu-ukrayiny-stanom-na-30-01-2023.pdf" TargetMode="External"/><Relationship Id="rId32" Type="http://schemas.openxmlformats.org/officeDocument/2006/relationships/hyperlink" Target="https://eur-lex.europa.eu/EN/legal-content/summary/european-union-directives.html" TargetMode="External"/><Relationship Id="rId37" Type="http://schemas.openxmlformats.org/officeDocument/2006/relationships/hyperlink" Target="URL:http://hudoc.echr.coe.int/fre?i=001-127697" TargetMode="External"/><Relationship Id="rId5" Type="http://schemas.openxmlformats.org/officeDocument/2006/relationships/hyperlink" Target="http://hudoc.echr.coe.int/fre?i=001-207115" TargetMode="External"/><Relationship Id="rId15" Type="http://schemas.openxmlformats.org/officeDocument/2006/relationships/hyperlink" Target="https://www.state.gov/reports/2020-country-reports-on-human-rights-practices/ukraine/-" TargetMode="External"/><Relationship Id="rId23" Type="http://schemas.openxmlformats.org/officeDocument/2006/relationships/hyperlink" Target="https://eur-lex.europa.eu/legal-content/EN/TXT/?uri=celex%3A52004DC0334" TargetMode="External"/><Relationship Id="rId28" Type="http://schemas.openxmlformats.org/officeDocument/2006/relationships/hyperlink" Target="https://eur-lex.europa.eu/legal-content/EN/TXT/?uri=celex%3A52004DC0334" TargetMode="External"/><Relationship Id="rId36" Type="http://schemas.openxmlformats.org/officeDocument/2006/relationships/hyperlink" Target="https://www.echr.coe.int/Documents/Guide_Art_7_ENG.pdf" TargetMode="External"/><Relationship Id="rId10" Type="http://schemas.openxmlformats.org/officeDocument/2006/relationships/hyperlink" Target="https://eur-lex.europa.eu/legal-content/EN/TXT/?uri=celex%3A12007L%2FTXT" TargetMode="External"/><Relationship Id="rId19" Type="http://schemas.openxmlformats.org/officeDocument/2006/relationships/hyperlink" Target="https://curia.europa.eu/juris/liste.jsf?nat=or&amp;mat=or&amp;pcs=Oor&amp;jur=C%2CT%2CF&amp;for=&amp;jge=&amp;dates=&amp;language=en&amp;pro=&amp;cit=none%252CC%252CCJ%252CR%252C2008E%252C%252C%252C%252C%252C%252C%252C%252C%252C%252Ctrue%252Cfalse%252Cfalse&amp;oqp=&amp;td=%3BALL&amp;avg=&amp;parties=portnov&amp;lg=&amp;page=1&amp;cid=686233" TargetMode="External"/><Relationship Id="rId31" Type="http://schemas.openxmlformats.org/officeDocument/2006/relationships/hyperlink" Target="https://www.coe.int/ru/web/conventions/full-list" TargetMode="External"/><Relationship Id="rId4" Type="http://schemas.openxmlformats.org/officeDocument/2006/relationships/hyperlink" Target="http://hudoc.echr.coe.int/fre?i=001-57478" TargetMode="External"/><Relationship Id="rId9" Type="http://schemas.openxmlformats.org/officeDocument/2006/relationships/hyperlink" Target="https://eur-lex.europa.eu/legal-content/EN/TXT/?uri=CELEX%3A62010CJ0617" TargetMode="External"/><Relationship Id="rId14" Type="http://schemas.openxmlformats.org/officeDocument/2006/relationships/hyperlink" Target="https://zakon.rada.gov.ua/laws/show/z1038-14" TargetMode="External"/><Relationship Id="rId22" Type="http://schemas.openxmlformats.org/officeDocument/2006/relationships/hyperlink" Target="URL:https://ec.europa.eu/commission/presscorner/detail/en/IP_22_3264" TargetMode="External"/><Relationship Id="rId27" Type="http://schemas.openxmlformats.org/officeDocument/2006/relationships/hyperlink" Target="https://doi.org/10.1177/20322844221119732" TargetMode="External"/><Relationship Id="rId30" Type="http://schemas.openxmlformats.org/officeDocument/2006/relationships/hyperlink" Target="https://data.consilium.europa.eu/doc/document/ST-79-2014-INIT/en/pdf" TargetMode="External"/><Relationship Id="rId35" Type="http://schemas.openxmlformats.org/officeDocument/2006/relationships/hyperlink" Target="https://sites.google.com/site/intercrip/kriminalne-pravo-es---tekst-posibnik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4952D3-2F2F-469C-8CA8-EB559FBA90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18647</Words>
  <Characters>106291</Characters>
  <Application>Microsoft Office Word</Application>
  <DocSecurity>0</DocSecurity>
  <Lines>885</Lines>
  <Paragraphs>249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MoBIL GROUP</Company>
  <LinksUpToDate>false</LinksUpToDate>
  <CharactersWithSpaces>124689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Taya</cp:lastModifiedBy>
  <cp:revision>2</cp:revision>
  <cp:lastPrinted>2020-07-20T14:09:00Z</cp:lastPrinted>
  <dcterms:created xsi:type="dcterms:W3CDTF">2023-10-13T13:52:00Z</dcterms:created>
  <dcterms:modified xsi:type="dcterms:W3CDTF">2023-10-13T13:52:00Z</dcterms:modified>
</cp:coreProperties>
</file>