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EF1" w:rsidRDefault="001F6EF1" w:rsidP="001F6EF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4274">
        <w:rPr>
          <w:rFonts w:ascii="Times New Roman" w:eastAsia="Calibri" w:hAnsi="Times New Roman" w:cs="Times New Roman"/>
          <w:sz w:val="28"/>
          <w:szCs w:val="28"/>
        </w:rPr>
        <w:t>УДК 343.35</w:t>
      </w:r>
    </w:p>
    <w:p w:rsidR="001F6EF1" w:rsidRDefault="001F6EF1" w:rsidP="001F6EF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536A56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Д.Г. </w:t>
      </w:r>
      <w:proofErr w:type="spellStart"/>
      <w:r w:rsidRPr="00536A56">
        <w:rPr>
          <w:rFonts w:ascii="Times New Roman" w:hAnsi="Times New Roman" w:cs="Times New Roman"/>
          <w:b/>
          <w:i/>
          <w:sz w:val="28"/>
          <w:szCs w:val="28"/>
          <w:lang w:val="ru-RU"/>
        </w:rPr>
        <w:t>Михайленко</w:t>
      </w:r>
      <w:proofErr w:type="spellEnd"/>
    </w:p>
    <w:p w:rsidR="001F6EF1" w:rsidRPr="00536A56" w:rsidRDefault="001F6EF1" w:rsidP="001F6E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36A56">
        <w:rPr>
          <w:rFonts w:ascii="Times New Roman" w:hAnsi="Times New Roman" w:cs="Times New Roman"/>
          <w:b/>
          <w:sz w:val="28"/>
          <w:szCs w:val="28"/>
          <w:lang w:val="ru-RU"/>
        </w:rPr>
        <w:t>Дуализм нормы о незаконном обогащении в Украине</w:t>
      </w:r>
    </w:p>
    <w:p w:rsidR="00BA4F71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Ненадлежащее исполнение институтами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власти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своих функций в течени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длительного времени не только делает невозможным устойчивое развитие общества, но и приводит к системным деформаци</w:t>
      </w:r>
      <w:r>
        <w:rPr>
          <w:rFonts w:ascii="Times New Roman" w:hAnsi="Times New Roman" w:cs="Times New Roman"/>
          <w:sz w:val="28"/>
          <w:szCs w:val="28"/>
          <w:lang w:val="ru-RU"/>
        </w:rPr>
        <w:t>ям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, порождает преступность кризисного типа. Кроме того, социально-политические процессы, которые начались в Украине в конце 2013 года, во многом обусловленные накопленным ощущением недейственности управленческих структур, их коррумпированностью. Однако и сегодня украинская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антикоррупционная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система объективно не может эффективно выполнять свою основную задачу. Применяемым коррупционерами мерам конспирации, усилиям, направленным на сокрытие своей преступной деятельности необходимо противопоставить новые подходы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плоскости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конструировани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и систематизации уголовно-правовых запретов. Указанное обусловливает необходимость применения новых правовых инструментов, которые не основывались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бы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, как раньше, на представлении, что коррупция является нетипичн</w:t>
      </w:r>
      <w:r>
        <w:rPr>
          <w:rFonts w:ascii="Times New Roman" w:hAnsi="Times New Roman" w:cs="Times New Roman"/>
          <w:sz w:val="28"/>
          <w:szCs w:val="28"/>
          <w:lang w:val="ru-RU"/>
        </w:rPr>
        <w:t>ым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девиантным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поведением. Привычные механизмы уголовно-правового противодействия коррупционным преступлениям долгое время сводились и сводятся сегодня к наличию одного рубежа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установление запрета конкретных коррупционных деяний (как </w:t>
      </w:r>
      <w:r>
        <w:rPr>
          <w:rFonts w:ascii="Times New Roman" w:hAnsi="Times New Roman" w:cs="Times New Roman"/>
          <w:sz w:val="28"/>
          <w:szCs w:val="28"/>
          <w:lang w:val="ru-RU"/>
        </w:rPr>
        <w:t>оконченных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, так и не</w:t>
      </w:r>
      <w:r>
        <w:rPr>
          <w:rFonts w:ascii="Times New Roman" w:hAnsi="Times New Roman" w:cs="Times New Roman"/>
          <w:sz w:val="28"/>
          <w:szCs w:val="28"/>
          <w:lang w:val="ru-RU"/>
        </w:rPr>
        <w:t>оконченных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которые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явля</w:t>
      </w:r>
      <w:r>
        <w:rPr>
          <w:rFonts w:ascii="Times New Roman" w:hAnsi="Times New Roman" w:cs="Times New Roman"/>
          <w:sz w:val="28"/>
          <w:szCs w:val="28"/>
          <w:lang w:val="ru-RU"/>
        </w:rPr>
        <w:t>ю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тся общественно опасными.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Как представляется, новая модель уголовно-правового противодействия коррупции должна строиться по принципу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многорубежности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», когда уголовно-правовые запреты будут реализовываться не только в отношении конкретных коррупционных деяний (основной рубеж), но и по </w:t>
      </w:r>
      <w:r w:rsidR="007D1070">
        <w:rPr>
          <w:rFonts w:ascii="Times New Roman" w:hAnsi="Times New Roman" w:cs="Times New Roman"/>
          <w:sz w:val="28"/>
          <w:szCs w:val="28"/>
          <w:lang w:val="ru-RU"/>
        </w:rPr>
        <w:t xml:space="preserve">отношению к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поведению, </w:t>
      </w:r>
      <w:r w:rsidR="007D1070">
        <w:rPr>
          <w:rFonts w:ascii="Times New Roman" w:hAnsi="Times New Roman" w:cs="Times New Roman"/>
          <w:sz w:val="28"/>
          <w:szCs w:val="28"/>
          <w:lang w:val="ru-RU"/>
        </w:rPr>
        <w:t xml:space="preserve">которое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еще не является коррупционным деянием, но формирует определенный коррупционный риск, наличие которого уже является общественно опасным (</w:t>
      </w:r>
      <w:r w:rsidR="00BA4F71" w:rsidRPr="00BA4F71">
        <w:rPr>
          <w:rFonts w:ascii="Times New Roman" w:eastAsia="Calibri" w:hAnsi="Times New Roman" w:cs="Times New Roman"/>
          <w:sz w:val="28"/>
          <w:szCs w:val="28"/>
          <w:lang w:val="ru-RU"/>
        </w:rPr>
        <w:t>предварительный рубеж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="00BA4F71" w:rsidRPr="00BA4F71">
        <w:rPr>
          <w:rFonts w:ascii="Times New Roman" w:eastAsia="Calibri" w:hAnsi="Times New Roman" w:cs="Times New Roman"/>
          <w:sz w:val="28"/>
          <w:szCs w:val="28"/>
          <w:lang w:val="ru-RU"/>
        </w:rPr>
        <w:t>а также в отношении дальнейших объективных проявлений совершенных в</w:t>
      </w:r>
      <w:proofErr w:type="gramEnd"/>
      <w:r w:rsidR="00BA4F71" w:rsidRPr="00BA4F7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BA4F71" w:rsidRPr="00BA4F71">
        <w:rPr>
          <w:rFonts w:ascii="Times New Roman" w:eastAsia="Calibri" w:hAnsi="Times New Roman" w:cs="Times New Roman"/>
          <w:sz w:val="28"/>
          <w:szCs w:val="28"/>
          <w:lang w:val="ru-RU"/>
        </w:rPr>
        <w:t>прошлом</w:t>
      </w:r>
      <w:proofErr w:type="gramEnd"/>
      <w:r w:rsidR="00BA4F71" w:rsidRPr="00BA4F7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актов коррупции, которые остались латентными (заключительный рубеж).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Схожей с отмеченной является модель эшелонирования уголовно-правового противодействия коррупции, которая очерчена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lastRenderedPageBreak/>
        <w:t>только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в общ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>ем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>вид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В.Н.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Борков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>ым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и отличается от указанной выше содержанием рубежей. 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Конструирование </w:t>
      </w:r>
      <w:proofErr w:type="spellStart"/>
      <w:r w:rsidR="00BA4F71">
        <w:rPr>
          <w:rFonts w:ascii="Times New Roman" w:hAnsi="Times New Roman" w:cs="Times New Roman"/>
          <w:sz w:val="28"/>
          <w:szCs w:val="28"/>
          <w:lang w:val="ru-RU"/>
        </w:rPr>
        <w:t>многорубежной</w:t>
      </w:r>
      <w:proofErr w:type="spellEnd"/>
      <w:r w:rsidR="00BA4F71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модели уголовно-правового противодействия коррупции предусматривает последовательную разработку отдельных ее составляющих, в частности, такого инструмента, как уголовная ответственность за незаконное обогащение как элемента 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>заключительного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рубежа, 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 xml:space="preserve">что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демонстриру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>ет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актуальность исследований в этом направлении.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Законодатель, предусматривая уголовную ответственность за указанное деяние (согласно ст.368-2 УК Украины наказывается приобретение лицом, уполномоченным на выполнение функций государства или местного самоуправления, в собственность имущества, стоимость которого значительно превышает доходы лица, полученные из законных источников, или передача им такого имущества близким родственникам), не определил признаков, позволяющих четко разграничивать это преступление с другими.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В связи с этим, статья о незаконном обогащении в структуре УК Украины оказалась весьма непонятной как по содержанию, так и по назначению, что требует решения с применением </w:t>
      </w:r>
      <w:r w:rsidR="00BA4F71">
        <w:rPr>
          <w:rFonts w:ascii="Times New Roman" w:hAnsi="Times New Roman" w:cs="Times New Roman"/>
          <w:sz w:val="28"/>
          <w:szCs w:val="28"/>
          <w:lang w:val="ru-RU"/>
        </w:rPr>
        <w:t xml:space="preserve">научной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методологии. В этом ракурсе важно установить фактическую правовую природу нормы о незаконном обогащении, которая действует в Украине.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Интерпретация нормы о незаконном обогащении с помощью различных методологических подходов, как показывает изучение литературы, дает разные результаты в понимании цели, функции и содержания признаков незаконного обогащения. Использование же в этой работе такого ресурса герменевтики как телеологическая интерпретация, как представляется, существенно приближает к пониманию правовой природы исследуемой нормы.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Так, детальное исследование причин, условий и хода формирования статьи 368-2 УК Украины через изучение процесса прохождения в Верховной Раде Украины проектов</w:t>
      </w:r>
      <w:r w:rsidR="00414EC5">
        <w:rPr>
          <w:rFonts w:ascii="Times New Roman" w:hAnsi="Times New Roman" w:cs="Times New Roman"/>
          <w:sz w:val="28"/>
          <w:szCs w:val="28"/>
          <w:lang w:val="ru-RU"/>
        </w:rPr>
        <w:t xml:space="preserve"> Законов №2112 от 11.09.2006 г.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, №7487 от 17.12.2010 г., №4780 от 24.04.2014 г. и №5085 от 16.09.2014 г., а также документов, связанных с работой над ними, с одной стороны, и всех судебных решений по обвинению </w:t>
      </w:r>
      <w:r w:rsidR="00414E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незаконном обогащении (51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решение по 31 уголовному делу, в том числе постановление с выводами Верховного Суда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lastRenderedPageBreak/>
        <w:t>Украины), которые доступны в Едином государственном реестре судебных решений, с другой стороны, позволило прийти к следующим выводам.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24F5">
        <w:rPr>
          <w:rFonts w:ascii="Times New Roman" w:hAnsi="Times New Roman" w:cs="Times New Roman"/>
          <w:sz w:val="28"/>
          <w:szCs w:val="28"/>
          <w:lang w:val="ru-RU"/>
        </w:rPr>
        <w:t>Появление нормы о незаконном обогащении в УК Украины был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о нацелено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на внедрение в правовую систему Украины инструмента, предусмотренного ст.20 Конвенц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ии ОО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Н против коррупции (далее также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Конвенция), с одноименным названием.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Вместе с тем, обработк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Верховной Радой Украины первично предложенного варианта статьи о незаконном обогащении в результате привел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к такой редакции нормы (ст.368-2 УК Украины), которая размыла саму суть этого преступления и ввела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 xml:space="preserve">не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планируемый законодателем способ ее применения, как элемента основного рубежа уголовно-правового противодействия коррупционным преступлениям, чем вызвала правовую неопределенность в этой сфере.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Указанный вывод предопределяет необходимость дальнейшей структуризации исследований нормы о незаконном обогащении на два относительно об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особленные направления: первое –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изучение ст.368-2 УК Украины с учетом цели ее создания и в связи с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ст.20 Конвенции (здесь незаконное обогащение оценивается как элемент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заключительного</w:t>
      </w:r>
      <w:r w:rsidR="008309C5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рубежа уголовно-правового противодействия коррупции); второй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8309C5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анализ ст.368-2 УК Украины с учетом реальной практики ее применения как случайно выделенного смежного коррупционного преступления (здесь незаконное обогащение оценивается как элемент основного рубежа указанно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выше противодействия).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Основным же является то, что проведенное исследование концентрирует внимание на важном заключени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о сути и мест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нормы о незаконном обогащении в системе норм о коррупционных преступлениях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как в редакции ст.368-2 УК Украины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изменени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Законом от 14.10.2014 года, так и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 xml:space="preserve"> после них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, ведь изучение измененной нормы о незаконном обогащении позволяет предположить, что судебная практика по ее применению не претерпит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изменений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Так, указанная норма выполняет функцию элементов двух рубежей уголовно-правового противодействия коррупции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8309C5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основного (в связи с реальной практикой ее применения как случайно выделенного законодателем смежного коррупционного преступления,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 xml:space="preserve">которое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стал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резервным по отношению к другим) и 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заключительного</w:t>
      </w:r>
      <w:r w:rsidR="008309C5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(в связи с целью ее создание как аналога инструмента ст.20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lastRenderedPageBreak/>
        <w:t>Конвенции, заключением Верховного Суда Украины и догматическим анализом ст.368-2 УК Украины в сочетании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с положением примечания к ст.364-1 УК Украины). </w:t>
      </w: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Кроме того, на уровне элемента основного рубежа уголовно-правового противодействия коррупции норма о незаконном обо</w:t>
      </w:r>
      <w:r w:rsidR="008309C5">
        <w:rPr>
          <w:rFonts w:ascii="Times New Roman" w:hAnsi="Times New Roman" w:cs="Times New Roman"/>
          <w:sz w:val="28"/>
          <w:szCs w:val="28"/>
          <w:lang w:val="ru-RU"/>
        </w:rPr>
        <w:t>гащении, предусматривая резервное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основание уголовной ответственности по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 xml:space="preserve"> отношению к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другим коррупционны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преступлени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>ям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публичного сектора, закрепляет преступление смешанного типа (по критерию механизма коррупционных отношений), поскольку последн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>ее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может быть как двусторонним (может быть совершено только при обязательно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добровольном участии нескольких субъектов коррупции), что требует его разграничения с подкупом в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публичной сфере, так и односторонним (может быть совершено субъектом коррупции единолично без обязательно</w:t>
      </w:r>
      <w:r w:rsidR="005272D2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добровольного участия других лиц) коррупционным преступлением, что требует его разграничения с другими (кроме указанного выше подкупа) преступлениями.</w:t>
      </w:r>
    </w:p>
    <w:p w:rsidR="002324F5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2324F5">
        <w:rPr>
          <w:rFonts w:ascii="Times New Roman" w:hAnsi="Times New Roman" w:cs="Times New Roman"/>
          <w:sz w:val="28"/>
          <w:szCs w:val="28"/>
          <w:lang w:val="ru-RU"/>
        </w:rPr>
        <w:t>В связи с изложенным, нельзя согласиться с выводом Кочерова М.В., что в случаях, когда получение неправомерной выгоды является следствием преступно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(например, в результате превышения власти или служебных полномочий) или иного противоправного (в случае нарушения установленных законом ограничений служебно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лица относительно совместительства и совмещения с другими видами деятельности и т.д.) поведения виновного и при наличии других оснований действия последнего</w:t>
      </w:r>
      <w:proofErr w:type="gram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должны квалифицироваться по совокупности преступлений (имеется в виду совокупность преступления, приведшего к обогащению, и незаконного обогащения). Такая точка зрения не соответствует цели создания ст.368-2 УК Украины и еще больше запутывает практику ее применения. В этом случае следует иметь в виду, что правовые инструменты каждого рубежа противодействия коррупции не могут применяться в идеальной совокупности, поскольку это противоречит сути </w:t>
      </w:r>
      <w:proofErr w:type="spellStart"/>
      <w:r w:rsidR="00F35994">
        <w:rPr>
          <w:rFonts w:ascii="Times New Roman" w:hAnsi="Times New Roman" w:cs="Times New Roman"/>
          <w:sz w:val="28"/>
          <w:szCs w:val="28"/>
          <w:lang w:val="ru-RU"/>
        </w:rPr>
        <w:t>многорубежной</w:t>
      </w:r>
      <w:proofErr w:type="spellEnd"/>
      <w:r w:rsidR="00F35994"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системы, которая заключается в том, что нормы следующего рубежа включаются по 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 xml:space="preserve">отношению к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>конкретной жизненной ситуации только в том случае, когда нормы предыдущего не сработали.</w:t>
      </w:r>
    </w:p>
    <w:p w:rsidR="004E2CC6" w:rsidRPr="002324F5" w:rsidRDefault="002324F5" w:rsidP="001F6E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Во избежание же нарушение принципа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Non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bis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324F5">
        <w:rPr>
          <w:rFonts w:ascii="Times New Roman" w:hAnsi="Times New Roman" w:cs="Times New Roman"/>
          <w:sz w:val="28"/>
          <w:szCs w:val="28"/>
          <w:lang w:val="ru-RU"/>
        </w:rPr>
        <w:t>idem</w:t>
      </w:r>
      <w:proofErr w:type="spellEnd"/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(что возможно из-за нечеткости формулировки состава незаконного обогащения и выводов некоторых авторов) необходимо 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>дополнение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ст.368-2 УК Украины негативн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>ым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 признак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 xml:space="preserve">ом, </w:t>
      </w:r>
      <w:proofErr w:type="gramStart"/>
      <w:r w:rsidR="00F35994">
        <w:rPr>
          <w:rFonts w:ascii="Times New Roman" w:hAnsi="Times New Roman" w:cs="Times New Roman"/>
          <w:sz w:val="28"/>
          <w:szCs w:val="28"/>
          <w:lang w:val="ru-RU"/>
        </w:rPr>
        <w:lastRenderedPageBreak/>
        <w:t>исходя из которого эта статья могла</w:t>
      </w:r>
      <w:proofErr w:type="gramEnd"/>
      <w:r w:rsidR="00F35994">
        <w:rPr>
          <w:rFonts w:ascii="Times New Roman" w:hAnsi="Times New Roman" w:cs="Times New Roman"/>
          <w:sz w:val="28"/>
          <w:szCs w:val="28"/>
          <w:lang w:val="ru-RU"/>
        </w:rPr>
        <w:t xml:space="preserve"> бы применяться только </w:t>
      </w:r>
      <w:r w:rsidRPr="002324F5">
        <w:rPr>
          <w:rFonts w:ascii="Times New Roman" w:hAnsi="Times New Roman" w:cs="Times New Roman"/>
          <w:sz w:val="28"/>
          <w:szCs w:val="28"/>
          <w:lang w:val="ru-RU"/>
        </w:rPr>
        <w:t xml:space="preserve">при отсутствии </w:t>
      </w:r>
      <w:r w:rsidR="00F35994">
        <w:rPr>
          <w:rFonts w:ascii="Times New Roman" w:hAnsi="Times New Roman" w:cs="Times New Roman"/>
          <w:sz w:val="28"/>
          <w:szCs w:val="28"/>
          <w:lang w:val="ru-RU"/>
        </w:rPr>
        <w:t>признаков другого преступления.</w:t>
      </w:r>
    </w:p>
    <w:sectPr w:rsidR="004E2CC6" w:rsidRPr="002324F5" w:rsidSect="001F6EF1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324F5"/>
    <w:rsid w:val="001F6EF1"/>
    <w:rsid w:val="002324F5"/>
    <w:rsid w:val="00414EC5"/>
    <w:rsid w:val="004E2CC6"/>
    <w:rsid w:val="005272D2"/>
    <w:rsid w:val="007D1070"/>
    <w:rsid w:val="008309C5"/>
    <w:rsid w:val="00BA4F71"/>
    <w:rsid w:val="00F35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C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5544</Words>
  <Characters>3161</Characters>
  <Application>Microsoft Office Word</Application>
  <DocSecurity>0</DocSecurity>
  <Lines>26</Lines>
  <Paragraphs>17</Paragraphs>
  <ScaleCrop>false</ScaleCrop>
  <Company>Microsoft</Company>
  <LinksUpToDate>false</LinksUpToDate>
  <CharactersWithSpaces>8688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2015-01-28T20:25:00Z</dcterms:created>
  <dcterms:modified xsi:type="dcterms:W3CDTF">2015-01-28T20:25:00Z</dcterms:modified>
</cp:coreProperties>
</file>