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F1" w:rsidRDefault="001F6EF1" w:rsidP="001F6EF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274">
        <w:rPr>
          <w:rFonts w:ascii="Times New Roman" w:eastAsia="Calibri" w:hAnsi="Times New Roman" w:cs="Times New Roman"/>
          <w:sz w:val="28"/>
          <w:szCs w:val="28"/>
        </w:rPr>
        <w:t>УДК 343.35</w:t>
      </w:r>
    </w:p>
    <w:p w:rsidR="001F6EF1" w:rsidRDefault="001F6EF1" w:rsidP="001F6EF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536A56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Д.Г. </w:t>
      </w:r>
      <w:proofErr w:type="spellStart"/>
      <w:r w:rsidRPr="00536A56">
        <w:rPr>
          <w:rFonts w:ascii="Times New Roman" w:hAnsi="Times New Roman" w:cs="Times New Roman"/>
          <w:b/>
          <w:i/>
          <w:sz w:val="28"/>
          <w:szCs w:val="28"/>
          <w:lang w:val="ru-RU"/>
        </w:rPr>
        <w:t>Михайленко</w:t>
      </w:r>
      <w:proofErr w:type="spellEnd"/>
    </w:p>
    <w:p w:rsidR="001F6EF1" w:rsidRPr="00536A56" w:rsidRDefault="001F6EF1" w:rsidP="001F6E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6A56">
        <w:rPr>
          <w:rFonts w:ascii="Times New Roman" w:hAnsi="Times New Roman" w:cs="Times New Roman"/>
          <w:b/>
          <w:sz w:val="28"/>
          <w:szCs w:val="28"/>
          <w:lang w:val="ru-RU"/>
        </w:rPr>
        <w:t>Дуализм нормы о незаконном обогащении в Украине</w:t>
      </w:r>
    </w:p>
    <w:p w:rsidR="00BA4F71" w:rsidRDefault="002324F5" w:rsidP="001F6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Ненадлежащее исполнение институтами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власти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>своих функций в течени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длительного времени не только делает невозможным устойчивое развитие общества, но и приводит к системным деформаци</w:t>
      </w:r>
      <w:r>
        <w:rPr>
          <w:rFonts w:ascii="Times New Roman" w:hAnsi="Times New Roman" w:cs="Times New Roman"/>
          <w:sz w:val="28"/>
          <w:szCs w:val="28"/>
          <w:lang w:val="ru-RU"/>
        </w:rPr>
        <w:t>ям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, порождает преступность кризисного типа. Кроме того, социально-политические процессы, которые начались в Украине в конце 2013 года, во многом обусловленные накопленным ощущением недейственности управленческих структур, их коррумпированностью. Однако и сегодня украинская </w:t>
      </w:r>
      <w:proofErr w:type="spellStart"/>
      <w:r w:rsidRPr="002324F5">
        <w:rPr>
          <w:rFonts w:ascii="Times New Roman" w:hAnsi="Times New Roman" w:cs="Times New Roman"/>
          <w:sz w:val="28"/>
          <w:szCs w:val="28"/>
          <w:lang w:val="ru-RU"/>
        </w:rPr>
        <w:t>антикоррупционная</w:t>
      </w:r>
      <w:proofErr w:type="spell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система объективно не может эффективно выполнять свою основную задачу. Применяемым коррупционерами мерам конспирации, усилиям, направленным на сокрытие своей преступной деятельности необходимо противопоставить новые подходы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плоскости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>конструировани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и систематизации уголовно-правовых запретов. Указанное обусловливает необходимость применения новых правовых инструментов, которые не основывались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бы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>, как раньше, на представлении, что коррупция является нетипичн</w:t>
      </w:r>
      <w:r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4F5">
        <w:rPr>
          <w:rFonts w:ascii="Times New Roman" w:hAnsi="Times New Roman" w:cs="Times New Roman"/>
          <w:sz w:val="28"/>
          <w:szCs w:val="28"/>
          <w:lang w:val="ru-RU"/>
        </w:rPr>
        <w:t>девиантным</w:t>
      </w:r>
      <w:proofErr w:type="spell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поведением. Привычные механизмы уголовно-правового противодействия коррупционным преступлениям долгое время сводились и сводятся сегодня к наличию одного рубежа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установление запрета конкретных коррупционных деяний (как </w:t>
      </w:r>
      <w:r>
        <w:rPr>
          <w:rFonts w:ascii="Times New Roman" w:hAnsi="Times New Roman" w:cs="Times New Roman"/>
          <w:sz w:val="28"/>
          <w:szCs w:val="28"/>
          <w:lang w:val="ru-RU"/>
        </w:rPr>
        <w:t>оконченных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>, так и не</w:t>
      </w:r>
      <w:r>
        <w:rPr>
          <w:rFonts w:ascii="Times New Roman" w:hAnsi="Times New Roman" w:cs="Times New Roman"/>
          <w:sz w:val="28"/>
          <w:szCs w:val="28"/>
          <w:lang w:val="ru-RU"/>
        </w:rPr>
        <w:t>оконченных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которые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>явля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тся общественно опасными. </w:t>
      </w:r>
      <w:proofErr w:type="gramStart"/>
      <w:r w:rsidRPr="002324F5">
        <w:rPr>
          <w:rFonts w:ascii="Times New Roman" w:hAnsi="Times New Roman" w:cs="Times New Roman"/>
          <w:sz w:val="28"/>
          <w:szCs w:val="28"/>
          <w:lang w:val="ru-RU"/>
        </w:rPr>
        <w:t>Как представляется, новая модель уголовно-правового противодействия коррупции должна строиться по принципу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многорубежности</w:t>
      </w:r>
      <w:proofErr w:type="spell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», когда уголовно-правовые запреты будут реализовываться не только в отношении конкретных коррупционных деяний (основной рубеж), но и по </w:t>
      </w:r>
      <w:r w:rsidR="007D1070">
        <w:rPr>
          <w:rFonts w:ascii="Times New Roman" w:hAnsi="Times New Roman" w:cs="Times New Roman"/>
          <w:sz w:val="28"/>
          <w:szCs w:val="28"/>
          <w:lang w:val="ru-RU"/>
        </w:rPr>
        <w:t xml:space="preserve">отношению к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поведению, </w:t>
      </w:r>
      <w:r w:rsidR="007D1070">
        <w:rPr>
          <w:rFonts w:ascii="Times New Roman" w:hAnsi="Times New Roman" w:cs="Times New Roman"/>
          <w:sz w:val="28"/>
          <w:szCs w:val="28"/>
          <w:lang w:val="ru-RU"/>
        </w:rPr>
        <w:t xml:space="preserve">которое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>еще не является коррупционным деянием, но формирует определенный коррупционный риск, наличие которого уже является общественно опасным (</w:t>
      </w:r>
      <w:r w:rsidR="00BA4F71" w:rsidRPr="00BA4F71">
        <w:rPr>
          <w:rFonts w:ascii="Times New Roman" w:eastAsia="Calibri" w:hAnsi="Times New Roman" w:cs="Times New Roman"/>
          <w:sz w:val="28"/>
          <w:szCs w:val="28"/>
          <w:lang w:val="ru-RU"/>
        </w:rPr>
        <w:t>предварительный рубеж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BA4F71" w:rsidRPr="00BA4F71">
        <w:rPr>
          <w:rFonts w:ascii="Times New Roman" w:eastAsia="Calibri" w:hAnsi="Times New Roman" w:cs="Times New Roman"/>
          <w:sz w:val="28"/>
          <w:szCs w:val="28"/>
          <w:lang w:val="ru-RU"/>
        </w:rPr>
        <w:t>а также в отношении дальнейших объективных проявлений совершенных в</w:t>
      </w:r>
      <w:proofErr w:type="gramEnd"/>
      <w:r w:rsidR="00BA4F71" w:rsidRPr="00BA4F7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BA4F71" w:rsidRPr="00BA4F71">
        <w:rPr>
          <w:rFonts w:ascii="Times New Roman" w:eastAsia="Calibri" w:hAnsi="Times New Roman" w:cs="Times New Roman"/>
          <w:sz w:val="28"/>
          <w:szCs w:val="28"/>
          <w:lang w:val="ru-RU"/>
        </w:rPr>
        <w:t>прошлом</w:t>
      </w:r>
      <w:proofErr w:type="gramEnd"/>
      <w:r w:rsidR="00BA4F71" w:rsidRPr="00BA4F7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актов коррупции, которые остались латентными (заключительный рубеж).</w:t>
      </w:r>
      <w:r w:rsidR="00BA4F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Схожей с отмеченной является модель эшелонирования уголовно-правового противодействия коррупции, которая очерчена </w:t>
      </w:r>
      <w:proofErr w:type="gramStart"/>
      <w:r w:rsidRPr="002324F5">
        <w:rPr>
          <w:rFonts w:ascii="Times New Roman" w:hAnsi="Times New Roman" w:cs="Times New Roman"/>
          <w:sz w:val="28"/>
          <w:szCs w:val="28"/>
          <w:lang w:val="ru-RU"/>
        </w:rPr>
        <w:lastRenderedPageBreak/>
        <w:t>только</w:t>
      </w:r>
      <w:proofErr w:type="gram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в общ</w:t>
      </w:r>
      <w:r w:rsidR="00BA4F71"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4F71">
        <w:rPr>
          <w:rFonts w:ascii="Times New Roman" w:hAnsi="Times New Roman" w:cs="Times New Roman"/>
          <w:sz w:val="28"/>
          <w:szCs w:val="28"/>
          <w:lang w:val="ru-RU"/>
        </w:rPr>
        <w:t>вид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В.Н. </w:t>
      </w:r>
      <w:proofErr w:type="spellStart"/>
      <w:r w:rsidRPr="002324F5">
        <w:rPr>
          <w:rFonts w:ascii="Times New Roman" w:hAnsi="Times New Roman" w:cs="Times New Roman"/>
          <w:sz w:val="28"/>
          <w:szCs w:val="28"/>
          <w:lang w:val="ru-RU"/>
        </w:rPr>
        <w:t>Борков</w:t>
      </w:r>
      <w:r w:rsidR="00BA4F71">
        <w:rPr>
          <w:rFonts w:ascii="Times New Roman" w:hAnsi="Times New Roman" w:cs="Times New Roman"/>
          <w:sz w:val="28"/>
          <w:szCs w:val="28"/>
          <w:lang w:val="ru-RU"/>
        </w:rPr>
        <w:t>ым</w:t>
      </w:r>
      <w:proofErr w:type="spell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и отличается от указанной выше содержанием рубежей. </w:t>
      </w:r>
    </w:p>
    <w:p w:rsidR="002324F5" w:rsidRPr="002324F5" w:rsidRDefault="002324F5" w:rsidP="001F6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Конструирование </w:t>
      </w:r>
      <w:proofErr w:type="spellStart"/>
      <w:r w:rsidR="00BA4F71">
        <w:rPr>
          <w:rFonts w:ascii="Times New Roman" w:hAnsi="Times New Roman" w:cs="Times New Roman"/>
          <w:sz w:val="28"/>
          <w:szCs w:val="28"/>
          <w:lang w:val="ru-RU"/>
        </w:rPr>
        <w:t>многорубежной</w:t>
      </w:r>
      <w:proofErr w:type="spellEnd"/>
      <w:r w:rsidR="00BA4F71"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модели уголовно-правового противодействия коррупции предусматривает последовательную разработку отдельных ее составляющих, в частности, такого инструмента, как уголовная ответственность за незаконное обогащение как элемента </w:t>
      </w:r>
      <w:r w:rsidR="00BA4F71">
        <w:rPr>
          <w:rFonts w:ascii="Times New Roman" w:hAnsi="Times New Roman" w:cs="Times New Roman"/>
          <w:sz w:val="28"/>
          <w:szCs w:val="28"/>
          <w:lang w:val="ru-RU"/>
        </w:rPr>
        <w:t>заключительного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рубежа, </w:t>
      </w:r>
      <w:r w:rsidR="00BA4F71">
        <w:rPr>
          <w:rFonts w:ascii="Times New Roman" w:hAnsi="Times New Roman" w:cs="Times New Roman"/>
          <w:sz w:val="28"/>
          <w:szCs w:val="28"/>
          <w:lang w:val="ru-RU"/>
        </w:rPr>
        <w:t xml:space="preserve">что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>демонстриру</w:t>
      </w:r>
      <w:r w:rsidR="00BA4F71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актуальность исследований в этом направлении.</w:t>
      </w:r>
    </w:p>
    <w:p w:rsidR="002324F5" w:rsidRPr="002324F5" w:rsidRDefault="002324F5" w:rsidP="001F6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324F5">
        <w:rPr>
          <w:rFonts w:ascii="Times New Roman" w:hAnsi="Times New Roman" w:cs="Times New Roman"/>
          <w:sz w:val="28"/>
          <w:szCs w:val="28"/>
          <w:lang w:val="ru-RU"/>
        </w:rPr>
        <w:t>Законодатель, предусматривая уголовную ответственность за указанное деяние (согласно ст.368-2 УК Украины наказывается приобретение лицом, уполномоченным на выполнение функций государства или местного самоуправления, в собственность имущества, стоимость которого значительно превышает доходы лица, полученные из законных источников, или передача им такого имущества близким родственникам), не определил признаков, позволяющих четко разграничивать это преступление с другими.</w:t>
      </w:r>
      <w:proofErr w:type="gram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В связи с этим, статья о незаконном обогащении в структуре УК Украины оказалась весьма непонятной как по содержанию, так и по назначению, что требует решения с применением </w:t>
      </w:r>
      <w:r w:rsidR="00BA4F71">
        <w:rPr>
          <w:rFonts w:ascii="Times New Roman" w:hAnsi="Times New Roman" w:cs="Times New Roman"/>
          <w:sz w:val="28"/>
          <w:szCs w:val="28"/>
          <w:lang w:val="ru-RU"/>
        </w:rPr>
        <w:t xml:space="preserve">научной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>методологии. В этом ракурсе важно установить фактическую правовую природу нормы о незаконном обогащении, которая действует в Украине.</w:t>
      </w:r>
    </w:p>
    <w:p w:rsidR="002324F5" w:rsidRPr="002324F5" w:rsidRDefault="002324F5" w:rsidP="001F6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Интерпретация нормы о незаконном обогащении с помощью различных методологических подходов, как показывает изучение литературы, дает разные результаты в понимании цели, функции и содержания признаков незаконного обогащения. Использование же в этой работе такого ресурса герменевтики как телеологическая интерпретация, как представляется, существенно приближает к пониманию правовой природы исследуемой нормы. </w:t>
      </w:r>
      <w:proofErr w:type="gramStart"/>
      <w:r w:rsidRPr="002324F5">
        <w:rPr>
          <w:rFonts w:ascii="Times New Roman" w:hAnsi="Times New Roman" w:cs="Times New Roman"/>
          <w:sz w:val="28"/>
          <w:szCs w:val="28"/>
          <w:lang w:val="ru-RU"/>
        </w:rPr>
        <w:t>Так, детальное исследование причин, условий и хода формирования статьи 368-2 УК Украины через изучение процесса прохождения в Верховной Раде Украины проектов</w:t>
      </w:r>
      <w:r w:rsidR="00414EC5">
        <w:rPr>
          <w:rFonts w:ascii="Times New Roman" w:hAnsi="Times New Roman" w:cs="Times New Roman"/>
          <w:sz w:val="28"/>
          <w:szCs w:val="28"/>
          <w:lang w:val="ru-RU"/>
        </w:rPr>
        <w:t xml:space="preserve"> Законов №2112 от 11.09.2006 г.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, №7487 от 17.12.2010 г., №4780 от 24.04.2014 г. и №5085 от 16.09.2014 г., а также документов, связанных с работой над ними, с одной стороны, и всех судебных решений по обвинению </w:t>
      </w:r>
      <w:r w:rsidR="00414EC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незаконном обогащении (51</w:t>
      </w:r>
      <w:proofErr w:type="gram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решение по 31 уголовному делу, в том числе постановление с выводами Верховного Суда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lastRenderedPageBreak/>
        <w:t>Украины), которые доступны в Едином государственном реестре судебных решений, с другой стороны, позволило прийти к следующим выводам.</w:t>
      </w:r>
    </w:p>
    <w:p w:rsidR="002324F5" w:rsidRPr="002324F5" w:rsidRDefault="002324F5" w:rsidP="001F6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4F5">
        <w:rPr>
          <w:rFonts w:ascii="Times New Roman" w:hAnsi="Times New Roman" w:cs="Times New Roman"/>
          <w:sz w:val="28"/>
          <w:szCs w:val="28"/>
          <w:lang w:val="ru-RU"/>
        </w:rPr>
        <w:t>Появление нормы о незаконном обогащении в УК Украины был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о нацелено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на внедрение в правовую систему Украины инструмента, предусмотренного ст.20 Конвенц</w:t>
      </w:r>
      <w:proofErr w:type="gramStart"/>
      <w:r w:rsidRPr="002324F5">
        <w:rPr>
          <w:rFonts w:ascii="Times New Roman" w:hAnsi="Times New Roman" w:cs="Times New Roman"/>
          <w:sz w:val="28"/>
          <w:szCs w:val="28"/>
          <w:lang w:val="ru-RU"/>
        </w:rPr>
        <w:t>ии ОО</w:t>
      </w:r>
      <w:proofErr w:type="gram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Н против коррупции (далее также 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Конвенция), с одноименным названием. </w:t>
      </w:r>
      <w:proofErr w:type="gramStart"/>
      <w:r w:rsidRPr="002324F5">
        <w:rPr>
          <w:rFonts w:ascii="Times New Roman" w:hAnsi="Times New Roman" w:cs="Times New Roman"/>
          <w:sz w:val="28"/>
          <w:szCs w:val="28"/>
          <w:lang w:val="ru-RU"/>
        </w:rPr>
        <w:t>Вместе с тем, обработк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Верховной Радой Украины первично предложенного варианта статьи о незаконном обогащении в результате привел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к такой редакции нормы (ст.368-2 УК Украины), которая размыла саму суть этого преступления и ввела 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>планируемый законодателем способ ее применения, как элемента основного рубежа уголовно-правового противодействия коррупционным преступлениям, чем вызвала правовую неопределенность в этой сфере.</w:t>
      </w:r>
      <w:proofErr w:type="gram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Указанный вывод предопределяет необходимость дальнейшей структуризации исследований нормы о незаконном обогащении на два относительно об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особленные направления: первое –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изучение ст.368-2 УК Украины с учетом цели ее создания и в связи с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ст.20 Конвенции (здесь незаконное обогащение оценивается как элемент 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заключительного</w:t>
      </w:r>
      <w:r w:rsidR="008309C5"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рубежа уголовно-правового противодействия коррупции); второй 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309C5"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>анализ ст.368-2 УК Украины с учетом реальной практики ее применения как случайно выделенного смежного коррупционного преступления (здесь незаконное обогащение оценивается как элемент основного рубежа указанно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выше противодействия).</w:t>
      </w:r>
    </w:p>
    <w:p w:rsidR="002324F5" w:rsidRPr="002324F5" w:rsidRDefault="002324F5" w:rsidP="001F6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324F5">
        <w:rPr>
          <w:rFonts w:ascii="Times New Roman" w:hAnsi="Times New Roman" w:cs="Times New Roman"/>
          <w:sz w:val="28"/>
          <w:szCs w:val="28"/>
          <w:lang w:val="ru-RU"/>
        </w:rPr>
        <w:t>Основным же является то, что проведенное исследование концентрирует внимание на важном заключени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о сути и мест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нормы о незаконном обогащении в системе норм о коррупционных преступлениях 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как в редакции ст.368-2 УК Украины 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изменени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Законом от 14.10.2014 года, так и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 xml:space="preserve"> после них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>, ведь изучение измененной нормы о незаконном обогащении позволяет предположить, что судебная практика по ее применению не претерпит</w:t>
      </w:r>
      <w:proofErr w:type="gram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изменений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Так, указанная норма выполняет функцию элементов двух рубежей уголовно-правового противодействия коррупции 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309C5"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основного (в связи с реальной практикой ее применения как случайно выделенного законодателем смежного коррупционного преступления, 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 xml:space="preserve">которое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>стал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резервным по отношению к другим) и 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заключительного</w:t>
      </w:r>
      <w:r w:rsidR="008309C5"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(в связи с целью ее создание как аналога инструмента ст.20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Конвенции, заключением Верховного Суда Украины и догматическим анализом ст.368-2 УК Украины в сочетании</w:t>
      </w:r>
      <w:proofErr w:type="gram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с положением примечания к ст.364-1 УК Украины). </w:t>
      </w:r>
      <w:proofErr w:type="gramStart"/>
      <w:r w:rsidRPr="002324F5">
        <w:rPr>
          <w:rFonts w:ascii="Times New Roman" w:hAnsi="Times New Roman" w:cs="Times New Roman"/>
          <w:sz w:val="28"/>
          <w:szCs w:val="28"/>
          <w:lang w:val="ru-RU"/>
        </w:rPr>
        <w:t>Кроме того, на уровне элемента основного рубежа уголовно-правового противодействия коррупции норма о незаконном обо</w:t>
      </w:r>
      <w:r w:rsidR="008309C5">
        <w:rPr>
          <w:rFonts w:ascii="Times New Roman" w:hAnsi="Times New Roman" w:cs="Times New Roman"/>
          <w:sz w:val="28"/>
          <w:szCs w:val="28"/>
          <w:lang w:val="ru-RU"/>
        </w:rPr>
        <w:t>гащении, предусматривая резервное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основание уголовной ответственности по</w:t>
      </w:r>
      <w:r w:rsidR="005272D2">
        <w:rPr>
          <w:rFonts w:ascii="Times New Roman" w:hAnsi="Times New Roman" w:cs="Times New Roman"/>
          <w:sz w:val="28"/>
          <w:szCs w:val="28"/>
          <w:lang w:val="ru-RU"/>
        </w:rPr>
        <w:t xml:space="preserve"> отношению к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другим коррупционны</w:t>
      </w:r>
      <w:r w:rsidR="005272D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преступлени</w:t>
      </w:r>
      <w:r w:rsidR="005272D2">
        <w:rPr>
          <w:rFonts w:ascii="Times New Roman" w:hAnsi="Times New Roman" w:cs="Times New Roman"/>
          <w:sz w:val="28"/>
          <w:szCs w:val="28"/>
          <w:lang w:val="ru-RU"/>
        </w:rPr>
        <w:t>ям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публичного сектора, закрепляет преступление смешанного типа (по критерию механизма коррупционных отношений), поскольку последн</w:t>
      </w:r>
      <w:r w:rsidR="005272D2">
        <w:rPr>
          <w:rFonts w:ascii="Times New Roman" w:hAnsi="Times New Roman" w:cs="Times New Roman"/>
          <w:sz w:val="28"/>
          <w:szCs w:val="28"/>
          <w:lang w:val="ru-RU"/>
        </w:rPr>
        <w:t>ее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может быть как двусторонним (может быть совершено только при обязательно</w:t>
      </w:r>
      <w:r w:rsidR="005272D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добровольном участии нескольких субъектов коррупции), что требует его разграничения с подкупом в</w:t>
      </w:r>
      <w:proofErr w:type="gram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публичной сфере, так и односторонним (может быть совершено субъектом коррупции единолично без обязательно</w:t>
      </w:r>
      <w:r w:rsidR="005272D2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добровольного участия других лиц) коррупционным преступлением, что требует его разграничения с другими (кроме указанного выше подкупа) преступлениями.</w:t>
      </w:r>
    </w:p>
    <w:p w:rsidR="002324F5" w:rsidRPr="002324F5" w:rsidRDefault="002324F5" w:rsidP="001F6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324F5">
        <w:rPr>
          <w:rFonts w:ascii="Times New Roman" w:hAnsi="Times New Roman" w:cs="Times New Roman"/>
          <w:sz w:val="28"/>
          <w:szCs w:val="28"/>
          <w:lang w:val="ru-RU"/>
        </w:rPr>
        <w:t>В связи с изложенным, нельзя согласиться с выводом Кочерова М.В., что в случаях, когда получение неправомерной выгоды является следствием преступно</w:t>
      </w:r>
      <w:r w:rsidR="00F35994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(например, в результате превышения власти или служебных полномочий) или иного противоправного (в случае нарушения установленных законом ограничений служебно</w:t>
      </w:r>
      <w:r w:rsidR="00F35994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лица относительно совместительства и совмещения с другими видами деятельности и т.д.) поведения виновного и при наличии других оснований действия последнего</w:t>
      </w:r>
      <w:proofErr w:type="gram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должны квалифицироваться по совокупности преступлений (имеется в виду совокупность преступления, приведшего к обогащению, и незаконного обогащения). Такая точка зрения не соответствует цели создания ст.368-2 УК Украины и еще больше запутывает практику ее применения. В этом случае следует иметь в виду, что правовые инструменты каждого рубежа противодействия коррупции не могут применяться в идеальной совокупности, поскольку это противоречит сути </w:t>
      </w:r>
      <w:proofErr w:type="spellStart"/>
      <w:r w:rsidR="00F35994">
        <w:rPr>
          <w:rFonts w:ascii="Times New Roman" w:hAnsi="Times New Roman" w:cs="Times New Roman"/>
          <w:sz w:val="28"/>
          <w:szCs w:val="28"/>
          <w:lang w:val="ru-RU"/>
        </w:rPr>
        <w:t>многорубежной</w:t>
      </w:r>
      <w:proofErr w:type="spellEnd"/>
      <w:r w:rsidR="00F35994"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системы, которая заключается в том, что нормы следующего рубежа включаются по </w:t>
      </w:r>
      <w:r w:rsidR="00F35994">
        <w:rPr>
          <w:rFonts w:ascii="Times New Roman" w:hAnsi="Times New Roman" w:cs="Times New Roman"/>
          <w:sz w:val="28"/>
          <w:szCs w:val="28"/>
          <w:lang w:val="ru-RU"/>
        </w:rPr>
        <w:t xml:space="preserve">отношению к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>конкретной жизненной ситуации только в том случае, когда нормы предыдущего не сработали.</w:t>
      </w:r>
    </w:p>
    <w:p w:rsidR="004E2CC6" w:rsidRPr="002324F5" w:rsidRDefault="002324F5" w:rsidP="001F6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Во избежание же нарушение принципа </w:t>
      </w:r>
      <w:proofErr w:type="spellStart"/>
      <w:r w:rsidRPr="002324F5">
        <w:rPr>
          <w:rFonts w:ascii="Times New Roman" w:hAnsi="Times New Roman" w:cs="Times New Roman"/>
          <w:sz w:val="28"/>
          <w:szCs w:val="28"/>
          <w:lang w:val="ru-RU"/>
        </w:rPr>
        <w:t>Non</w:t>
      </w:r>
      <w:proofErr w:type="spell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4F5">
        <w:rPr>
          <w:rFonts w:ascii="Times New Roman" w:hAnsi="Times New Roman" w:cs="Times New Roman"/>
          <w:sz w:val="28"/>
          <w:szCs w:val="28"/>
          <w:lang w:val="ru-RU"/>
        </w:rPr>
        <w:t>bis</w:t>
      </w:r>
      <w:proofErr w:type="spell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4F5">
        <w:rPr>
          <w:rFonts w:ascii="Times New Roman" w:hAnsi="Times New Roman" w:cs="Times New Roman"/>
          <w:sz w:val="28"/>
          <w:szCs w:val="28"/>
          <w:lang w:val="ru-RU"/>
        </w:rPr>
        <w:t>in</w:t>
      </w:r>
      <w:proofErr w:type="spell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24F5">
        <w:rPr>
          <w:rFonts w:ascii="Times New Roman" w:hAnsi="Times New Roman" w:cs="Times New Roman"/>
          <w:sz w:val="28"/>
          <w:szCs w:val="28"/>
          <w:lang w:val="ru-RU"/>
        </w:rPr>
        <w:t>idem</w:t>
      </w:r>
      <w:proofErr w:type="spellEnd"/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(что возможно из-за нечеткости формулировки состава незаконного обогащения и выводов некоторых авторов) необходимо </w:t>
      </w:r>
      <w:r w:rsidR="00F35994">
        <w:rPr>
          <w:rFonts w:ascii="Times New Roman" w:hAnsi="Times New Roman" w:cs="Times New Roman"/>
          <w:sz w:val="28"/>
          <w:szCs w:val="28"/>
          <w:lang w:val="ru-RU"/>
        </w:rPr>
        <w:t>дополнение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ст.368-2 УК Украины негативн</w:t>
      </w:r>
      <w:r w:rsidR="00F35994"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 признак</w:t>
      </w:r>
      <w:r w:rsidR="00F35994">
        <w:rPr>
          <w:rFonts w:ascii="Times New Roman" w:hAnsi="Times New Roman" w:cs="Times New Roman"/>
          <w:sz w:val="28"/>
          <w:szCs w:val="28"/>
          <w:lang w:val="ru-RU"/>
        </w:rPr>
        <w:t xml:space="preserve">ом, </w:t>
      </w:r>
      <w:proofErr w:type="gramStart"/>
      <w:r w:rsidR="00F35994">
        <w:rPr>
          <w:rFonts w:ascii="Times New Roman" w:hAnsi="Times New Roman" w:cs="Times New Roman"/>
          <w:sz w:val="28"/>
          <w:szCs w:val="28"/>
          <w:lang w:val="ru-RU"/>
        </w:rPr>
        <w:lastRenderedPageBreak/>
        <w:t>исходя из которого эта статья могла</w:t>
      </w:r>
      <w:proofErr w:type="gramEnd"/>
      <w:r w:rsidR="00F35994">
        <w:rPr>
          <w:rFonts w:ascii="Times New Roman" w:hAnsi="Times New Roman" w:cs="Times New Roman"/>
          <w:sz w:val="28"/>
          <w:szCs w:val="28"/>
          <w:lang w:val="ru-RU"/>
        </w:rPr>
        <w:t xml:space="preserve"> бы применяться только </w:t>
      </w:r>
      <w:r w:rsidRPr="002324F5">
        <w:rPr>
          <w:rFonts w:ascii="Times New Roman" w:hAnsi="Times New Roman" w:cs="Times New Roman"/>
          <w:sz w:val="28"/>
          <w:szCs w:val="28"/>
          <w:lang w:val="ru-RU"/>
        </w:rPr>
        <w:t xml:space="preserve">при отсутствии </w:t>
      </w:r>
      <w:r w:rsidR="00F35994">
        <w:rPr>
          <w:rFonts w:ascii="Times New Roman" w:hAnsi="Times New Roman" w:cs="Times New Roman"/>
          <w:sz w:val="28"/>
          <w:szCs w:val="28"/>
          <w:lang w:val="ru-RU"/>
        </w:rPr>
        <w:t>признаков другого преступления.</w:t>
      </w:r>
    </w:p>
    <w:sectPr w:rsidR="004E2CC6" w:rsidRPr="002324F5" w:rsidSect="001F6EF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324F5"/>
    <w:rsid w:val="001F6EF1"/>
    <w:rsid w:val="002324F5"/>
    <w:rsid w:val="00414EC5"/>
    <w:rsid w:val="004E2CC6"/>
    <w:rsid w:val="005272D2"/>
    <w:rsid w:val="007D1070"/>
    <w:rsid w:val="008309C5"/>
    <w:rsid w:val="00BA4F71"/>
    <w:rsid w:val="00F35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5544</Words>
  <Characters>3161</Characters>
  <Application>Microsoft Office Word</Application>
  <DocSecurity>0</DocSecurity>
  <Lines>26</Lines>
  <Paragraphs>17</Paragraphs>
  <ScaleCrop>false</ScaleCrop>
  <Company>Microsoft</Company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2015-01-28T20:25:00Z</dcterms:created>
  <dcterms:modified xsi:type="dcterms:W3CDTF">2015-01-28T20:25:00Z</dcterms:modified>
</cp:coreProperties>
</file>