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spacing w:lineRule="auto" w:line="276" w:before="0" w:after="20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МІНІСТЕРСТВО ОСВІТИ І НАУКИ УКРАЇНИ</w:t>
      </w:r>
    </w:p>
    <w:p>
      <w:pPr>
        <w:pStyle w:val="Normal"/>
        <w:widowControl w:val="false"/>
        <w:spacing w:lineRule="auto" w:line="276" w:before="0" w:after="20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НАЦІОНАЛЬНИЙ УНІВЕРСИТЕТ</w:t>
      </w:r>
    </w:p>
    <w:p>
      <w:pPr>
        <w:pStyle w:val="Normal"/>
        <w:widowControl w:val="false"/>
        <w:spacing w:lineRule="auto" w:line="276" w:before="0" w:after="20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«ОДЕСЬКА ЮРИДИЧНА АКАДЕМІЯ»</w:t>
      </w:r>
    </w:p>
    <w:p>
      <w:pPr>
        <w:pStyle w:val="Normal"/>
        <w:widowControl w:val="false"/>
        <w:spacing w:lineRule="auto" w:line="276" w:before="0" w:after="20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КАФЕДРА КІБЕРБЕЗПЕКИ</w:t>
      </w:r>
    </w:p>
    <w:p>
      <w:pPr>
        <w:pStyle w:val="Normal"/>
        <w:widowControl w:val="false"/>
        <w:spacing w:lineRule="auto" w:line="276" w:before="0" w:after="20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Василенко М. Д., Слатвінська В.М.</w:t>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i/>
          <w:i/>
          <w:sz w:val="32"/>
          <w:szCs w:val="32"/>
        </w:rPr>
      </w:pPr>
      <w:r>
        <w:rPr>
          <w:rFonts w:eastAsia="Times New Roman" w:cs="Times New Roman" w:ascii="Times New Roman" w:hAnsi="Times New Roman"/>
          <w:i/>
          <w:sz w:val="32"/>
          <w:szCs w:val="32"/>
        </w:rPr>
      </w:r>
    </w:p>
    <w:p>
      <w:pPr>
        <w:pStyle w:val="Normal"/>
        <w:widowControl w:val="false"/>
        <w:spacing w:lineRule="auto" w:line="240" w:before="0" w:after="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widowControl w:val="false"/>
        <w:spacing w:lineRule="auto" w:line="240" w:before="0" w:after="0"/>
        <w:jc w:val="center"/>
        <w:rPr>
          <w:rFonts w:ascii="Times New Roman" w:hAnsi="Times New Roman" w:eastAsia="Times New Roman" w:cs="Times New Roman"/>
          <w:b/>
          <w:b/>
          <w:smallCaps/>
          <w:sz w:val="32"/>
          <w:szCs w:val="32"/>
        </w:rPr>
      </w:pPr>
      <w:r>
        <w:rPr>
          <w:rFonts w:eastAsia="Times New Roman" w:cs="Times New Roman" w:ascii="Times New Roman" w:hAnsi="Times New Roman"/>
          <w:b/>
          <w:smallCaps/>
          <w:sz w:val="32"/>
          <w:szCs w:val="32"/>
        </w:rPr>
        <w:t>АДМІНІСТРУВАННЯ ТА ЗАХИСТ БАЗ ТА СХОВИЩ ДАНИХ</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highlight w:val="yellow"/>
        </w:rPr>
      </w:pPr>
      <w:r>
        <w:rPr>
          <w:rFonts w:eastAsia="Times New Roman" w:cs="Times New Roman" w:ascii="Times New Roman" w:hAnsi="Times New Roman"/>
          <w:sz w:val="32"/>
          <w:szCs w:val="32"/>
        </w:rPr>
        <w:t>МЕТОДИЧНІ ВКАЗІВКИ</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(для бакалаврів галузі знань 12 «Інформаційні технології», спеціальності 121 «Інженерія програмного забезпечення» факультету кібербезпеки та інформаційних технологій)</w:t>
      </w:r>
    </w:p>
    <w:p>
      <w:pPr>
        <w:pStyle w:val="Normal"/>
        <w:widowControl w:val="false"/>
        <w:spacing w:lineRule="auto" w:line="240" w:before="0" w:after="0"/>
        <w:ind w:firstLine="680"/>
        <w:jc w:val="center"/>
        <w:rPr>
          <w:rFonts w:ascii="Times New Roman" w:hAnsi="Times New Roman" w:eastAsia="Times New Roman" w:cs="Times New Roman"/>
          <w:i/>
          <w:i/>
          <w:sz w:val="32"/>
          <w:szCs w:val="32"/>
        </w:rPr>
      </w:pPr>
      <w:r>
        <w:rPr>
          <w:rFonts w:eastAsia="Times New Roman" w:cs="Times New Roman" w:ascii="Times New Roman" w:hAnsi="Times New Roman"/>
          <w:i/>
          <w:sz w:val="32"/>
          <w:szCs w:val="32"/>
        </w:rPr>
      </w:r>
    </w:p>
    <w:p>
      <w:pPr>
        <w:pStyle w:val="Normal"/>
        <w:widowControl w:val="false"/>
        <w:spacing w:lineRule="auto" w:line="240" w:before="0" w:after="0"/>
        <w:ind w:firstLine="68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Одеса</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2024</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rPr>
          <w:rFonts w:ascii="Times New Roman" w:hAnsi="Times New Roman" w:eastAsia="Times New Roman" w:cs="Times New Roman"/>
          <w:sz w:val="28"/>
          <w:szCs w:val="28"/>
        </w:rPr>
      </w:pPr>
      <w:r>
        <w:rPr>
          <w:rFonts w:eastAsia="Times New Roman" w:cs="Times New Roman" w:ascii="Times New Roman" w:hAnsi="Times New Roman"/>
          <w:sz w:val="28"/>
          <w:szCs w:val="28"/>
        </w:rPr>
      </w:r>
      <w:r>
        <w:br w:type="page"/>
      </w:r>
    </w:p>
    <w:p>
      <w:pPr>
        <w:pStyle w:val="Normal"/>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УДК 004.056.5:004.056.56</w:t>
      </w:r>
    </w:p>
    <w:p>
      <w:pPr>
        <w:pStyle w:val="Normal"/>
        <w:spacing w:lineRule="auto" w:line="240" w:before="0" w:after="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 xml:space="preserve">Рекомендовано навчально-методичною радою Національного університету «Одеська юридична академія» </w:t>
      </w:r>
    </w:p>
    <w:p>
      <w:pPr>
        <w:pStyle w:val="Normal"/>
        <w:spacing w:lineRule="auto" w:line="240" w:before="0" w:after="0"/>
        <w:jc w:val="center"/>
        <w:rPr>
          <w:rFonts w:ascii="Times New Roman" w:hAnsi="Times New Roman" w:eastAsia="Times New Roman" w:cs="Times New Roman"/>
          <w:sz w:val="28"/>
          <w:szCs w:val="28"/>
          <w:highlight w:val="yellow"/>
        </w:rPr>
      </w:pPr>
      <w:r>
        <w:rPr>
          <w:rFonts w:eastAsia="Times New Roman" w:cs="Times New Roman" w:ascii="Times New Roman" w:hAnsi="Times New Roman"/>
          <w:b/>
          <w:color w:val="000000"/>
          <w:sz w:val="28"/>
          <w:szCs w:val="28"/>
        </w:rPr>
        <w:t xml:space="preserve">(протокол № </w:t>
      </w:r>
      <w:r>
        <w:rPr>
          <w:rFonts w:eastAsia="Times New Roman" w:cs="Times New Roman" w:ascii="Times New Roman" w:hAnsi="Times New Roman"/>
          <w:b/>
          <w:sz w:val="28"/>
          <w:szCs w:val="28"/>
        </w:rPr>
        <w:t>5</w:t>
      </w:r>
      <w:r>
        <w:rPr>
          <w:rFonts w:eastAsia="Times New Roman" w:cs="Times New Roman" w:ascii="Times New Roman" w:hAnsi="Times New Roman"/>
          <w:b/>
          <w:color w:val="000000"/>
          <w:sz w:val="28"/>
          <w:szCs w:val="28"/>
        </w:rPr>
        <w:t xml:space="preserve"> від </w:t>
      </w:r>
      <w:r>
        <w:rPr>
          <w:rFonts w:eastAsia="Times New Roman" w:cs="Times New Roman" w:ascii="Times New Roman" w:hAnsi="Times New Roman"/>
          <w:b/>
          <w:sz w:val="28"/>
          <w:szCs w:val="28"/>
        </w:rPr>
        <w:t>21</w:t>
      </w:r>
      <w:r>
        <w:rPr>
          <w:rFonts w:eastAsia="Times New Roman" w:cs="Times New Roman" w:ascii="Times New Roman" w:hAnsi="Times New Roman"/>
          <w:b/>
          <w:color w:val="000000"/>
          <w:sz w:val="28"/>
          <w:szCs w:val="28"/>
        </w:rPr>
        <w:t>.0</w:t>
      </w:r>
      <w:r>
        <w:rPr>
          <w:rFonts w:eastAsia="Times New Roman" w:cs="Times New Roman" w:ascii="Times New Roman" w:hAnsi="Times New Roman"/>
          <w:b/>
          <w:sz w:val="28"/>
          <w:szCs w:val="28"/>
        </w:rPr>
        <w:t>2</w:t>
      </w:r>
      <w:r>
        <w:rPr>
          <w:rFonts w:eastAsia="Times New Roman" w:cs="Times New Roman" w:ascii="Times New Roman" w:hAnsi="Times New Roman"/>
          <w:b/>
          <w:color w:val="000000"/>
          <w:sz w:val="28"/>
          <w:szCs w:val="28"/>
        </w:rPr>
        <w:t>.2024 р.)</w:t>
      </w:r>
    </w:p>
    <w:p>
      <w:pPr>
        <w:pStyle w:val="Normal"/>
        <w:spacing w:lineRule="auto" w:line="240" w:before="0" w:after="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lineRule="auto" w:line="240" w:before="0" w:after="0"/>
        <w:jc w:val="both"/>
        <w:rPr>
          <w:rFonts w:ascii="Times New Roman" w:hAnsi="Times New Roman" w:eastAsia="Times New Roman" w:cs="Times New Roman"/>
          <w:b/>
          <w:b/>
          <w:sz w:val="28"/>
          <w:szCs w:val="28"/>
          <w:highlight w:val="yellow"/>
        </w:rPr>
      </w:pPr>
      <w:r>
        <w:rPr>
          <w:rFonts w:eastAsia="Times New Roman" w:cs="Times New Roman" w:ascii="Times New Roman" w:hAnsi="Times New Roman"/>
          <w:b/>
          <w:sz w:val="28"/>
          <w:szCs w:val="28"/>
        </w:rPr>
        <w:t>Розробники:</w:t>
      </w:r>
    </w:p>
    <w:p>
      <w:pPr>
        <w:pStyle w:val="Normal"/>
        <w:spacing w:lineRule="auto" w:line="240" w:before="0" w:after="0"/>
        <w:jc w:val="both"/>
        <w:rPr>
          <w:rFonts w:ascii="Times New Roman" w:hAnsi="Times New Roman" w:eastAsia="Times New Roman" w:cs="Times New Roman"/>
          <w:sz w:val="28"/>
          <w:szCs w:val="28"/>
          <w:highlight w:val="yellow"/>
        </w:rPr>
      </w:pPr>
      <w:r>
        <w:rPr>
          <w:rFonts w:eastAsia="Times New Roman" w:cs="Times New Roman" w:ascii="Times New Roman" w:hAnsi="Times New Roman"/>
          <w:b/>
          <w:sz w:val="28"/>
          <w:szCs w:val="28"/>
        </w:rPr>
        <w:t>Василенко М. Д.</w:t>
      </w:r>
      <w:r>
        <w:rPr>
          <w:rFonts w:eastAsia="Times New Roman" w:cs="Times New Roman" w:ascii="Times New Roman" w:hAnsi="Times New Roman"/>
          <w:sz w:val="28"/>
          <w:szCs w:val="28"/>
        </w:rPr>
        <w:t xml:space="preserve"> -  доктор фізико-математичних наук, професор, професор кафедри кібербезпеки Національного університету «Одеська юридична академія», ORCID iD: </w:t>
      </w:r>
      <w:hyperlink r:id="rId2">
        <w:r>
          <w:rPr>
            <w:rFonts w:eastAsia="Times New Roman" w:cs="Times New Roman" w:ascii="Times New Roman" w:hAnsi="Times New Roman"/>
            <w:sz w:val="28"/>
            <w:szCs w:val="28"/>
          </w:rPr>
          <w:t>https://orcid.org/0000-0002-8555-5712</w:t>
        </w:r>
      </w:hyperlink>
      <w:r>
        <w:rPr>
          <w:rFonts w:eastAsia="Times New Roman" w:cs="Times New Roman" w:ascii="Times New Roman" w:hAnsi="Times New Roman"/>
          <w:sz w:val="28"/>
          <w:szCs w:val="28"/>
        </w:rPr>
        <w:t>;</w:t>
      </w:r>
    </w:p>
    <w:p>
      <w:pPr>
        <w:pStyle w:val="Normal"/>
        <w:spacing w:lineRule="auto" w:line="240" w:before="0" w:after="0"/>
        <w:jc w:val="both"/>
        <w:rPr>
          <w:rFonts w:ascii="Times New Roman" w:hAnsi="Times New Roman" w:eastAsia="Times New Roman" w:cs="Times New Roman"/>
          <w:sz w:val="28"/>
          <w:szCs w:val="28"/>
          <w:highlight w:val="yellow"/>
        </w:rPr>
      </w:pPr>
      <w:r>
        <w:rPr>
          <w:rFonts w:eastAsia="Times New Roman" w:cs="Times New Roman" w:ascii="Times New Roman" w:hAnsi="Times New Roman"/>
          <w:b/>
          <w:sz w:val="28"/>
          <w:szCs w:val="28"/>
        </w:rPr>
        <w:t xml:space="preserve">Слатвінська В. М. - </w:t>
      </w:r>
      <w:r>
        <w:rPr>
          <w:rFonts w:eastAsia="Times New Roman" w:cs="Times New Roman" w:ascii="Times New Roman" w:hAnsi="Times New Roman"/>
          <w:sz w:val="28"/>
          <w:szCs w:val="28"/>
        </w:rPr>
        <w:t xml:space="preserve">асистент кафедри кібербезпеки Національного університету «Одеська юридична академія», ORCID iD: </w:t>
      </w:r>
      <w:hyperlink r:id="rId3">
        <w:r>
          <w:rPr>
            <w:rFonts w:eastAsia="Times New Roman" w:cs="Times New Roman" w:ascii="Times New Roman" w:hAnsi="Times New Roman"/>
            <w:sz w:val="28"/>
            <w:szCs w:val="28"/>
          </w:rPr>
          <w:t>https://orcid.org/0000-0002-6082-981X</w:t>
        </w:r>
      </w:hyperlink>
      <w:r>
        <w:rPr>
          <w:rFonts w:eastAsia="Times New Roman" w:cs="Times New Roman" w:ascii="Times New Roman" w:hAnsi="Times New Roman"/>
          <w:sz w:val="28"/>
          <w:szCs w:val="28"/>
        </w:rPr>
        <w:t>;</w:t>
      </w:r>
    </w:p>
    <w:p>
      <w:pPr>
        <w:pStyle w:val="Normal"/>
        <w:spacing w:lineRule="auto" w:line="240" w:before="0" w:after="0"/>
        <w:jc w:val="both"/>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Рецензенти:</w:t>
      </w:r>
    </w:p>
    <w:p>
      <w:pPr>
        <w:pStyle w:val="Normal"/>
        <w:spacing w:lineRule="auto" w:line="240" w:before="0" w:after="0"/>
        <w:jc w:val="both"/>
        <w:rPr>
          <w:rFonts w:ascii="Times New Roman" w:hAnsi="Times New Roman" w:eastAsia="Times New Roman" w:cs="Times New Roman"/>
          <w:color w:val="000000"/>
          <w:sz w:val="28"/>
          <w:szCs w:val="28"/>
        </w:rPr>
      </w:pPr>
      <w:bookmarkStart w:id="0" w:name="bookmark=id.30j0zll"/>
      <w:bookmarkEnd w:id="0"/>
      <w:r>
        <w:rPr>
          <w:rFonts w:eastAsia="Times New Roman" w:cs="Times New Roman" w:ascii="Times New Roman" w:hAnsi="Times New Roman"/>
          <w:b/>
          <w:color w:val="000000"/>
          <w:sz w:val="28"/>
          <w:szCs w:val="28"/>
        </w:rPr>
        <w:t xml:space="preserve">Тупкало В.М. –  </w:t>
      </w:r>
      <w:r>
        <w:rPr>
          <w:rFonts w:eastAsia="Times New Roman" w:cs="Times New Roman" w:ascii="Times New Roman" w:hAnsi="Times New Roman"/>
          <w:color w:val="000000"/>
          <w:sz w:val="28"/>
          <w:szCs w:val="28"/>
        </w:rPr>
        <w:t>доктор технічних наук, професор, завідувач кафедри менеджменту та інформаційних технологій Інституту інтелектуальної власності та права Національного університету «Одеська юридична академія», м. Київ</w:t>
      </w:r>
    </w:p>
    <w:p>
      <w:pPr>
        <w:pStyle w:val="Normal"/>
        <w:spacing w:lineRule="auto" w:line="240" w:before="0" w:after="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 xml:space="preserve">Логінова Н.І. – </w:t>
      </w:r>
      <w:r>
        <w:rPr>
          <w:rFonts w:eastAsia="Times New Roman" w:cs="Times New Roman" w:ascii="Times New Roman" w:hAnsi="Times New Roman"/>
          <w:color w:val="000000"/>
          <w:sz w:val="28"/>
          <w:szCs w:val="28"/>
        </w:rPr>
        <w:t>кандидат педагогічних наук, доцент, завідувачка кафедри інформаційних технологій Національного університету «Одеська юридична академія»</w:t>
      </w:r>
    </w:p>
    <w:p>
      <w:pPr>
        <w:pStyle w:val="Normal"/>
        <w:spacing w:lineRule="auto" w:line="240"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spacing w:lineRule="auto" w:line="240" w:before="0" w:after="0"/>
        <w:ind w:firstLine="567"/>
        <w:jc w:val="both"/>
        <w:rPr>
          <w:rFonts w:ascii="Times New Roman" w:hAnsi="Times New Roman" w:eastAsia="Times New Roman" w:cs="Times New Roman"/>
          <w:color w:val="FF0000"/>
          <w:sz w:val="28"/>
          <w:szCs w:val="28"/>
        </w:rPr>
      </w:pPr>
      <w:r>
        <w:rPr>
          <w:rFonts w:eastAsia="Times New Roman" w:cs="Times New Roman" w:ascii="Times New Roman" w:hAnsi="Times New Roman"/>
          <w:color w:val="000000"/>
          <w:sz w:val="28"/>
          <w:szCs w:val="28"/>
        </w:rPr>
        <w:t>Адміністрування та захист баз та сховищ даних: методичні вказівки</w:t>
      </w:r>
      <w:r>
        <w:rPr>
          <w:rFonts w:eastAsia="Times New Roman" w:cs="Times New Roman" w:ascii="Times New Roman" w:hAnsi="Times New Roman"/>
          <w:sz w:val="28"/>
          <w:szCs w:val="28"/>
        </w:rPr>
        <w:t xml:space="preserve"> (для бакалаврів галузі знань 12 «Інформаційні технології», спеціальності 121 «Інженерія програмного забезпечення» факультету кібербезпеки та інформаційних технологій)</w:t>
      </w:r>
      <w:r>
        <w:rPr>
          <w:rFonts w:eastAsia="Times New Roman" w:cs="Times New Roman" w:ascii="Times New Roman" w:hAnsi="Times New Roman"/>
          <w:color w:val="000000"/>
          <w:sz w:val="28"/>
          <w:szCs w:val="28"/>
        </w:rPr>
        <w:t xml:space="preserve"> [Електронне видання] / М.Д. Василенко,</w:t>
      </w:r>
      <w:r>
        <w:rPr/>
        <w:t xml:space="preserve"> </w:t>
      </w:r>
      <w:r>
        <w:rPr>
          <w:rFonts w:eastAsia="Times New Roman" w:cs="Times New Roman" w:ascii="Times New Roman" w:hAnsi="Times New Roman"/>
          <w:color w:val="000000"/>
          <w:sz w:val="28"/>
          <w:szCs w:val="28"/>
        </w:rPr>
        <w:t>В.М. Слатвінська; кафедра кібербезпеки НУ «Одеська юридична академія». - Одеса</w:t>
      </w:r>
      <w:r>
        <w:rPr>
          <w:rFonts w:eastAsia="Times New Roman" w:cs="Times New Roman" w:ascii="Times New Roman" w:hAnsi="Times New Roman"/>
          <w:sz w:val="28"/>
          <w:szCs w:val="28"/>
        </w:rPr>
        <w:t>,</w:t>
      </w:r>
      <w:r>
        <w:rPr>
          <w:rFonts w:eastAsia="Times New Roman" w:cs="Times New Roman" w:ascii="Times New Roman" w:hAnsi="Times New Roman"/>
          <w:color w:val="000000"/>
          <w:sz w:val="28"/>
          <w:szCs w:val="28"/>
        </w:rPr>
        <w:t xml:space="preserve"> 2024. - 36 с. - Режим доступу: </w:t>
      </w:r>
      <w:r>
        <w:rPr>
          <w:rFonts w:eastAsia="Times New Roman" w:cs="Times New Roman" w:ascii="Times New Roman" w:hAnsi="Times New Roman"/>
          <w:color w:val="000000"/>
          <w:sz w:val="28"/>
          <w:szCs w:val="28"/>
        </w:rPr>
        <w:t xml:space="preserve">https://hdl.handle.net/11300/27678 </w:t>
      </w:r>
    </w:p>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spacing w:lineRule="auto" w:line="240" w:before="0" w:after="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М</w:t>
      </w:r>
      <w:r>
        <w:rPr>
          <w:rFonts w:eastAsia="Times New Roman" w:cs="Times New Roman" w:ascii="Times New Roman" w:hAnsi="Times New Roman"/>
          <w:color w:val="000000"/>
          <w:sz w:val="24"/>
          <w:szCs w:val="24"/>
        </w:rPr>
        <w:t xml:space="preserve">етодичні вказівки з курсу «Адміністрування та захист баз та сховищ даних» розроблено відповідно до навчального плану, вони складаються з навчальної програми курсу, методичних рекомендацій із проведення практичних занять, питань для самоконтролю, завдань для самостійної роботи, </w:t>
      </w:r>
      <w:r>
        <w:rPr>
          <w:rFonts w:eastAsia="Times New Roman" w:cs="Times New Roman" w:ascii="Times New Roman" w:hAnsi="Times New Roman"/>
          <w:sz w:val="24"/>
          <w:szCs w:val="24"/>
        </w:rPr>
        <w:t>переліку рекомендованих джерел</w:t>
      </w:r>
      <w:r>
        <w:rPr>
          <w:rFonts w:eastAsia="Times New Roman" w:cs="Times New Roman" w:ascii="Times New Roman" w:hAnsi="Times New Roman"/>
          <w:color w:val="FF0000"/>
          <w:sz w:val="24"/>
          <w:szCs w:val="24"/>
        </w:rPr>
        <w:t>.</w:t>
      </w:r>
      <w:r>
        <w:rPr>
          <w:rFonts w:eastAsia="Times New Roman" w:cs="Times New Roman" w:ascii="Times New Roman" w:hAnsi="Times New Roman"/>
          <w:color w:val="000000"/>
          <w:sz w:val="24"/>
          <w:szCs w:val="24"/>
        </w:rPr>
        <w:t xml:space="preserve"> Вивчення дисципліни «Адміністрування та захист баз та сховищ даних» надасть знання і навички </w:t>
      </w:r>
      <w:r>
        <w:rPr>
          <w:rFonts w:eastAsia="Times New Roman" w:cs="Times New Roman" w:ascii="Times New Roman" w:hAnsi="Times New Roman"/>
          <w:sz w:val="24"/>
          <w:szCs w:val="24"/>
        </w:rPr>
        <w:t xml:space="preserve">здобувачам </w:t>
      </w:r>
      <w:r>
        <w:rPr>
          <w:rFonts w:eastAsia="Times New Roman" w:cs="Times New Roman" w:ascii="Times New Roman" w:hAnsi="Times New Roman"/>
          <w:color w:val="000000"/>
          <w:sz w:val="24"/>
          <w:szCs w:val="24"/>
        </w:rPr>
        <w:t>щодо ефективного управління базами даних, забезпечення їх безпеки, вчасного резервного копіювання та відновлення даних.</w:t>
      </w:r>
    </w:p>
    <w:p>
      <w:pPr>
        <w:pStyle w:val="Normal"/>
        <w:spacing w:lineRule="auto" w:line="240" w:before="0" w:after="0"/>
        <w:ind w:firstLine="720"/>
        <w:jc w:val="both"/>
        <w:rPr>
          <w:rFonts w:ascii="Times New Roman" w:hAnsi="Times New Roman" w:eastAsia="Times New Roman" w:cs="Times New Roman"/>
          <w:sz w:val="24"/>
          <w:szCs w:val="24"/>
        </w:rPr>
      </w:pPr>
      <w:r>
        <w:rPr>
          <w:rFonts w:eastAsia="Times New Roman" w:cs="Times New Roman" w:ascii="Times New Roman" w:hAnsi="Times New Roman"/>
          <w:color w:val="000000"/>
          <w:sz w:val="24"/>
          <w:szCs w:val="24"/>
        </w:rPr>
        <w:t xml:space="preserve">Матеріали призначені для </w:t>
      </w:r>
      <w:r>
        <w:rPr>
          <w:rFonts w:eastAsia="Times New Roman" w:cs="Times New Roman" w:ascii="Times New Roman" w:hAnsi="Times New Roman"/>
          <w:sz w:val="24"/>
          <w:szCs w:val="24"/>
        </w:rPr>
        <w:t xml:space="preserve">здобувачів </w:t>
      </w:r>
      <w:r>
        <w:rPr>
          <w:rFonts w:eastAsia="Times New Roman" w:cs="Times New Roman" w:ascii="Times New Roman" w:hAnsi="Times New Roman"/>
          <w:color w:val="000000"/>
          <w:sz w:val="24"/>
          <w:szCs w:val="24"/>
        </w:rPr>
        <w:t>факультету кібербезпеки та інформаційних технологій Національного університету «Одеська юридична академія», які навчаються за спеціальністю 121 «Інженерія програмного забезпечення».</w:t>
      </w:r>
      <w:bookmarkStart w:id="1" w:name="bookmark=id.1fob9te"/>
      <w:bookmarkEnd w:id="1"/>
    </w:p>
    <w:p>
      <w:pPr>
        <w:pStyle w:val="Normal"/>
        <w:spacing w:lineRule="auto" w:line="240" w:before="0" w:after="0"/>
        <w:jc w:val="right"/>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lineRule="auto" w:line="240" w:before="0" w:after="0"/>
        <w:jc w:val="right"/>
        <w:rPr>
          <w:rFonts w:ascii="Times New Roman" w:hAnsi="Times New Roman" w:eastAsia="Times New Roman" w:cs="Times New Roman"/>
          <w:b/>
          <w:b/>
          <w:sz w:val="28"/>
          <w:szCs w:val="28"/>
        </w:rPr>
      </w:pPr>
      <w:r>
        <w:rPr>
          <w:rFonts w:eastAsia="Times New Roman" w:cs="Times New Roman" w:ascii="Times New Roman" w:hAnsi="Times New Roman"/>
          <w:b/>
          <w:color w:val="000000"/>
          <w:sz w:val="28"/>
          <w:szCs w:val="28"/>
        </w:rPr>
        <w:t xml:space="preserve">УДК 004.056.5:004.056.56 </w:t>
      </w:r>
    </w:p>
    <w:p>
      <w:pPr>
        <w:pStyle w:val="Normal"/>
        <w:jc w:val="right"/>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t>© Василенко М. Д., Слатвінська В.М. 2024</w:t>
      </w:r>
    </w:p>
    <w:p>
      <w:pPr>
        <w:pStyle w:val="Normal"/>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ОПИС НАВЧАЛЬНОЇ ДИСЦИПЛІНИ</w:t>
      </w:r>
    </w:p>
    <w:p>
      <w:pPr>
        <w:pStyle w:val="Normal"/>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Навчальна дисципліна «Адміністрування та захист баз та сховищ даних» призначена для здобувачів, що навчаються за освітньо-кваліфікаційним рівнем «бакалавр».</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Міждисциплінарні зв’язки. Методологічну основу дисципліни «Адміністрування та захист баз та сховищ даних» складають дисципліни «Алгоритми та структури даних», «Бази даних», «Технології захисту інформації», «Поглиблене вивчення БД», «Бази даних сімейства NoSQL», «3D моделювання», «Програмування баз даних», «Документо-орієнтовані бази даних» та інші. В числі інших ця дисципліна є підґрунтям для успішного виконання випускної кваліфікаційної роботи.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Вивчаються методи управління та захисту баз даних і сховищ інформації. Здобувачі ознайомлюються з основними принципами адміністрування баз даних, методами забезпечення їх безпеки, резервного копіювання та відновлення даних, а також засобами моніторингу та оптимізації роботи баз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Опанування дисципліни «Адміністрування та захист баз та сховищ даних» передбачає засвоювання матеріалу лекцій, проведення практичних занять, консультацій, самостійної роботи та заліку.</w:t>
      </w:r>
    </w:p>
    <w:p>
      <w:pPr>
        <w:pStyle w:val="Normal"/>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ЗАПЛАНОВАНІ РЕЗУЛЬТАТИ НАВЧАННЯ</w:t>
      </w:r>
    </w:p>
    <w:p>
      <w:pPr>
        <w:pStyle w:val="Normal"/>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Мета</w:t>
      </w:r>
      <w:r>
        <w:rPr>
          <w:rFonts w:eastAsia="Times New Roman" w:cs="Times New Roman" w:ascii="Times New Roman" w:hAnsi="Times New Roman"/>
          <w:sz w:val="28"/>
          <w:szCs w:val="28"/>
        </w:rPr>
        <w:t xml:space="preserve"> навчальної дисципліни "Адміністрування та захист баз та сховищ даних" полягає в тому, щоб підготувати здобувачів до професійної діяльності в галузі управління та захисту баз даних. Завдання включають опанування здобувачами основними принципами адміністрування баз даних, навичками забезпечення їх безпеки, резервним копіюванням та відновленням даних, а також засобами моніторингу та оптимізації роботи баз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Завдання навчальної дисципліни "Адміністрування та захист баз та сховищ даних" полягає у набутті практичних навичок ефективного управління базами даних, забезпечення їх безпеки, вчасного резервного копіювання та відновлення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Згідно з вимогами освітньо-професійної програми здобувачі повинні:</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знати:</w:t>
      </w:r>
      <w:r>
        <w:rPr>
          <w:rFonts w:eastAsia="Times New Roman" w:cs="Times New Roman" w:ascii="Times New Roman" w:hAnsi="Times New Roman"/>
          <w:sz w:val="28"/>
          <w:szCs w:val="28"/>
        </w:rPr>
        <w:t xml:space="preserve"> </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математичні поняття, методи доменного, системного і об’єктно-орієнтованого аналізу та математичного моделювання для розробки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професійні стандарти і інші нормативно-правові документи в галузі інженерії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інформаційні технології обробки, зберігання та передачі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w:t>
      </w:r>
      <w:r>
        <w:rPr>
          <w:rFonts w:eastAsia="Times New Roman" w:cs="Times New Roman" w:ascii="Times New Roman" w:hAnsi="Times New Roman"/>
          <w:sz w:val="28"/>
          <w:szCs w:val="28"/>
        </w:rPr>
        <w:t>засоби забезпечення інформаційної безпеки (в тому числі кібербезпеки) і цілісності даних відповідно до розв'язуваних прикладних завдань та створюваних програмних систем;</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Normal"/>
        <w:spacing w:lineRule="auto" w:line="360" w:before="0" w:after="0"/>
        <w:ind w:firstLine="709"/>
        <w:jc w:val="both"/>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вміти: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 xml:space="preserve">- </w:t>
      </w:r>
      <w:r>
        <w:rPr>
          <w:rFonts w:eastAsia="Times New Roman" w:cs="Times New Roman" w:ascii="Times New Roman" w:hAnsi="Times New Roman"/>
          <w:sz w:val="28"/>
          <w:szCs w:val="28"/>
        </w:rPr>
        <w:t>застосовувати інформаційні технології обробки, зберігання та передачі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аналізувати, вибирати, кваліфіковано застосовувати засоби забезпечення інформаційної безпеки (в тому числі кібербезпеки) і цілісності даних відповідно до розв'язуваних прикладних завдань та створюваних програмних систем;</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застосовувати на практиці інструментальні програмні засоби доменного аналізу, проектування, тестування, візуалізації, вимірювань та документування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застосовувати відповідні математичні поняття, методи доменного, системного і об’єктно-орієнтованого аналізу та математичного моделювання для розробки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застосовувати професійні стандарти і інші нормативно-правові документи в галузі інженерії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цілеспрямовано шукати і вибирати необхідні для вирішення професійних завдань інформаційно-довідникові ресурси і знання з урахуванням сучасних досягнень науки і техніки; </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ідентифікувати, класифікувати та формулювати вимоги до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розробляти архітектури, модулі та компоненти програмних систем;</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дотримуватися специфікацій, стандартів, правил і рекомендацій в професійній галузі при реалізації процесів життєвого циклу;</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аналізувати, вибирати і застосовувати методи і засоби для забезпечення інформаційної безпеки (в тому числі кібербезпеки);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застосовувати фундаментальні і міждисциплінарні знання для успішного розв’язання завдань інженерії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оцінювати і враховувати економічні, соціальні, технологічні та екологічні чинники, що впливають на сферу професійної діяльності;</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накопичувати, обробляти та систематизувати професійні знання щодо створення і супроводження програмного забезпечення та визнання важливості навчання протягом всього життя;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обґрунтовано обирати та освоювати інструментарій з розробки та супроводження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бути ознайомленими: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 необхідними для вирішення професійних завдань інформаційно-довідниковими ресурсами і знаннями з урахуванням сучасних досягнень науки і техніки.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709"/>
        <w:jc w:val="center"/>
        <w:rPr>
          <w:rFonts w:ascii="Times New Roman" w:hAnsi="Times New Roman" w:eastAsia="Times New Roman" w:cs="Times New Roman"/>
          <w:sz w:val="28"/>
          <w:szCs w:val="28"/>
        </w:rPr>
      </w:pPr>
      <w:r>
        <w:br w:type="column"/>
      </w:r>
      <w:r>
        <w:rPr>
          <w:rFonts w:eastAsia="Times New Roman" w:cs="Times New Roman" w:ascii="Times New Roman" w:hAnsi="Times New Roman"/>
          <w:b/>
          <w:sz w:val="32"/>
          <w:szCs w:val="32"/>
        </w:rPr>
        <w:t>СТРУКТУРА НАВЧАЛЬНОЇ ДИСЦИПЛІНИ</w:t>
      </w:r>
    </w:p>
    <w:p>
      <w:pPr>
        <w:pStyle w:val="Normal"/>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bl>
      <w:tblPr>
        <w:tblStyle w:val="af0"/>
        <w:tblW w:w="9039" w:type="dxa"/>
        <w:jc w:val="left"/>
        <w:tblInd w:w="-109" w:type="dxa"/>
        <w:tblCellMar>
          <w:top w:w="0" w:type="dxa"/>
          <w:left w:w="108" w:type="dxa"/>
          <w:bottom w:w="0" w:type="dxa"/>
          <w:right w:w="108" w:type="dxa"/>
        </w:tblCellMar>
        <w:tblLook w:firstRow="0" w:noVBand="1" w:lastRow="0" w:firstColumn="0" w:lastColumn="0" w:noHBand="0" w:val="0400"/>
      </w:tblPr>
      <w:tblGrid>
        <w:gridCol w:w="534"/>
        <w:gridCol w:w="3969"/>
        <w:gridCol w:w="1416"/>
        <w:gridCol w:w="1558"/>
        <w:gridCol w:w="1562"/>
      </w:tblGrid>
      <w:tr>
        <w:trPr>
          <w:trHeight w:val="637" w:hRule="atLeast"/>
        </w:trPr>
        <w:tc>
          <w:tcPr>
            <w:tcW w:w="534"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теми</w:t>
            </w:r>
          </w:p>
        </w:tc>
        <w:tc>
          <w:tcPr>
            <w:tcW w:w="396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Види занять</w:t>
            </w:r>
          </w:p>
        </w:tc>
        <w:tc>
          <w:tcPr>
            <w:tcW w:w="1416"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Лекційні</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заняття</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(год.)</w:t>
            </w:r>
          </w:p>
        </w:tc>
        <w:tc>
          <w:tcPr>
            <w:tcW w:w="1558"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Лабораторні</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заняття</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(год.)</w:t>
            </w:r>
          </w:p>
        </w:tc>
        <w:tc>
          <w:tcPr>
            <w:tcW w:w="1562"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Самостійна</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робота</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(год.)</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r>
          </w:p>
        </w:tc>
        <w:tc>
          <w:tcPr>
            <w:tcW w:w="396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Найменування теми</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очна</w:t>
            </w:r>
          </w:p>
        </w:tc>
        <w:tc>
          <w:tcPr>
            <w:tcW w:w="1558"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очна</w:t>
            </w:r>
          </w:p>
        </w:tc>
        <w:tc>
          <w:tcPr>
            <w:tcW w:w="1562"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очна</w:t>
            </w:r>
          </w:p>
        </w:tc>
      </w:tr>
      <w:tr>
        <w:trPr>
          <w:trHeight w:val="58" w:hRule="atLeast"/>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w:t>
            </w:r>
          </w:p>
        </w:tc>
        <w:tc>
          <w:tcPr>
            <w:tcW w:w="3969" w:type="dxa"/>
            <w:tcBorders>
              <w:top w:val="single" w:sz="4" w:space="0" w:color="000000"/>
              <w:bottom w:val="single" w:sz="4" w:space="0" w:color="000000"/>
              <w:right w:val="single" w:sz="4" w:space="0" w:color="000000"/>
            </w:tcBorders>
            <w:shd w:color="auto" w:fill="auto" w:val="clear"/>
            <w:vAlign w:val="center"/>
          </w:tcPr>
          <w:p>
            <w:pPr>
              <w:pStyle w:val="Normal"/>
              <w:spacing w:before="0" w:after="160"/>
              <w:rPr>
                <w:rFonts w:ascii="Times New Roman" w:hAnsi="Times New Roman" w:eastAsia="Times New Roman" w:cs="Times New Roman"/>
                <w:sz w:val="24"/>
                <w:szCs w:val="24"/>
              </w:rPr>
            </w:pPr>
            <w:r>
              <w:rPr>
                <w:rFonts w:eastAsia="Times New Roman" w:cs="Times New Roman" w:ascii="Times New Roman" w:hAnsi="Times New Roman"/>
              </w:rPr>
              <w:t>Конфігурація pgBouncer для пулінгу з'єднань до бази даних PostgreSQL</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2</w:t>
            </w:r>
          </w:p>
        </w:tc>
        <w:tc>
          <w:tcPr>
            <w:tcW w:w="1558"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62"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2</w:t>
            </w:r>
          </w:p>
        </w:tc>
        <w:tc>
          <w:tcPr>
            <w:tcW w:w="3969" w:type="dxa"/>
            <w:tcBorders>
              <w:top w:val="single" w:sz="4" w:space="0" w:color="000000"/>
              <w:bottom w:val="single" w:sz="4" w:space="0" w:color="000000"/>
              <w:right w:val="single" w:sz="4" w:space="0" w:color="000000"/>
            </w:tcBorders>
            <w:shd w:color="auto" w:fill="auto" w:val="clear"/>
            <w:vAlign w:val="center"/>
          </w:tcPr>
          <w:p>
            <w:pPr>
              <w:pStyle w:val="Normal"/>
              <w:spacing w:before="0" w:after="160"/>
              <w:jc w:val="both"/>
              <w:rPr>
                <w:rFonts w:ascii="Times New Roman" w:hAnsi="Times New Roman" w:eastAsia="Times New Roman" w:cs="Times New Roman"/>
                <w:sz w:val="24"/>
                <w:szCs w:val="24"/>
              </w:rPr>
            </w:pPr>
            <w:r>
              <w:rPr>
                <w:rFonts w:eastAsia="Times New Roman" w:cs="Times New Roman" w:ascii="Times New Roman" w:hAnsi="Times New Roman"/>
              </w:rPr>
              <w:t>Налаштування та використання Patroni для керування кластером PostgreSQL</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c>
          <w:tcPr>
            <w:tcW w:w="1558"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62"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3</w:t>
            </w:r>
          </w:p>
        </w:tc>
        <w:tc>
          <w:tcPr>
            <w:tcW w:w="3969" w:type="dxa"/>
            <w:tcBorders>
              <w:top w:val="single" w:sz="4" w:space="0" w:color="000000"/>
              <w:bottom w:val="single" w:sz="4" w:space="0" w:color="000000"/>
              <w:right w:val="single" w:sz="4" w:space="0" w:color="000000"/>
            </w:tcBorders>
            <w:shd w:color="auto" w:fill="auto" w:val="clear"/>
            <w:vAlign w:val="center"/>
          </w:tcPr>
          <w:p>
            <w:pPr>
              <w:pStyle w:val="Normal"/>
              <w:spacing w:before="0" w:after="160"/>
              <w:jc w:val="both"/>
              <w:rPr>
                <w:rFonts w:ascii="Times New Roman" w:hAnsi="Times New Roman" w:eastAsia="Times New Roman" w:cs="Times New Roman"/>
                <w:sz w:val="24"/>
                <w:szCs w:val="24"/>
              </w:rPr>
            </w:pPr>
            <w:r>
              <w:rPr>
                <w:rFonts w:eastAsia="Times New Roman" w:cs="Times New Roman" w:ascii="Times New Roman" w:hAnsi="Times New Roman"/>
              </w:rPr>
              <w:t>Налаштування та використання bgBadger при роботі з PostgreSQL</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c>
          <w:tcPr>
            <w:tcW w:w="1558"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62"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c>
          <w:tcPr>
            <w:tcW w:w="396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Всього:</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58"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30</w:t>
            </w:r>
          </w:p>
        </w:tc>
        <w:tc>
          <w:tcPr>
            <w:tcW w:w="1562"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80</w:t>
            </w:r>
          </w:p>
        </w:tc>
      </w:tr>
    </w:tbl>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ПРОГРАМА НАВЧАЛЬНОЇ ДИСЦИПЛІНИ</w:t>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1. Конфігурація pgBouncer для пулінгу з'єднань до бази даних PostgreSQL</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ind w:firstLine="567"/>
        <w:jc w:val="both"/>
        <w:rPr>
          <w:rFonts w:ascii="Times New Roman" w:hAnsi="Times New Roman" w:eastAsia="Times New Roman" w:cs="Times New Roman"/>
          <w:color w:val="1F1F1F"/>
          <w:sz w:val="28"/>
          <w:szCs w:val="28"/>
        </w:rPr>
      </w:pPr>
      <w:r>
        <w:rPr>
          <w:rFonts w:eastAsia="Times New Roman" w:cs="Times New Roman" w:ascii="Times New Roman" w:hAnsi="Times New Roman"/>
          <w:sz w:val="28"/>
          <w:szCs w:val="28"/>
        </w:rPr>
        <w:t>Переваги використання pgBouncer. Детальний огляд можливостей pgBouncer. Встановлення pgBouncer.</w:t>
      </w:r>
      <w:r>
        <w:rPr>
          <w:rFonts w:eastAsia="Arial" w:cs="Arial" w:ascii="Arial" w:hAnsi="Arial"/>
          <w:b/>
          <w:color w:val="1F1F1F"/>
          <w:sz w:val="27"/>
          <w:szCs w:val="27"/>
        </w:rPr>
        <w:t xml:space="preserve"> </w:t>
      </w:r>
      <w:r>
        <w:rPr>
          <w:rFonts w:eastAsia="Times New Roman" w:cs="Times New Roman" w:ascii="Times New Roman" w:hAnsi="Times New Roman"/>
          <w:color w:val="1F1F1F"/>
          <w:sz w:val="28"/>
          <w:szCs w:val="28"/>
        </w:rPr>
        <w:t>Залежності та системні вимоги. Налаштування PostgreSQL для роботи з pgBouncer.</w:t>
      </w:r>
      <w:r>
        <w:rPr>
          <w:rFonts w:eastAsia="Times New Roman" w:cs="Times New Roman" w:ascii="Times New Roman" w:hAnsi="Times New Roman"/>
          <w:b/>
          <w:sz w:val="32"/>
          <w:szCs w:val="32"/>
        </w:rPr>
        <w:t> </w:t>
      </w:r>
      <w:r>
        <w:rPr>
          <w:rFonts w:eastAsia="Times New Roman" w:cs="Times New Roman" w:ascii="Times New Roman" w:hAnsi="Times New Roman"/>
          <w:sz w:val="28"/>
          <w:szCs w:val="28"/>
        </w:rPr>
        <w:t>Конфігурація pgBouncer. Створення файлу конфігурації pgBouncer. Налаштування пулу з'єднань. Налаштування авторизації. Налаштування логування. Запуск та керування pgBouncer. Моніторинг стану пулу. Управління пулом з'єднань. Використання API pgBouncer. Розширені можливості pgBouncer. Налаштування pgBouncer для продакшн середовища. Офіційна документація pgBouncer.</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2. Налаштування та використання Patroni для керування кластером PostgreSQL</w:t>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Переваги використання Patroni. Детальний огляд можливостей Patroni. Завантаження та розпакування Patroni. Залежності та системні вимоги. Налаштування PostgreSQL для роботи з Patroni. Створення файлу конфігурації Patroni. Налаштування режиму роботи (master/standby). Налаштування параметрів HA (висока доступність). Налаштування авторизації. Моніторинг стану кластера. Управління режимом роботи (перемикання master/standby).  Використання API Patroni. Використання Sentinel для моніторингу кластера. Інтеграція з іншими інструментами моніторингу. Налаштування резервного копіювання даних. Автоматизація відновлення після відмов. Розгортання Patroni в кластері. Налаштування оповіщень. Забезпечення високої доступності. Резервне копіювання та відновлення даних. Офіційна документація Patroni.</w:t>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3.</w:t>
      </w:r>
      <w:r>
        <w:rPr/>
        <w:t xml:space="preserve"> </w:t>
      </w:r>
      <w:r>
        <w:rPr>
          <w:rFonts w:eastAsia="Times New Roman" w:cs="Times New Roman" w:ascii="Times New Roman" w:hAnsi="Times New Roman"/>
          <w:b/>
          <w:sz w:val="28"/>
          <w:szCs w:val="28"/>
        </w:rPr>
        <w:t>Налаштування та використання bgBadger при роботі з PostgreSQL</w:t>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Переваги використання bgBadger. Детальний огляд можливостей bgBadger. Встановлення bgBadger. Завантаження та розпакування bgBadger. Залежності та системні вимоги. Налаштування формату логування PostgreSQL. Базові команди bgBadger. Аналіз одного файлу журналу. Аналіз декількох файлів журналу. Налаштування параметрів bgBadger. Структура та опис звіту bgBadger. Аналіз показників продуктивності. Виявлення проблем та вузьких місць. Рекомендації щодо оптимізації. Використання фільтрів для фокусування на певних типах запитів. Візуалізація даних за допомогою графіків. Інтеграція з іншими інструментами моніторингу. Автоматизація запуску bgBadger. Створення звітів та їх налаштування. Налаштування оповіщень. Офіційна документація bgBadger. Форуми та спільноти PostgreSQL. Приклади використання bgBadger. Додаткові інструменти аналізу логів PostgreSQL.</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ТЕМИ ПРАКТИЧНИХ ЗАНЯТЬ</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1. Конфігурація pgBouncer для пулінгу з'єднань до бази даних PostgreSQL</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 Встановлення pgBouncer: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Завантажте та встановіть pgBouncer з офіційного сайту (https://www.pgbouncer.org/):</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Для Linux: sudo apt install libpq-dev postgresql-10-dev gcc make</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Для macOS: brew install pgBouncer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 Створення файлу конфігурації:</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Створіть файл pgbouncer.ini в каталозі /etc/pgbouncer/ або /usr/local/etc/pgbouncer/.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Додайте наступний текст до файлу:</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[databases]</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dbname = mydb</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user = postgres</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password = mypassword</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host = localhost</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port = 5432</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[listen]</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port = 6543</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listen_addr = *</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[pool]</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min_pool_size = 10</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max_pool_size = 20</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lifetime = 300</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userlist = postgres</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[logging]</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logfile = /var/log/pgbouncer.log</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loglevel = INFO</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dbname: Назва вашої бази даних PostgreSQL.</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user: Користувач PostgreSQL з доступом до бази даних.</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password: Пароль користувача PostgreSQL.</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host: Адреса сервера PostgreSQL.</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port: Порт PostgreSQL (за замовчуванням 5432).</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listen_port: Порт, на якому pgBouncer буде приймати запити (за замовчуванням 6543).</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listen_addr: Адреса, на якій pgBouncer буде приймати запити (за замовчуванням всі доступні інтерфейси).</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min_pool_size: Мінімальна кількість з'єднань в пулі.</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max_pool_size: Максимальна кількість з'єднань в пулі.</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lifetime: Час (в секундах), протягом якого з'єднання буде вважатися активним.</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userlist: Список користувачів PostgreSQL, які можуть використовувати пул з'єднань.</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logfile: Шлях до файлу журналу pgBouncer.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loglevel: Рівень ведення журналу (INFO, DEBUG, ERROR).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 Запуск pgBouncer: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Запустіть pgBouncer: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pgbouncer -d pgBouncer.ini</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 xml:space="preserve"> Для Linux: sudo systemctl start pgbouncer</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 xml:space="preserve"> Для macOS: launchctl load -w /Library/LaunchDaemons/com.pgbouncer.plist</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 Перевірка роботи:</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Перевірте, чи pgBouncer працює правильно:</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pgbouncer -i</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Використовуйте pgAdmin або інший клієнт PostgreSQL, щоб підключитися до бази даних через pgBouncer, використовуючи порт, який ви встановили (за замовчуванням 6543).</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pgbouncer -s - показує статистику пулу з'єднань.</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pgbouncer -d - показує детальну інформацію про з'єднання.</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 Додаткові налаштування:</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Ви можете налаштувати pgBouncer більш детально, додавши інші параметри до файлу конфігурації.</w:t>
      </w:r>
    </w:p>
    <w:p>
      <w:pPr>
        <w:pStyle w:val="Normal"/>
        <w:spacing w:lineRule="auto" w:line="24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r>
        <w:rPr>
          <w:rFonts w:eastAsia="Times New Roman" w:cs="Times New Roman" w:ascii="Times New Roman" w:hAnsi="Times New Roman"/>
          <w:sz w:val="28"/>
          <w:szCs w:val="28"/>
        </w:rPr>
        <w:tab/>
        <w:t>Детальну інформацію про всі параметри pgBouncer можна знайти в документації (https://www.pgbouncer.org/):</w:t>
      </w:r>
    </w:p>
    <w:p>
      <w:pPr>
        <w:pStyle w:val="Normal"/>
        <w:widowControl w:val="false"/>
        <w:spacing w:before="0" w:after="0"/>
        <w:ind w:left="720" w:hanging="0"/>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Література:</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Основна:</w:t>
      </w:r>
      <w:r>
        <w:rPr>
          <w:rFonts w:eastAsia="Times New Roman" w:cs="Times New Roman" w:ascii="Times New Roman" w:hAnsi="Times New Roman"/>
          <w:sz w:val="28"/>
          <w:szCs w:val="28"/>
        </w:rPr>
        <w:t>1-18</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Допоміжна:</w:t>
      </w:r>
      <w:r>
        <w:rPr>
          <w:rFonts w:eastAsia="Times New Roman" w:cs="Times New Roman" w:ascii="Times New Roman" w:hAnsi="Times New Roman"/>
          <w:sz w:val="28"/>
          <w:szCs w:val="28"/>
        </w:rPr>
        <w:t>1-15</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 xml:space="preserve">Тема 2. Налаштування та використання Patroni для керування кластером PostgreSQL </w:t>
      </w:r>
    </w:p>
    <w:p>
      <w:pPr>
        <w:pStyle w:val="Normal"/>
        <w:widowControl w:val="false"/>
        <w:spacing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 Встановлення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Для Linux:</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w:t>
        <w:tab/>
        <w:t>Завантажте Patroni з репозиторію GitHub (https://github.com/zalando/patroni):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curl -sSL https://github.com/patroni/patroni/archive/master.tar.gz | tar -xz</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cd patroni-master</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w:t>
        <w:tab/>
        <w:t>Створіть віртуальне середовище та встановіть необхідні залежності:</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virtualenv venv</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source venv/bin/activate</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pip install psycopg2 cryptography redis</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w:t>
        <w:tab/>
        <w:t>Встановіть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python setup.py install</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Для macOS:</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w:t>
        <w:tab/>
        <w:t>Ви можете встановити Patroni за допомогою Homebrew:</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brew install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 Створення файлу конфігурації:</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Створіть файл /etc/patroni/patroni.yaml з наступним вмістом:</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YAML</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[databases]</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name = mydb</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[postgresql]</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host = localhost</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port = 5432</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user =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password = &lt;пароль_користувача_postgresql&gt;</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[ha]</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peers = []</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master_candidate_timeout = 30</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[lifecycle]</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initdb = []</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[log]</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level = INFO</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statement = INFO</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Примітка:</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Замініть &lt;пароль_користувача_postgresql&gt; на пароль вашого користувача PostgreSQL.</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Ви можете змінити значення master_candidate_timeout та інші параметри відповідно до ваших потреб.</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 Створення кластера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w:t>
        <w:tab/>
        <w:t>Створіть кластер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sudo patroni --config /etc/patroni/patroni.yaml</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w:t>
        <w:tab/>
        <w:t>Перевірте, чи запущено кластер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sudo systemctl status patroni</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4. Управління кластером:</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Ви можете використовувати patroni для керування кластером PostgreSQL:</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o</w:t>
        <w:tab/>
        <w:t>patroni ctl show - показує стан кластера</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o</w:t>
        <w:tab/>
        <w:t>patroni ctl failover - ініціює перехід на резервний сервер</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o</w:t>
        <w:tab/>
        <w:t>patroni ctl maintenance - зупиняє Patroni на даному сервері</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5. Додаткові налаштування:</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Ви можете налаштувати Patroni більш детально, додавши інші секції до файлу конфігурації.</w:t>
      </w:r>
    </w:p>
    <w:p>
      <w:pPr>
        <w:pStyle w:val="Normal"/>
        <w:widowControl w:val="false"/>
        <w:spacing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Детальну інформацію про налаштування Patroni можна знайти в документації (https://github.com/zalando/patroni)</w:t>
      </w:r>
    </w:p>
    <w:p>
      <w:pPr>
        <w:pStyle w:val="Normal"/>
        <w:widowControl w:val="false"/>
        <w:spacing w:before="0" w:after="0"/>
        <w:ind w:left="1069" w:hanging="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Література:</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Основна:</w:t>
      </w:r>
      <w:r>
        <w:rPr>
          <w:rFonts w:eastAsia="Times New Roman" w:cs="Times New Roman" w:ascii="Times New Roman" w:hAnsi="Times New Roman"/>
          <w:sz w:val="28"/>
          <w:szCs w:val="28"/>
        </w:rPr>
        <w:t>1-18</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Допоміжна:</w:t>
      </w:r>
      <w:r>
        <w:rPr>
          <w:rFonts w:eastAsia="Times New Roman" w:cs="Times New Roman" w:ascii="Times New Roman" w:hAnsi="Times New Roman"/>
          <w:sz w:val="28"/>
          <w:szCs w:val="28"/>
        </w:rPr>
        <w:t>1-15</w:t>
      </w:r>
    </w:p>
    <w:p>
      <w:pPr>
        <w:pStyle w:val="Normal"/>
        <w:widowControl w:val="false"/>
        <w:spacing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3. Налаштування та використання bgBadger при роботі з PostgreSQL</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 Встановлення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Для Linux:</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w:t>
        <w:tab/>
        <w:t>Завантажте bgBadger з репозиторію GitHub ([https://github.com/darold/pgbadger]):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curl -sSL https://github.com/dgraph-io/bgbadger/archive/master.tar.gz | tar -xz</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cd bgbadger-master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w:t>
        <w:tab/>
        <w:t>Створіть віртуальне середовище та встановіть необхідні залежності:</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virtualenv venv</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source venv/bin/activate</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pip install psycopg2 cryptography</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w:t>
        <w:tab/>
        <w:t>Скомпілюйте та встановіть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make</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sudo make install</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Для macOS:</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w:t>
        <w:tab/>
        <w:t>Ви можете встановити bgBadger за допомогою Homebrew:</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brew install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 Створення файлу конфігурації:</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Створіть файл /etc/bgbadger.conf з наступним вмістом:</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[databases]</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name = mydb</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[postgresql]</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host = localhost</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port = 5432</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user =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password = &lt;пароль_користувача_postgresql&gt;</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work_dir = /var/lib/bgbadger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max_workers = 4</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max_queue_size = 10000</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Примітка:</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Замініть &lt;пароль_користувача_postgresql&gt; на пароль вашого користувача PostgreSQL.</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Ви можете змінити значення max_workers, max_queue_size та інші параметри відповідно до ваших потреб.</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 Запуск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w:t>
        <w:tab/>
        <w:t>Запустіть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sudo systemctl start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w:t>
        <w:tab/>
        <w:t>Перевірте, чи запущено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sudo systemctl status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4. Використання bgBadger:</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Ви можете використовувати bgBadger для виконання фонових завдань в PostgreSQL:</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o</w:t>
        <w:tab/>
        <w:t>bgbadger submit --database mydb --sql "SELECT * FROM mytable" - виконує SQL-запит у фоновому режимі</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o</w:t>
        <w:tab/>
        <w:t>bgbadger status - показує список фонових завдань</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o</w:t>
        <w:tab/>
        <w:t>bgbadger cancel &lt;task_id&gt; - скасовує фонове завдання</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5. Додаткові налаштування:</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Ви можете налаштувати bgBadger більш детально, додавши інші секції до файлу конфігурації.</w:t>
      </w:r>
    </w:p>
    <w:p>
      <w:pPr>
        <w:pStyle w:val="Normal"/>
        <w:widowControl w:val="false"/>
        <w:spacing w:lineRule="auto" w:line="276" w:before="0" w:after="0"/>
        <w:ind w:firstLine="567"/>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ab/>
        <w:t>Детальну інформацію про налаштування bgBadger можна знайти в документації</w:t>
      </w:r>
    </w:p>
    <w:p>
      <w:pPr>
        <w:pStyle w:val="Normal"/>
        <w:widowControl w:val="false"/>
        <w:spacing w:lineRule="auto" w:line="276" w:before="0" w:after="0"/>
        <w:ind w:left="720" w:hanging="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Література:</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Основна:</w:t>
      </w:r>
      <w:r>
        <w:rPr>
          <w:rFonts w:eastAsia="Times New Roman" w:cs="Times New Roman" w:ascii="Times New Roman" w:hAnsi="Times New Roman"/>
          <w:sz w:val="28"/>
          <w:szCs w:val="28"/>
        </w:rPr>
        <w:t>1-18</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Допоміжна:</w:t>
      </w:r>
      <w:r>
        <w:rPr>
          <w:rFonts w:eastAsia="Times New Roman" w:cs="Times New Roman" w:ascii="Times New Roman" w:hAnsi="Times New Roman"/>
          <w:sz w:val="28"/>
          <w:szCs w:val="28"/>
        </w:rPr>
        <w:t>1-15</w:t>
      </w:r>
    </w:p>
    <w:p>
      <w:pPr>
        <w:pStyle w:val="Normal"/>
        <w:widowControl w:val="false"/>
        <w:spacing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ЗАВДАННЯ ДЛЯ САМОСТІЙНОЇ РОБОТИ</w:t>
      </w:r>
    </w:p>
    <w:p>
      <w:pPr>
        <w:pStyle w:val="Normal"/>
        <w:spacing w:before="0" w:after="0"/>
        <w:ind w:left="720" w:hanging="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before="0" w:after="0"/>
        <w:ind w:left="720" w:hanging="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Тема 1. Налаштування та використання Ansible для роботи з PostgreSQL</w:t>
      </w:r>
    </w:p>
    <w:p>
      <w:pPr>
        <w:pStyle w:val="Normal"/>
        <w:spacing w:before="0" w:after="0"/>
        <w:ind w:left="720" w:hanging="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1. Встановлення Ansible: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Для Linux:</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Переконайтеся, що у вас встановлений Python 2.7 або 3.x.</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Встановіть Ansible з пакетного менеджера вашого дистрибутиву або за допомогою pip:</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sudo apt install ansible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Для macOS:</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Встановіть Homebrew, якщо ви його ще не використовуєте:</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/bin/bash -c "$(curl -fsSL https://raw.githubusercontent.com/Homebrew/install/HEAD/install.sh)"</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Встановіть Ansible за допомогою Homebrew:</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brew install ansible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 Створення інвентарю Ansible: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Створіть файл hosts в каталозі ~/.ansible/inventory, де опишіть сервери, на яких ви хочете встановити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YAML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localhost ansible_host=127.0.0.1 ansible_user=your_user</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Примітка:</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Замініть your_user на ім'я користувача, який використовується для SSH-підключення до сервера.</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 можете додати інші сервери до інвентарю, вказавши їх IP-адреси та ім'я користувача.</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 Створення playbook Ansible: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Створіть файл postgresql.yml в каталозі ~/.ansible/playbooks з наступним вмістом:</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YAML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name: Install and configure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hosts: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become: true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tasks:</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 name: Install PostgreSQL packages</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apt:</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name: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state: latest</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 name: Create PostgreSQL user</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postgresql_user:</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name: postgres</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password: your_password</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 name: Create PostgreSQL database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postgresql_db:</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name: mydb</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rPr>
        <w:t>owner: postgres</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Примітка:</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Замініть your_password на бажаний пароль для користувача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 можете змінити ім'я бази даних (mydb) та інші параметри відповідно до ваших потреб.</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4. Запуск playbook:</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Перейдіть до каталогу ~/.ansible/playbooks.</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Запустіть playbook:</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ansible-playbook postgresql.yml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5. Перевірка результату:</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Переконайтеся, що PostgreSQL успішно встановлено та налаштовано:</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Bash</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sudo systemctl status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content_copy</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6. Додаткові можливості:</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Ansible може використовуватися для виконання більш складних завдань з PostgreSQL, наприклад:</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Створення резервних копій та відновлення даних</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Налаштування реплікації</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Оновлення PostgreSQL до нової версії</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Для отримання детальної інформації про Ansible та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Документація Ansible: [https://www.ansible.com/ ]</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Документація PostgreSQL: https://www.postgresql.org/docs/current/</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Переваги використання Ansible:</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Автоматизація: Ansible дозволяє автоматизувати рутинні завдання з налаштування та управління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Простота використання: Ansible використовує простий та зрозумілий YAML-синтаксис.</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Масштабованість: Ansible можна використовувати для керування декількома серверами PostgreSQL одночасно.</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Гнучкість: Ansible можна використовувати для виконання широкого спектра завдань з PostgreSQL.</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Висновок:</w:t>
      </w:r>
    </w:p>
    <w:p>
      <w:pPr>
        <w:pStyle w:val="Normal"/>
        <w:widowControl w:val="false"/>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Ansible - це потужний інструмент для роботи з PostgreSQL, який може значно спростити адміністрування та автоматизувати рутинні завдання.</w:t>
      </w:r>
    </w:p>
    <w:p>
      <w:pPr>
        <w:pStyle w:val="Normal"/>
        <w:widowControl w:val="false"/>
        <w:spacing w:before="0" w:after="0"/>
        <w:ind w:left="720" w:hanging="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2. Налаштування моніторингу роботи PostgreSQL за допомогою Zabbix</w:t>
      </w:r>
    </w:p>
    <w:p>
      <w:pPr>
        <w:pStyle w:val="Normal"/>
        <w:spacing w:before="0" w:after="0"/>
        <w:ind w:firstLine="709"/>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 Встановлення Zabbix:</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Для Linux:</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Переконайтеся, що у вас встановлений Python 2.7 або 3.x.</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Додайте репозиторій Zabbix до вашого дистрибутиву:</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Debian/Ubuntu:</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Bash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sudo echo "deb http://repo.zabbix.com/zabbix/latest stable" | tee /etc/apt/sources.list.d/zabbix.list</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sudo wget -O - https://repo.zabbix.com/zabbix/latest/stable/pool.gpg | apt-key add -</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content_copy</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o</w:t>
        <w:tab/>
        <w:t>CentOS/RHEL:</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Bash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yum install https://repo.zabbix.com/zabbix/latest/5.4/rhel7/x86_64/zabbix-release-5.4-1.el7.noarch.rpm</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content_copy</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Встановіть Zabbix з пакетного менеджера:</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Bash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sudo apt install zabbix-server zabbix-agent zabbix-frontend</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content_copy</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Для macOS:</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Встановіть Homebrew, якщо ви його ще не використовуєте:</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Bash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/bin/bash -c "$(curl -fsSL https://raw.githubusercontent.com/Homebrew/install/HEAD/install.sh)"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content_copy</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Встановіть Zabbix за допомогою Homebrew:</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Bash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brew install zabbix</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content_copy</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 Налаштування Zabbix Server:</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Відкрийте веб-інтерфейс Zabbix Server (зазвичай http://localhost/zabbix).</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Увійдіть з ім'ям користувача та паролем Zabbix.</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Перейдіть до Налаштування &gt; Агенти.</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w:t>
        <w:tab/>
        <w:t>Натисніть Створити агент.</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Введіть ім'я хоста (наприклад, localhost) та виберіть Zabbix agent (active).</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6.</w:t>
        <w:tab/>
        <w:t>Натисніть Додати.</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 Налаштування Zabbix Agent:</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На сервері PostgreSQL виконайте наступну команду:</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Bash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sudo apt install zabbix-agent</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content_copy</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Відредагуйте файл /etc/zabbix/zabbix_agentd.conf:</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Server=localhost</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Hostname=localhost</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ServerActive=1</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Перезапустіть Zabbix Agent:</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Bash</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sudo systemctl restart zabbix-agentd</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content_copy</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 Створення хоста в Zabbix:</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У Zabbix Server перейдіть до Налаштування &gt; Хости.</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Натисніть Створити хост.</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Введіть ім'я хоста (наприклад, localhost) та виберіть Zabbix agent (active).</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w:t>
        <w:tab/>
        <w:t>Додайте IP-адресу сервера PostgreSQL.</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Натисніть Додати.</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 Створення елементів даних:</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У Zabbix Server перейдіть до Налаштування &gt; Елементи даних.</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Натисніть Створити елемент даних.</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Виберіть хост (localhost).</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w:t>
        <w:tab/>
        <w:t>Введіть назву елемента (наприклад, postgresql.cpu.usage).</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Виберіть тип даних SNMP.</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6.</w:t>
        <w:tab/>
        <w:t>Введіть OID (1.3.6.1.2.1.25.4.2.1 для використання CPU).</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7.</w:t>
        <w:tab/>
        <w:t>Натисніть Додати.</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Повторюйте кроки 5-7 для інших метрик (наприклад, postgresql.memory.usage, postgresql.connections).</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6. Створення графіків:</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У Zabbix Server перейдіть до Налаштування &gt; Графіки.</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Натисніть Створити графік.</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Виберіть хост (localhost) та елемент даних (наприклад, postgresql.cpu.usage).</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w:t>
        <w:tab/>
        <w:t>Налаштуйте візуалізацію графіка.</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Натисніть Додати.</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Повторюйте кроки 3-5 для інших графіків.</w:t>
      </w:r>
    </w:p>
    <w:p>
      <w:pPr>
        <w:pStyle w:val="Normal"/>
        <w:widowControl w:val="false"/>
        <w:spacing w:lineRule="auto" w:line="276" w:before="0" w:after="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before="0" w:after="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Тема 3. Shell скрипти до бази даних PostgreSQL</w:t>
      </w:r>
    </w:p>
    <w:p>
      <w:pPr>
        <w:pStyle w:val="Normal"/>
        <w:spacing w:before="0" w:after="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 Створення користувача та бази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Напишіть shell скрипт, який створює нового користувача PostgreSQL з ім'ям your_user та паролем your_password.</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Скрипт також повинен створити базу даних з ім'ям your_db та надати користувачу всі необхідні права на доступ до неї.</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 Створення таблиці та заповнення даними:</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Напишіть shell скрипт, який створює в базі даних your_db таблицю your_table з наступними стовпчиками:</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id (serial, primary key)</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name (varchar(50))</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email (varchar(100))</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Скрипт також повинен додати до таблиці кілька тестових записів.</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 Резервне копіювання та відновлення бази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Напишіть shell скрипт, який створює резервну копію бази даних your_db у файл your_db_backup.sql.</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Скрипт також повинен вміти відновлювати базу даних з резервної копії.</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 Моніторинг використання ресурсів:</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Напишіть shell скрипт, який виводить інформацію про використання ресурсів PostgreSQL (CPU, пам'ять, etc.)</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Скрипт повинен генерувати звіт у форматі CSV або JSON.</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 Автоматизація щоденних завдань:</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Напишіть shell скрипт, який автоматизує виконання щоденних завдань адміністрування PostgreSQL, таких як:</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Очищення тимчасових файлів</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Перевірка цілісності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Створення звітів</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Додаткові вправи:</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Напишіть shell скрипт для імпорту даних з CSV файлу до таблиці PostgreSQL.</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Створіть shell скрипт для експорту даних з таблиці PostgreSQL до CSV файлу.</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Напишіть shell скрипт для автоматичного оновлення схеми бази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Розробіть shell скрипт для автоматичного налаштування реплікації PostgreSQL.</w:t>
      </w:r>
    </w:p>
    <w:p>
      <w:pPr>
        <w:pStyle w:val="Normal"/>
        <w:spacing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spacing w:lineRule="auto" w:line="276" w:before="0" w:after="0"/>
        <w:jc w:val="both"/>
        <w:rPr>
          <w:rFonts w:ascii="Times New Roman" w:hAnsi="Times New Roman" w:eastAsia="Times New Roman" w:cs="Times New Roman"/>
          <w:sz w:val="28"/>
          <w:szCs w:val="28"/>
          <w:highlight w:val="green"/>
        </w:rPr>
      </w:pPr>
      <w:r>
        <w:rPr>
          <w:rFonts w:eastAsia="Times New Roman" w:cs="Times New Roman" w:ascii="Times New Roman" w:hAnsi="Times New Roman"/>
          <w:sz w:val="28"/>
          <w:szCs w:val="28"/>
          <w:highlight w:val="green"/>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ТЕМИ РЕФЕРАТІВ</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Аналіз впливу pgBouncer на продуктивність та ефективність роботи PostgreSQL. </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Розгляд конфігураційних параметрів та оптимальних налаштувань для забезпечення оптимального пулінгу з'єднань.</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Вивчення функціоналу Patroni та його можливостей у керуванні високодоступними кластерами PostgreSQL. </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процесу налаштування та управління кластером за допомогою Patroni.</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Огляд методів резервного копіювання баз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реляційних та нереляційних баз даних у великих об'ємах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Застосування технології "Cloud Computing" у сфері адміністрування баз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NoSQL баз даних у веб-розробці та аналізі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Автоматизація процесів адміністрування баз даних за допомогою інструментів DevOps.</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Огляд методів захисту баз даних від кібератак.</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аудиту баз даних у забезпеченні безпеки інформації.</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Blockchain у зберіганні та захисті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Розробка стратегії бекапів для великих підприємств: кращі практики.</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ефективності методів аутентифікації користувачів у системах керування базами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реплікації баз даних у забезпеченні високої доступності та стійкості до відмов.</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Переваги та недоліки використання віртуальних баз даних у сучасних інформаційних системах.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Техніки шифрування даних у базах даних: порівняння та вибір оптимального підходу.</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масштабованих баз даних для аналізу Big Data.</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Системи керування базами даних в медичних інформаційних системах: особливості та вимоги до безпеки.</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Автоматизовані системи моніторингу та управління базами даних: переваги та недоліки.</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Захист конфіденційної інформації в базах даних з використанням методів обфускації та маскування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Data Warehousing для зберігання та аналізу даних у великих корпораціях.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Розробка та реалізація стратегій резервного копіювання для баз даних з великим обсягом транзакцій.</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методів забезпечення конфіденційності, цілісності та доступності даних у децентралізованих базах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Переваги використання кластеризації баз даних для підвищення їхньої швидкодії та надійності.</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методів реалізації розподілених баз даних та їхній вплив на ефективність роботи інформаційних систем.</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технології резервного копіювання віртуальних баз даних у бізнес-процесах.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Вплив великих обсягів даних на архітектуру та адміністрування баз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баз даних у фінансових установах: вимоги до безпеки та швидкодії.</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Сучасні підходи до реалізації архітектур мікросервісів у системах керування базами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аналітичних баз даних для прогнозування та прийняття стратегічних рішень у бізнесі.</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Перспективи розвитку та використання графових баз даних у сучасних інформаційних системах.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інструментів моніторингу та аналізу продуктивності баз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Спільнота відкритих даних та її вплив на розвиток баз даних та адміністрування.</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Застосування технології контейнеризації для розгортання та управління базами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методів аналізу та управління ризиками в адмініструванні баз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баз даних у галузі освіти: автоматизація та оптимізація процесів навчання та адміністрування.</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Переваги використання баз даних у галузі телекомунікацій для зберігання та аналізу даних про абонентів.</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Застосування баз даних у системах управління виробництвом: автоматизація процесів та оптимізація ресурсів.</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"In-Memory Computing" для підвищення продуктивності та швидкодії баз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Сучасні тенденції у розробці та впровадженні гібридних баз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Забезпечення конфіденційності даних в базах даних з використанням методів шифрування та маскування.</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технологій "Machine Learning" та "Data Mining" для аналізу та прогнозування даних у базах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баз даних у впровадженні та розвитку "інтернету речей" (Internet of Things) у різних сферах життя.</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та порівняльна оцінка методів шифрування даних в сучасних базах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технологій обробки та збереження даних в забезпеченні відповідності нормативно-правовим вимогам щодо захисту персональної інформації.</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блокчейн для забезпечення безпеки та цілісності даних у розподілених системах.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методів резервного копіювання та відновлення даних у великих корпоративних середовищах.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Вплив штучного інтелекту на методи захисту даних та кібербезпеку в індустріальних та комерційних системах.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Дослідження можливостей bgBadger у моніторингу та аналізі продуктивності PostgreSQL. </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корисних метрик та їх впливу на ефективність роботи бази даних.</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Огляд процесу налаштування та налагодження моніторингу роботи PostgreSQL за допомогою системи Zabbix. </w:t>
      </w:r>
    </w:p>
    <w:p>
      <w:pPr>
        <w:pStyle w:val="Normal"/>
        <w:widowControl w:val="false"/>
        <w:numPr>
          <w:ilvl w:val="0"/>
          <w:numId w:val="3"/>
        </w:numP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Розгляд ключових метрик та способів їх візуалізації для ефективного контролю над базою даних.</w:t>
      </w:r>
    </w:p>
    <w:p>
      <w:pPr>
        <w:pStyle w:val="Normal"/>
        <w:widowControl w:val="false"/>
        <w:spacing w:lineRule="auto" w:line="276" w:before="0" w:after="0"/>
        <w:ind w:left="720" w:hanging="0"/>
        <w:jc w:val="center"/>
        <w:rPr>
          <w:rFonts w:ascii="Times New Roman" w:hAnsi="Times New Roman" w:eastAsia="Times New Roman" w:cs="Times New Roman"/>
          <w:b/>
          <w:b/>
          <w:color w:val="000000"/>
          <w:sz w:val="32"/>
          <w:szCs w:val="32"/>
        </w:rPr>
      </w:pPr>
      <w:r>
        <w:br w:type="column"/>
      </w:r>
      <w:r>
        <w:rPr>
          <w:rFonts w:eastAsia="Times New Roman" w:cs="Times New Roman" w:ascii="Times New Roman" w:hAnsi="Times New Roman"/>
          <w:b/>
          <w:color w:val="000000"/>
          <w:sz w:val="32"/>
          <w:szCs w:val="32"/>
        </w:rPr>
        <w:t>ПИТАННЯ ДО ЗАЛІКУ</w:t>
      </w:r>
    </w:p>
    <w:p>
      <w:pPr>
        <w:pStyle w:val="Normal"/>
        <w:widowControl w:val="false"/>
        <w:spacing w:lineRule="auto" w:line="276" w:before="0" w:after="0"/>
        <w:ind w:left="720" w:hanging="0"/>
        <w:jc w:val="center"/>
        <w:rPr>
          <w:rFonts w:ascii="Times New Roman" w:hAnsi="Times New Roman" w:eastAsia="Times New Roman" w:cs="Times New Roman"/>
          <w:b/>
          <w:b/>
          <w:color w:val="000000"/>
          <w:sz w:val="32"/>
          <w:szCs w:val="32"/>
        </w:rPr>
      </w:pPr>
      <w:r>
        <w:rPr>
          <w:rFonts w:eastAsia="Times New Roman" w:cs="Times New Roman" w:ascii="Times New Roman" w:hAnsi="Times New Roman"/>
          <w:b/>
          <w:color w:val="000000"/>
          <w:sz w:val="32"/>
          <w:szCs w:val="32"/>
        </w:rPr>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конфіденційність даних і чому вона важлива для захисту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аспекти доступності даних потрібно враховувати при їх адмініструванні та захисті?</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інтеграції захисту даних допомагають забезпечити конфіденційність, цілісність та доступність?</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цілістність даних і які методи захисту використовуються для забезпечення цілісності?</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вимоги повинні бути враховані при створенні резервних копій (дампів), щоб забезпечити їх цілісність?</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 чому полягає важливість архівації даних та які стратегії архівування можна використовувати для збереження інформації на довгостроковий період?</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функції захисту даних доступні у системі управління базами даних PostgreSQL?</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і налаштувати рівні доступу користувачів в PostgreSQL для забезпечення безпеки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шифрування для захисту даних в PostgreSQL і які методи шифрування можуть бути застосовані?</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аутентифікація і авторизація і як вони відрізняються від ідентифікації в контексті захисту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Яким чином шифрування даних сприяє забезпеченню конфіденційності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вимоги до процесу створення і збереження резервних копій даних для забезпечення їхньої цілісності?</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захисту даних можна застосувати при здійсненні архівування інформації для забезпечення безпеки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автентифікації користувачів у PostgreSQL і як вони допомагають захистити базу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налаштувати рівні доступу до таблиць та даних у PostgreSQL для різних користувачів?</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Яким чином можна забезпечити захист паролів користувачів та інших конфіденційних даних у PostgreSQL?</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мультифакторна аутентифікація і як вона забезпечує додатковий рівень безпеки?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є різниці між дампами, бекапами та архівами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регулярного створення та збереження резервних копій даних рекомендується використовувати?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SSL-шифрування для забезпечення безпеки з'єднання з базою даних PostgreSQL?</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моніторингу та аудиту безпеки баз даних у PostgreSQL?</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ролі користувачів у PostgreSQL для обмеження доступу до певних функцій та ресурсів бази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атака типу "SQL Injection" і які заходи можна прийняти для захисту баз даних від цієї загрози?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аудиту можуть бути використані для моніторингу доступу до даних і виявлення потенційних загроз безпеці?</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принципи дампів даних, і як вони використовуються для резервного копіювання баз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процеси відновлення даних відбуваються під час відновлення з резервних копій, і як це впливає на цілісність і доступність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шифрування даних в PostgreSQL і як вони застосовуються для захисту конфіденційної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"ролі користувачів" в PostgreSQL і як вони допомагають управляти доступом до бази даних і таблиць?</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використовувати "запобіжні заходи" і "протипожежні правила" в PostgreSQL для блокування небажаних спроб доступу до бази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застосувати механізми авторизації у базі даних для контролю доступу до різних рівнів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"точка відновлення" (recovery point) в контексті створення резервних копій даних і чому вона важлива?</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відбувається процес відновлення даних з резервних копій у випадку втрати інформації або виникнення помилок?</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є основні інструменти захисту даних у PostgreSQL, і як вони використовуються для забезпечення безпеки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налаштувати журналювання операцій (transaction logging) у PostgreSQL для відстеження змін у базі даних та відновлення даних в разі потреби?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можливі загрози безпеці даних виникають під час транспортування інформації між додатками та базою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 розумієте термін "права доступу" і як він використовується для забезпечення безпеки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стратегії резервного копіювання даних можуть бути застосовані для забезпечення безпеки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можливі методи відновлення даних можуть бути використані після виникнення непередбачуваних ситуацій, таких як видалення або пошкодження файлів бази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обмеження доступу до даних на рівні PostgreSQL -запитів і як вони використовуються для захисту інформації?</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є основні інструменти PostgreSQL для відслідковування і аналізу безпекових подій і активностей у базі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можуть бути використані для захисту даних від внутрішніх загроз, таких як несанкціонований доступ співробітників?</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використовується шифрування для захисту даних в перехідних процесах, таких як передача інформації через мережу?</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можливі наслідки можуть виникнути в результаті втрати цілісності даних і як цього уникнути?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Яким чином можна відновити базу даних з резервної копії в разі непередбачених ситуацій, таких як системний збій або катастрофа?</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і налаштувати SSL-з'єднання для забезпечення безпеки передачі даних між клієнтом і сервером PostgreSQL?</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різні методи аудиту PostgreSQL для відслідковування дій користувачів та виявлення потенційних порушень безпеки?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методологія "принципу найменшого привілею" (Least Privilege) і як вона використовується для забезпечення безпеки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застосувати механізми моніторингу журналів подій для виявлення аномальної активності та потенційних загроз безпеці?</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забезпечення цілісності даних під час їх транспортування між різними системами?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механізми контролю версій для збереження та відстеження змін в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можливості надає PostgreSQL для реалізації механізмів аудиту доступу до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різні методи шифрування в PostgreSQL для захисту конфіденційної інформації на різних рівнях?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можуть бути використані для захисту даних під час їх зберігання на сервері?</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визначити вразливості в системі баз даних і які кроки можна зробити для їх виправлення та запобігання?</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автоматизувати процес створення резервних копій баз даних і як часто це повинно робитися?</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архівації можна використовувати для зберігання даних на довгостроковий період?</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застосувати різні методи автентифікації користувачів в PostgreSQL для забезпечення безпеки доступу до бази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використовувати ролі користувачів в PostgreSQL для управління правами доступу та обмеження функціональності для різних груп користувачів?</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можна використовувати для виявлення і усунення можливих слабкостей безпеки в базі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важливо використовувати принципи "безпеки в глибину" для захисту даних у випадку втрати доступу до одного з захисних шарів?</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забезпечити безпеку резервних копій даних від несанкціонованого доступу та зміни?</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важливо перевіряти ефективність процесів резервного копіювання та відновлення даних?</w:t>
      </w:r>
    </w:p>
    <w:p>
      <w:pPr>
        <w:pStyle w:val="Normal"/>
        <w:widowControl w:val="false"/>
        <w:numPr>
          <w:ilvl w:val="0"/>
          <w:numId w:val="1"/>
        </w:numP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налаштувати файрвол для заборони зовнішнього доступу до сервера PostgreSQL і зменшення ризику атак ззовні?</w:t>
      </w:r>
    </w:p>
    <w:p>
      <w:pPr>
        <w:pStyle w:val="Normal"/>
        <w:widowControl w:val="false"/>
        <w:numPr>
          <w:ilvl w:val="0"/>
          <w:numId w:val="1"/>
        </w:numPr>
        <w:spacing w:lineRule="auto" w:line="276"/>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важливо оновлювати системне програмне забезпечення та застосунки PostgreSQL для усунення відомих вразливостей і забезпечення безпеки даних?</w:t>
      </w:r>
    </w:p>
    <w:p>
      <w:pPr>
        <w:pStyle w:val="Normal"/>
        <w:spacing w:lineRule="auto" w:line="360" w:before="0" w:after="0"/>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ФОРМИ ПІДСУМКОВОГО КОНТРОЛЮ УСПІШНОСТІ</w:t>
      </w:r>
    </w:p>
    <w:p>
      <w:pPr>
        <w:pStyle w:val="Normal"/>
        <w:spacing w:lineRule="auto" w:line="360" w:before="0" w:after="0"/>
        <w:jc w:val="center"/>
        <w:rPr>
          <w:rFonts w:ascii="Times New Roman" w:hAnsi="Times New Roman" w:eastAsia="Times New Roman" w:cs="Times New Roman"/>
          <w:b/>
          <w:b/>
          <w:sz w:val="28"/>
          <w:szCs w:val="28"/>
          <w:highlight w:val="yellow"/>
        </w:rPr>
      </w:pPr>
      <w:r>
        <w:rPr>
          <w:rFonts w:eastAsia="Times New Roman" w:cs="Times New Roman" w:ascii="Times New Roman" w:hAnsi="Times New Roman"/>
          <w:b/>
          <w:sz w:val="32"/>
          <w:szCs w:val="32"/>
        </w:rPr>
        <w:t>ЗДОБУВАЧІВ</w:t>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Поточний контроль</w:t>
      </w:r>
      <w:r>
        <w:rPr>
          <w:rFonts w:eastAsia="Times New Roman" w:cs="Times New Roman" w:ascii="Times New Roman" w:hAnsi="Times New Roman"/>
          <w:sz w:val="28"/>
          <w:szCs w:val="28"/>
        </w:rPr>
        <w:t xml:space="preserve"> здійснюється під час проведення практичних занять і має на меті перевірку рівня засвоєння здобувачем вивченої теми.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завданнях самостійної роботи; активність та систематичність роботи на заняттях; результати виконання домашніх завдань, тестів, експрес-опитувань, доповідей, рефератів тощо.</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Форми проведення поточного контролю: усне опитування здобувачів, розв’язування практичних завдань, тестові завдання, доповіді, реферати.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Проміжний контроль</w:t>
      </w:r>
      <w:r>
        <w:rPr>
          <w:rFonts w:eastAsia="Times New Roman" w:cs="Times New Roman" w:ascii="Times New Roman" w:hAnsi="Times New Roman"/>
          <w:sz w:val="28"/>
          <w:szCs w:val="28"/>
        </w:rPr>
        <w:t xml:space="preserve"> проводиться після вивчення відповідних тем або блоку тем з метою з`ясування ступеню засвоюваності здобувачами відповідного об’єму опрацьованого та вивченого матеріалу та подальшої оцінки рівня отриманих знань. Форми проведення проміжного контролю: контрольна робота, тестове опитування, співбесіда (усне спілкування).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Підсумковий контроль</w:t>
      </w:r>
      <w:r>
        <w:rPr>
          <w:rFonts w:eastAsia="Times New Roman" w:cs="Times New Roman" w:ascii="Times New Roman" w:hAnsi="Times New Roman"/>
          <w:sz w:val="28"/>
          <w:szCs w:val="28"/>
        </w:rPr>
        <w:t xml:space="preserve"> здійснюється у формі заліку.</w:t>
      </w:r>
    </w:p>
    <w:p>
      <w:pPr>
        <w:pStyle w:val="Normal"/>
        <w:widowControl w:val="false"/>
        <w:jc w:val="both"/>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КРИТЕРІЇ ОЦІНЮВАННЯ</w:t>
      </w:r>
    </w:p>
    <w:p>
      <w:pPr>
        <w:pStyle w:val="Normal"/>
        <w:widowControl w:val="false"/>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При використанні форми контролю у вигляді заліку враховується поточна, зокрема самостійна робота, наукова діяльність здобувача. Крім того, здобувач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 </w:t>
      </w:r>
    </w:p>
    <w:p>
      <w:pPr>
        <w:pStyle w:val="Normal"/>
        <w:widowControl w:val="false"/>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Оцінка з національної шкали переводиться у 100-бальну та шкалу ECTS у відповідності до результатів навчальної успішності здобувача протягом семестру.</w:t>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СХЕМА НАРАХУВАННЯ БАЛІВ (СКЛАДОВІ ОЦІНЮВАННЯ</w:t>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РЕЗУЛЬТАТІВ НАВЧАННЯ)</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tbl>
      <w:tblPr>
        <w:tblStyle w:val="af1"/>
        <w:tblW w:w="8810" w:type="dxa"/>
        <w:jc w:val="left"/>
        <w:tblInd w:w="-109" w:type="dxa"/>
        <w:tblCellMar>
          <w:top w:w="0" w:type="dxa"/>
          <w:left w:w="108" w:type="dxa"/>
          <w:bottom w:w="0" w:type="dxa"/>
          <w:right w:w="108" w:type="dxa"/>
        </w:tblCellMar>
        <w:tblLook w:firstRow="0" w:noVBand="1" w:lastRow="0" w:firstColumn="0" w:lastColumn="0" w:noHBand="0" w:val="0400"/>
      </w:tblPr>
      <w:tblGrid>
        <w:gridCol w:w="4390"/>
        <w:gridCol w:w="2266"/>
        <w:gridCol w:w="2154"/>
      </w:tblGrid>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Пункт оцінки</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 підсумкової</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оцінки або</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максимальна</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sz w:val="32"/>
                <w:szCs w:val="32"/>
              </w:rPr>
              <w:t>оцінка в балах</w:t>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Групове чи</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оцінювання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Поточний контроль, разом, у т.ч.:</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50</w:t>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доповіді та повідомлення на</w:t>
            </w:r>
          </w:p>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семінарах</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25</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Групове та</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виконання письмових</w:t>
            </w:r>
          </w:p>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індивідуальних завдань,</w:t>
            </w:r>
          </w:p>
          <w:p>
            <w:pPr>
              <w:pStyle w:val="Normal"/>
              <w:widowControl w:val="false"/>
              <w:spacing w:lineRule="auto" w:line="276" w:before="0" w:after="160"/>
              <w:rPr>
                <w:rFonts w:ascii="Times New Roman" w:hAnsi="Times New Roman" w:eastAsia="Times New Roman" w:cs="Times New Roman"/>
                <w:b/>
                <w:b/>
                <w:sz w:val="32"/>
                <w:szCs w:val="32"/>
              </w:rPr>
            </w:pPr>
            <w:r>
              <w:rPr>
                <w:rFonts w:eastAsia="Times New Roman" w:cs="Times New Roman" w:ascii="Times New Roman" w:hAnsi="Times New Roman"/>
                <w:sz w:val="32"/>
                <w:szCs w:val="32"/>
              </w:rPr>
              <w:t>рефератів, контрольних робіт</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15</w:t>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опитування на семінарських</w:t>
            </w:r>
          </w:p>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заняттях</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10</w:t>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Групове та</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Підсумковий контроль, разом, у т.ч.:</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50</w:t>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письмова компонента</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25</w:t>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усна компонента</w:t>
            </w:r>
          </w:p>
        </w:tc>
        <w:tc>
          <w:tcPr>
            <w:tcW w:w="226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25</w:t>
            </w:r>
          </w:p>
        </w:tc>
        <w:tc>
          <w:tcPr>
            <w:tcW w:w="21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bl>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ШКАЛА ЗА ECTS</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tbl>
      <w:tblPr>
        <w:tblStyle w:val="af2"/>
        <w:tblW w:w="8075" w:type="dxa"/>
        <w:jc w:val="left"/>
        <w:tblInd w:w="-109" w:type="dxa"/>
        <w:tblCellMar>
          <w:top w:w="0" w:type="dxa"/>
          <w:left w:w="108" w:type="dxa"/>
          <w:bottom w:w="0" w:type="dxa"/>
          <w:right w:w="108" w:type="dxa"/>
        </w:tblCellMar>
        <w:tblLook w:firstRow="0" w:noVBand="1" w:lastRow="0" w:firstColumn="0" w:lastColumn="0" w:noHBand="0" w:val="0400"/>
      </w:tblPr>
      <w:tblGrid>
        <w:gridCol w:w="1271"/>
        <w:gridCol w:w="1984"/>
        <w:gridCol w:w="2693"/>
        <w:gridCol w:w="2126"/>
      </w:tblGrid>
      <w:tr>
        <w:trPr>
          <w:trHeight w:val="642" w:hRule="atLeast"/>
        </w:trPr>
        <w:tc>
          <w:tcPr>
            <w:tcW w:w="1271"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Сума</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балів</w:t>
            </w:r>
          </w:p>
        </w:tc>
        <w:tc>
          <w:tcPr>
            <w:tcW w:w="1984"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Оцінка</w:t>
            </w:r>
          </w:p>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за 7-</w:t>
            </w:r>
          </w:p>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бальною</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шкалою</w:t>
            </w:r>
          </w:p>
        </w:tc>
        <w:tc>
          <w:tcPr>
            <w:tcW w:w="4819"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Оцінка за 4-бальною шкалою</w:t>
            </w:r>
          </w:p>
        </w:tc>
      </w:tr>
      <w:tr>
        <w:trPr>
          <w:trHeight w:val="642" w:hRule="atLeast"/>
        </w:trPr>
        <w:tc>
          <w:tcPr>
            <w:tcW w:w="1271"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c>
          <w:tcPr>
            <w:tcW w:w="198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c>
          <w:tcPr>
            <w:tcW w:w="269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екзамен</w:t>
            </w:r>
          </w:p>
        </w:tc>
        <w:tc>
          <w:tcPr>
            <w:tcW w:w="212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залік</w:t>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A</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90-100</w:t>
            </w:r>
          </w:p>
        </w:tc>
        <w:tc>
          <w:tcPr>
            <w:tcW w:w="269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Відмінно</w:t>
            </w:r>
          </w:p>
        </w:tc>
        <w:tc>
          <w:tcPr>
            <w:tcW w:w="2126"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зараховано</w:t>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B</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82-89</w:t>
            </w:r>
          </w:p>
        </w:tc>
        <w:tc>
          <w:tcPr>
            <w:tcW w:w="2693"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Добре</w:t>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C</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75-81</w:t>
            </w:r>
          </w:p>
        </w:tc>
        <w:tc>
          <w:tcPr>
            <w:tcW w:w="269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D</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67-74</w:t>
            </w:r>
          </w:p>
        </w:tc>
        <w:tc>
          <w:tcPr>
            <w:tcW w:w="2693"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Задовільно</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(достатньо)</w:t>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E</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60-66</w:t>
            </w:r>
          </w:p>
        </w:tc>
        <w:tc>
          <w:tcPr>
            <w:tcW w:w="269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Fx</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35-59</w:t>
            </w:r>
          </w:p>
        </w:tc>
        <w:tc>
          <w:tcPr>
            <w:tcW w:w="2693"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Незадовільно з</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можливістю</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повторного</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складання</w:t>
            </w:r>
          </w:p>
        </w:tc>
        <w:tc>
          <w:tcPr>
            <w:tcW w:w="2126"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не зараховано</w:t>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F</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1-34</w:t>
            </w:r>
          </w:p>
        </w:tc>
        <w:tc>
          <w:tcPr>
            <w:tcW w:w="269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r>
          </w:p>
        </w:tc>
      </w:tr>
    </w:tbl>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32"/>
          <w:szCs w:val="32"/>
          <w:highlight w:val="yellow"/>
        </w:rPr>
      </w:pPr>
      <w:r>
        <w:br w:type="column"/>
      </w:r>
      <w:r>
        <w:rPr>
          <w:rFonts w:eastAsia="Times New Roman" w:cs="Times New Roman" w:ascii="Times New Roman" w:hAnsi="Times New Roman"/>
          <w:b/>
          <w:sz w:val="32"/>
          <w:szCs w:val="32"/>
        </w:rPr>
        <w:t>ПЕРЕЛІК РЕКОМЕНДОВАНИХ ДЖЕРЕЛ</w:t>
      </w:r>
    </w:p>
    <w:p>
      <w:pPr>
        <w:pStyle w:val="Normal"/>
        <w:widowControl w:val="false"/>
        <w:spacing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before="0" w:after="0"/>
        <w:jc w:val="center"/>
        <w:rPr>
          <w:rFonts w:ascii="Times New Roman" w:hAnsi="Times New Roman" w:eastAsia="Times New Roman" w:cs="Times New Roman"/>
          <w:sz w:val="28"/>
          <w:szCs w:val="28"/>
          <w:highlight w:val="yellow"/>
        </w:rPr>
      </w:pPr>
      <w:r>
        <w:rPr>
          <w:rFonts w:eastAsia="Times New Roman" w:cs="Times New Roman" w:ascii="Times New Roman" w:hAnsi="Times New Roman"/>
          <w:sz w:val="28"/>
          <w:szCs w:val="28"/>
        </w:rPr>
        <w:t>ОСНОВНІ ДЖЕРЕЛА</w:t>
      </w:r>
    </w:p>
    <w:p>
      <w:pPr>
        <w:pStyle w:val="Normal"/>
        <w:widowControl w:val="false"/>
        <w:spacing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numPr>
          <w:ilvl w:val="0"/>
          <w:numId w:val="2"/>
        </w:numP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Advanced MySQL 8 / Eric Vanier, Birju Shah, Tejaswi Malepati. Packt Publishing, 2019. 280 p.</w:t>
      </w:r>
    </w:p>
    <w:p>
      <w:pPr>
        <w:pStyle w:val="Normal"/>
        <w:widowControl w:val="false"/>
        <w:numPr>
          <w:ilvl w:val="0"/>
          <w:numId w:val="2"/>
        </w:numP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Walter Shields SQL QuickStart Guide: The Simplified Beginner’s Guide to Managing, Analyzing, and Manipulating Data With SQL. – ClydeBank Media LLC; Illustrated edition (November 18, 2019), 251 p.</w:t>
      </w:r>
    </w:p>
    <w:p>
      <w:pPr>
        <w:pStyle w:val="Normal"/>
        <w:widowControl w:val="false"/>
        <w:numPr>
          <w:ilvl w:val="0"/>
          <w:numId w:val="2"/>
        </w:numP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Vaswani V. - MySQL Database Usage &amp; Administration. – McGraw-Hill, ISBN: 0071605495, 2019. – 368 p.</w:t>
      </w:r>
    </w:p>
    <w:p>
      <w:pPr>
        <w:pStyle w:val="Normal"/>
        <w:widowControl w:val="false"/>
        <w:numPr>
          <w:ilvl w:val="0"/>
          <w:numId w:val="2"/>
        </w:numP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Eric Vanier, Birju Shah, Tejaswi Malepati. Advanced MySQL 8: Discover the full potential of MySQL and ensure high performance of your database. – Packt Publishing, 2019. – 289 p. ISBN: 978-1788834445.</w:t>
      </w:r>
    </w:p>
    <w:p>
      <w:pPr>
        <w:pStyle w:val="Normal"/>
        <w:widowControl w:val="false"/>
        <w:numPr>
          <w:ilvl w:val="0"/>
          <w:numId w:val="2"/>
        </w:numP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Організація баз даних : навч. посібник / О. Г. Трофименко, Ю. В. Прокоп, Н. І. Логінова, І. М. Копитчук. 2-ге вид. виправ. і доповн. Одеса : Фенікс, 2019. - 246 с.</w:t>
      </w:r>
    </w:p>
    <w:p>
      <w:pPr>
        <w:pStyle w:val="Normal"/>
        <w:widowControl w:val="false"/>
        <w:spacing w:lineRule="auto" w:line="360" w:before="0" w:after="0"/>
        <w:jc w:val="center"/>
        <w:rPr>
          <w:rFonts w:ascii="Times New Roman" w:hAnsi="Times New Roman" w:eastAsia="Times New Roman" w:cs="Times New Roman"/>
          <w:sz w:val="28"/>
          <w:szCs w:val="28"/>
          <w:highlight w:val="yellow"/>
        </w:rPr>
      </w:pPr>
      <w:r>
        <w:rPr>
          <w:rFonts w:eastAsia="Times New Roman" w:cs="Times New Roman" w:ascii="Times New Roman" w:hAnsi="Times New Roman"/>
          <w:sz w:val="28"/>
          <w:szCs w:val="28"/>
        </w:rPr>
        <w:t>ДОПОМІЖНІ ДЖЕРЕЛА</w:t>
      </w:r>
    </w:p>
    <w:p>
      <w:pPr>
        <w:pStyle w:val="Normal"/>
        <w:widowControl w:val="false"/>
        <w:spacing w:lineRule="auto" w:line="36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Craig S. Mullins. Database Administration: The Complete Guide to DBA Practices and Procedures. 2nd Edition / Addison-Wesley Professional, 2012. 736 p. ISBN: 978-0321822949.</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Carlos Coronel, Steven Morris Database Systems: Design, Implementation, &amp; Management. – Cengage Learning; 13 edition, 2018, ‎ 816 p.</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Paul DuBois. MySQL Cookbook: Solutions for Database Developers and Administrators. O'Reilly Media Inc, USA. 2014. 866 р.</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w:t>
        <w:tab/>
        <w:t>Thomas. Eeden Pettit (Daniel Van.). The MySQL Workshop: A practical guide to working with data and managing databases with MySQL. 2022. 726 р.</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Логінова Н. І. Аналіз вразливостей систем керування базами даних / Н. І. Логінова, А. І. Дика, О. Г. Янковський // 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Міжнар.наук.-практ. конф. (м. Одеса, 17 червня 2022 р.) / за загальною редакцією С. В. Ківалова. Одеса : Видавничий дім «Гельветика», 2022. Т. 1. С. 682-685</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6.</w:t>
        <w:tab/>
        <w:t>Логінова Н.І. Безпека баз даних. Кібербезпека в сучасному світі: матеріали ІІІ Всеукр. наук.-практич. конф. (м. Одеса, 19 листоп., 2021 р.) / за ред. О.В. Дикого; уклад.: С. А. Горбаченко, Н. І. Логінова. Одеса : Видавничий дім «Гельветика», 2021. С. 12–15. DOI 10.32837/11300.15973</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7.</w:t>
        <w:tab/>
        <w:t>Берко А.Ю. Системи баз даних та знань. Книга 2. Системи управління базами даних та знань: підручник. / А.Ю. Берко, О.М. Верес, В.В. Пасічник. – Вид-во: «Магнолія-2006», 2013. – 680 с.</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8.</w:t>
        <w:tab/>
        <w:t xml:space="preserve">Державний стандарт України. Системи оброблення інформації. Бази даних. Терміни і визначення. ДСТУ 2874-94.- Київ.: Держстандарт України, 1994.- 31с. </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9. Василенко М.Д., Слатвінська В.М. Кібернетичний захист операційних систем (аналітичне міжгалузеве дослідження). Інформаційні технології та суспільство. 2022. Вип. 3(5). С. 6-13. DOI: https://doi.org/10.32689/maup.it.2022.3.1 URL: http://journals.maup.com.ua/index.php/it/article/view/2282</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10. Бойко В.Д., Василенко М.Д., Слатвінська В.М. Проблеми та практичні аспекти організації користувацького процесу до інформаційно-комунікаційних мереж у контексті систем загального доступу. Інформаційні технології та суспільство. 2022. Вип. 4(6). С. 6-13. DOI: https://doi.org/10.32689/maup.it.2022.4.1 URL: http://journals.maup.com.ua/index.php/it/article/view/2428/2899</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11. Василенко М., Слатвінська В., Сисоєнко С. Особливості створення сценарію для оболонки bash при створенні резервних копій. Інформаційні технології та суспільство. 2023. Вип. 3 (9). С. 15–22. DOI: https://doi.org/10.32689/maup.it.2023.3.2 URL: http://journals.maup.com.ua/index.php/it/article/view/2790/3249 </w:t>
      </w:r>
    </w:p>
    <w:p>
      <w:pPr>
        <w:pStyle w:val="Normal"/>
        <w:widowControl w:val="false"/>
        <w:spacing w:lineRule="auto" w:line="360" w:before="0" w:after="0"/>
        <w:jc w:val="both"/>
        <w:rPr/>
      </w:pPr>
      <w:r>
        <w:rPr/>
      </w:r>
    </w:p>
    <w:p>
      <w:pPr>
        <w:pStyle w:val="Normal"/>
        <w:widowControl w:val="false"/>
        <w:spacing w:lineRule="auto" w:line="360" w:before="0" w:after="0"/>
        <w:jc w:val="center"/>
        <w:rPr>
          <w:rFonts w:ascii="Times New Roman" w:hAnsi="Times New Roman" w:eastAsia="Times New Roman" w:cs="Times New Roman"/>
          <w:sz w:val="28"/>
          <w:szCs w:val="28"/>
          <w:highlight w:val="yellow"/>
        </w:rPr>
      </w:pPr>
      <w:r>
        <w:rPr>
          <w:rFonts w:eastAsia="Times New Roman" w:cs="Times New Roman" w:ascii="Times New Roman" w:hAnsi="Times New Roman"/>
          <w:sz w:val="28"/>
          <w:szCs w:val="28"/>
        </w:rPr>
        <w:t>РЕСУРСИ ВІДКРИТОГО ДОСТУПУ</w:t>
      </w:r>
    </w:p>
    <w:p>
      <w:pPr>
        <w:pStyle w:val="Normal"/>
        <w:widowControl w:val="false"/>
        <w:spacing w:lineRule="auto" w:line="36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http://www.it.inf.od.ua – сайт кафедри інформаційних технологій, на якому розміщено робочі матеріали з курсу</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http://dspace.onua.edu.ua – eNUOLAIR – депозитарій (архів) НУ ОЮА</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http://cyber.onua.edu.ua/ – робочі матеріали з курсу</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      http://www.znannya.org/labs/?view=mysqli-intro – СКБД MySQL і доступ до БД в PHP</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https://www.phpmyadmin.net/ – веб-додаток з відкритим кодом, написаний мовою PHP із графічним веб-інтерфейсом для адміністрування бази даних MySQL або MariaDB.</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6)</w:t>
        <w:tab/>
        <w:t>https://www.coursera.org/learn/relational-database-administration – Адміністрування реляційних баз даних (DBA). Курс від Coursera.</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7)</w:t>
        <w:tab/>
        <w:t>https://www.udemy.com/course/mysql-dba-for-beginners/ – MySQL Database Administration: Beginner SQL Database Design. Udemy course.</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8)</w:t>
        <w:tab/>
        <w:t>https://www.udemy.com/course/complete-mysql-training-for-data-analysis-on-linux/ – Complete MySQL Database Administration Course. Udemy course.</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9)       https://zakon.rada.gov.ua/laws/show/2297-17 - Закон України "Про захист персональних даних"</w:t>
      </w:r>
    </w:p>
    <w:p>
      <w:pPr>
        <w:pStyle w:val="Normal"/>
        <w:widowControl w:val="false"/>
        <w:spacing w:lineRule="auto" w:line="240" w:before="0" w:after="0"/>
        <w:jc w:val="both"/>
        <w:rPr/>
      </w:pPr>
      <w:r>
        <w:rPr/>
      </w:r>
    </w:p>
    <w:p>
      <w:pPr>
        <w:pStyle w:val="Normal"/>
        <w:widowControl w:val="false"/>
        <w:spacing w:lineRule="auto" w:line="24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28"/>
          <w:szCs w:val="28"/>
        </w:rPr>
        <w:t xml:space="preserve"> </w:t>
      </w:r>
    </w:p>
    <w:p>
      <w:pPr>
        <w:pStyle w:val="Normal"/>
        <w:rPr/>
      </w:pPr>
      <w:r>
        <w:br w:type="column"/>
      </w:r>
      <w:r>
        <w:rPr>
          <w:rFonts w:eastAsia="Times New Roman" w:cs="Times New Roman" w:ascii="Times New Roman" w:hAnsi="Times New Roman"/>
          <w:b/>
          <w:sz w:val="32"/>
          <w:szCs w:val="32"/>
        </w:rPr>
        <w:t>ЗМIСТ</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Опис навчальної дисципліни</w:t>
        <w:tab/>
        <w:t xml:space="preserve"> 3</w:t>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Заплановані результати навчання</w:t>
        <w:tab/>
        <w:t xml:space="preserve"> 4</w:t>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Структура навчальної дисципліни</w:t>
        <w:tab/>
        <w:t xml:space="preserve"> 7</w:t>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Програма навчальної дисципліни</w:t>
        <w:tab/>
        <w:t xml:space="preserve"> 8</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Теми практичних занять</w:t>
        <w:tab/>
        <w:t xml:space="preserve"> 10</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Завдання для самостійної роботи</w:t>
        <w:tab/>
        <w:t xml:space="preserve"> 16</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Теми рефератів</w:t>
        <w:tab/>
        <w:t xml:space="preserve"> 22</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Питання до заліку</w:t>
        <w:tab/>
        <w:t xml:space="preserve"> 25</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Форми підсумкового контролю успішності здобувачів</w:t>
        <w:tab/>
        <w:t xml:space="preserve"> 29</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Критерії оцінювання</w:t>
        <w:tab/>
        <w:t xml:space="preserve"> 29</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Схема нарахування балів (складові оцінювання результатів навчання)</w:t>
        <w:tab/>
        <w:t xml:space="preserve"> 30</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Шкала за ECTS</w:t>
        <w:tab/>
        <w:t xml:space="preserve"> 31</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Перелік рекомендованих джерел</w:t>
        <w:tab/>
        <w:t xml:space="preserve"> 32</w:t>
      </w:r>
    </w:p>
    <w:p>
      <w:pPr>
        <w:pStyle w:val="Normal"/>
        <w:widowControl w:val="false"/>
        <w:jc w:val="center"/>
        <w:rPr>
          <w:rFonts w:ascii="Times New Roman" w:hAnsi="Times New Roman" w:eastAsia="Times New Roman" w:cs="Times New Roman"/>
          <w:sz w:val="28"/>
          <w:szCs w:val="28"/>
        </w:rPr>
      </w:pPr>
      <w:r>
        <w:br w:type="column"/>
      </w:r>
      <w:r>
        <w:rPr>
          <w:rFonts w:eastAsia="Times New Roman" w:cs="Times New Roman" w:ascii="Times New Roman" w:hAnsi="Times New Roman"/>
          <w:sz w:val="28"/>
          <w:szCs w:val="28"/>
        </w:rPr>
        <w:t>Навчальне видання</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28"/>
          <w:szCs w:val="28"/>
          <w:highlight w:val="yellow"/>
        </w:rPr>
      </w:pPr>
      <w:r>
        <w:rPr>
          <w:rFonts w:eastAsia="Times New Roman" w:cs="Times New Roman" w:ascii="Times New Roman" w:hAnsi="Times New Roman"/>
          <w:b/>
          <w:sz w:val="28"/>
          <w:szCs w:val="28"/>
        </w:rPr>
        <w:t xml:space="preserve">Василенко Микола Дмитрович </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Слатвінська Валерія Миколаївна</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АДМІНІСТРУВАННЯ ТА ЗАХИСТ БАЗ ТА СХОВИЩ ДАНИХ</w:t>
      </w:r>
    </w:p>
    <w:p>
      <w:pPr>
        <w:pStyle w:val="Normal"/>
        <w:widowControl w:val="false"/>
        <w:jc w:val="center"/>
        <w:rPr>
          <w:rFonts w:ascii="Times New Roman" w:hAnsi="Times New Roman" w:eastAsia="Times New Roman" w:cs="Times New Roman"/>
          <w:b/>
          <w:b/>
          <w:sz w:val="28"/>
          <w:szCs w:val="28"/>
          <w:highlight w:val="yellow"/>
        </w:rPr>
      </w:pPr>
      <w:r>
        <w:rPr>
          <w:rFonts w:eastAsia="Times New Roman" w:cs="Times New Roman" w:ascii="Times New Roman" w:hAnsi="Times New Roman"/>
          <w:b/>
          <w:sz w:val="28"/>
          <w:szCs w:val="28"/>
        </w:rPr>
        <w:t>Методичні вказівки</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(для бакалаврів галузі знань 12 «Інформаційні технології», спеціальності 121 «Інженерія програмного забезпечення» факультету кібербезпеки та інформаційних технологій)</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jc w:val="center"/>
        <w:rPr>
          <w:rFonts w:ascii="Times New Roman" w:hAnsi="Times New Roman" w:eastAsia="Times New Roman" w:cs="Times New Roman"/>
          <w:i/>
          <w:i/>
          <w:sz w:val="28"/>
          <w:szCs w:val="28"/>
          <w:highlight w:val="yellow"/>
        </w:rPr>
      </w:pPr>
      <w:r>
        <w:rPr>
          <w:rFonts w:eastAsia="Times New Roman" w:cs="Times New Roman" w:ascii="Times New Roman" w:hAnsi="Times New Roman"/>
          <w:i/>
          <w:sz w:val="28"/>
          <w:szCs w:val="28"/>
          <w:highlight w:val="yellow"/>
        </w:rPr>
      </w:r>
    </w:p>
    <w:p>
      <w:pPr>
        <w:pStyle w:val="Normal"/>
        <w:widowControl w:val="false"/>
        <w:jc w:val="center"/>
        <w:rPr>
          <w:rFonts w:ascii="Times New Roman" w:hAnsi="Times New Roman" w:eastAsia="Times New Roman" w:cs="Times New Roman"/>
          <w:i/>
          <w:i/>
          <w:sz w:val="28"/>
          <w:szCs w:val="28"/>
          <w:highlight w:val="yellow"/>
        </w:rPr>
      </w:pPr>
      <w:r>
        <w:rPr>
          <w:rFonts w:eastAsia="Times New Roman" w:cs="Times New Roman" w:ascii="Times New Roman" w:hAnsi="Times New Roman"/>
          <w:i/>
          <w:sz w:val="28"/>
          <w:szCs w:val="28"/>
        </w:rPr>
        <w:t>В авторській редакції</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rPr>
          <w:rFonts w:ascii="Times New Roman" w:hAnsi="Times New Roman" w:eastAsia="Times New Roman" w:cs="Times New Roman"/>
          <w:color w:val="000000"/>
          <w:sz w:val="28"/>
          <w:szCs w:val="28"/>
        </w:rPr>
      </w:pPr>
      <w:r>
        <w:rPr/>
      </w:r>
    </w:p>
    <w:sectPr>
      <w:footerReference w:type="default" r:id="rId4"/>
      <w:type w:val="nextPage"/>
      <w:pgSz w:w="11906" w:h="16838"/>
      <w:pgMar w:left="1701" w:right="850" w:header="0" w:top="1134" w:footer="708" w:bottom="1134" w:gutter="0"/>
      <w:pgNumType w:start="1" w:fmt="decimal"/>
      <w:formProt w:val="false"/>
      <w:titlePg/>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Times New Roman">
    <w:charset w:val="cc"/>
    <w:family w:val="roman"/>
    <w:pitch w:val="variable"/>
  </w:font>
  <w:font w:name="Liberation Sans">
    <w:altName w:val="Arial"/>
    <w:charset w:val="cc"/>
    <w:family w:val="roman"/>
    <w:pitch w:val="variable"/>
  </w:font>
  <w:font w:name="Georgia">
    <w:charset w:val="cc"/>
    <w:family w:val="roman"/>
    <w:pitch w:val="variable"/>
  </w:font>
  <w:font w:name="Arial">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lear" w:pos="720"/>
        <w:tab w:val="center" w:pos="4677" w:leader="none"/>
        <w:tab w:val="right" w:pos="9355" w:leader="none"/>
      </w:tabs>
      <w:spacing w:lineRule="auto" w:line="240" w:before="0" w:after="0"/>
      <w:jc w:val="center"/>
      <w:rPr>
        <w:color w:val="000000"/>
      </w:rPr>
    </w:pPr>
    <w:r>
      <w:rPr/>
      <w:fldChar w:fldCharType="begin"/>
    </w:r>
    <w:r>
      <w:rPr/>
      <w:instrText> PAGE </w:instrText>
    </w:r>
    <w:r>
      <w:rPr/>
      <w:fldChar w:fldCharType="separate"/>
    </w:r>
    <w:r>
      <w:rPr/>
      <w:t>36</w:t>
    </w:r>
    <w:r>
      <w:rPr/>
      <w:fldChar w:fldCharType="end"/>
    </w:r>
  </w:p>
  <w:p>
    <w:pPr>
      <w:pStyle w:val="Normal"/>
      <w:tabs>
        <w:tab w:val="clear" w:pos="720"/>
        <w:tab w:val="center" w:pos="4677" w:leader="none"/>
        <w:tab w:val="right" w:pos="9355" w:leader="none"/>
      </w:tabs>
      <w:spacing w:lineRule="auto" w:line="240" w:before="0" w:after="0"/>
      <w:rPr>
        <w:color w:val="000000"/>
      </w:rPr>
    </w:pPr>
    <w:r>
      <w:rPr>
        <w:color w:val="000000"/>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20"/>
  <w:compat>
    <w:compatSetting w:name="compatibilityMode" w:uri="http://schemas.microsoft.com/office/word" w:val="14"/>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Cs w:val="22"/>
        <w:lang w:val="uk-UA"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2a7da9"/>
    <w:pPr>
      <w:widowControl/>
      <w:bidi w:val="0"/>
      <w:spacing w:lineRule="auto" w:line="259" w:before="0" w:after="160"/>
      <w:jc w:val="left"/>
    </w:pPr>
    <w:rPr>
      <w:rFonts w:ascii="Calibri" w:hAnsi="Calibri" w:eastAsia="Calibri" w:cs="Calibri"/>
      <w:color w:val="auto"/>
      <w:kern w:val="0"/>
      <w:sz w:val="22"/>
      <w:szCs w:val="22"/>
      <w:lang w:val="uk-UA" w:eastAsia="ru-RU" w:bidi="ar-SA"/>
    </w:rPr>
  </w:style>
  <w:style w:type="paragraph" w:styleId="1">
    <w:name w:val="Heading 1"/>
    <w:basedOn w:val="Normal"/>
    <w:next w:val="Normal"/>
    <w:qFormat/>
    <w:pPr>
      <w:keepNext w:val="true"/>
      <w:keepLines/>
      <w:spacing w:before="480" w:after="120"/>
      <w:outlineLvl w:val="0"/>
    </w:pPr>
    <w:rPr>
      <w:b/>
      <w:sz w:val="48"/>
      <w:szCs w:val="48"/>
    </w:rPr>
  </w:style>
  <w:style w:type="paragraph" w:styleId="2">
    <w:name w:val="Heading 2"/>
    <w:basedOn w:val="Normal"/>
    <w:next w:val="Normal"/>
    <w:qFormat/>
    <w:pPr>
      <w:keepNext w:val="true"/>
      <w:keepLines/>
      <w:spacing w:before="360" w:after="80"/>
      <w:outlineLvl w:val="1"/>
    </w:pPr>
    <w:rPr>
      <w:b/>
      <w:sz w:val="36"/>
      <w:szCs w:val="36"/>
    </w:rPr>
  </w:style>
  <w:style w:type="paragraph" w:styleId="3">
    <w:name w:val="Heading 3"/>
    <w:basedOn w:val="Normal"/>
    <w:next w:val="Normal"/>
    <w:link w:val="30"/>
    <w:uiPriority w:val="9"/>
    <w:semiHidden/>
    <w:unhideWhenUsed/>
    <w:qFormat/>
    <w:rsid w:val="00e7558f"/>
    <w:pPr>
      <w:keepNext w:val="true"/>
      <w:keepLines/>
      <w:spacing w:before="40" w:after="0"/>
      <w:outlineLvl w:val="2"/>
    </w:pPr>
    <w:rPr>
      <w:rFonts w:ascii="Calibri Light" w:hAnsi="Calibri Light" w:eastAsia="" w:cs="" w:asciiTheme="majorHAnsi" w:cstheme="majorBidi" w:eastAsiaTheme="majorEastAsia" w:hAnsiTheme="majorHAnsi"/>
      <w:color w:val="1F3763" w:themeColor="accent1" w:themeShade="7f"/>
      <w:sz w:val="24"/>
      <w:szCs w:val="24"/>
    </w:rPr>
  </w:style>
  <w:style w:type="paragraph" w:styleId="4">
    <w:name w:val="Heading 4"/>
    <w:basedOn w:val="Normal"/>
    <w:next w:val="Normal"/>
    <w:qFormat/>
    <w:pPr>
      <w:keepNext w:val="true"/>
      <w:keepLines/>
      <w:spacing w:before="240" w:after="40"/>
      <w:outlineLvl w:val="3"/>
    </w:pPr>
    <w:rPr>
      <w:b/>
      <w:sz w:val="24"/>
      <w:szCs w:val="24"/>
    </w:rPr>
  </w:style>
  <w:style w:type="paragraph" w:styleId="5">
    <w:name w:val="Heading 5"/>
    <w:basedOn w:val="Normal"/>
    <w:next w:val="Normal"/>
    <w:qFormat/>
    <w:pPr>
      <w:keepNext w:val="true"/>
      <w:keepLines/>
      <w:spacing w:before="220" w:after="40"/>
      <w:outlineLvl w:val="4"/>
    </w:pPr>
    <w:rPr>
      <w:b/>
    </w:rPr>
  </w:style>
  <w:style w:type="paragraph" w:styleId="6">
    <w:name w:val="Heading 6"/>
    <w:basedOn w:val="Normal"/>
    <w:next w:val="Normal"/>
    <w:qFormat/>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Style8" w:customStyle="1">
    <w:name w:val="Верхний колонтитул Знак"/>
    <w:basedOn w:val="DefaultParagraphFont"/>
    <w:link w:val="a4"/>
    <w:uiPriority w:val="99"/>
    <w:qFormat/>
    <w:rsid w:val="00c90f9d"/>
    <w:rPr/>
  </w:style>
  <w:style w:type="character" w:styleId="Style9" w:customStyle="1">
    <w:name w:val="Нижний колонтитул Знак"/>
    <w:basedOn w:val="DefaultParagraphFont"/>
    <w:link w:val="a6"/>
    <w:uiPriority w:val="99"/>
    <w:qFormat/>
    <w:rsid w:val="00c90f9d"/>
    <w:rPr/>
  </w:style>
  <w:style w:type="character" w:styleId="Style10">
    <w:name w:val="Интернет-ссылка"/>
    <w:basedOn w:val="DefaultParagraphFont"/>
    <w:uiPriority w:val="99"/>
    <w:unhideWhenUsed/>
    <w:rsid w:val="00c90f9d"/>
    <w:rPr>
      <w:color w:val="0563C1" w:themeColor="hyperlink"/>
      <w:u w:val="single"/>
    </w:rPr>
  </w:style>
  <w:style w:type="character" w:styleId="11" w:customStyle="1">
    <w:name w:val="Неразрешенное упоминание1"/>
    <w:basedOn w:val="DefaultParagraphFont"/>
    <w:uiPriority w:val="99"/>
    <w:semiHidden/>
    <w:unhideWhenUsed/>
    <w:qFormat/>
    <w:rsid w:val="00c90f9d"/>
    <w:rPr>
      <w:color w:val="605E5C"/>
      <w:shd w:fill="E1DFDD" w:val="clear"/>
    </w:rPr>
  </w:style>
  <w:style w:type="character" w:styleId="Style11" w:customStyle="1">
    <w:name w:val="Основной текст с отступом Знак"/>
    <w:basedOn w:val="DefaultParagraphFont"/>
    <w:link w:val="ab"/>
    <w:qFormat/>
    <w:rsid w:val="00e76030"/>
    <w:rPr>
      <w:rFonts w:ascii="Times New Roman" w:hAnsi="Times New Roman" w:eastAsia="Times New Roman" w:cs="Times New Roman"/>
      <w:sz w:val="24"/>
      <w:szCs w:val="20"/>
      <w:lang w:eastAsia="ru-RU"/>
    </w:rPr>
  </w:style>
  <w:style w:type="character" w:styleId="Xfm94030812" w:customStyle="1">
    <w:name w:val="xfm_94030812"/>
    <w:basedOn w:val="DefaultParagraphFont"/>
    <w:qFormat/>
    <w:rsid w:val="00dc1d0d"/>
    <w:rPr/>
  </w:style>
  <w:style w:type="character" w:styleId="21" w:customStyle="1">
    <w:name w:val="Неразрешенное упоминание2"/>
    <w:basedOn w:val="DefaultParagraphFont"/>
    <w:uiPriority w:val="99"/>
    <w:semiHidden/>
    <w:unhideWhenUsed/>
    <w:qFormat/>
    <w:rsid w:val="00a83949"/>
    <w:rPr>
      <w:color w:val="605E5C"/>
      <w:shd w:fill="E1DFDD" w:val="clear"/>
    </w:rPr>
  </w:style>
  <w:style w:type="character" w:styleId="UnresolvedMention" w:customStyle="1">
    <w:name w:val="Unresolved Mention"/>
    <w:basedOn w:val="DefaultParagraphFont"/>
    <w:uiPriority w:val="99"/>
    <w:semiHidden/>
    <w:unhideWhenUsed/>
    <w:qFormat/>
    <w:rsid w:val="00ce42c8"/>
    <w:rPr>
      <w:color w:val="605E5C"/>
      <w:shd w:fill="E1DFDD" w:val="clear"/>
    </w:rPr>
  </w:style>
  <w:style w:type="character" w:styleId="31" w:customStyle="1">
    <w:name w:val="Заголовок 3 Знак"/>
    <w:basedOn w:val="DefaultParagraphFont"/>
    <w:link w:val="3"/>
    <w:uiPriority w:val="9"/>
    <w:semiHidden/>
    <w:qFormat/>
    <w:rsid w:val="00e7558f"/>
    <w:rPr>
      <w:rFonts w:ascii="Calibri Light" w:hAnsi="Calibri Light" w:eastAsia="" w:cs="" w:asciiTheme="majorHAnsi" w:cstheme="majorBidi" w:eastAsiaTheme="majorEastAsia" w:hAnsiTheme="majorHAnsi"/>
      <w:color w:val="1F3763" w:themeColor="accent1" w:themeShade="7f"/>
      <w:sz w:val="24"/>
      <w:szCs w:val="24"/>
    </w:rPr>
  </w:style>
  <w:style w:type="paragraph" w:styleId="Style12">
    <w:name w:val="Заголовок"/>
    <w:basedOn w:val="Normal"/>
    <w:next w:val="Style13"/>
    <w:qFormat/>
    <w:pPr>
      <w:keepNext w:val="true"/>
      <w:spacing w:before="240" w:after="120"/>
    </w:pPr>
    <w:rPr>
      <w:rFonts w:ascii="Liberation Sans" w:hAnsi="Liberation Sans" w:eastAsia="Microsoft YaHei" w:cs="Lucida Sans"/>
      <w:sz w:val="28"/>
      <w:szCs w:val="28"/>
    </w:rPr>
  </w:style>
  <w:style w:type="paragraph" w:styleId="Style13">
    <w:name w:val="Body Text"/>
    <w:basedOn w:val="Normal"/>
    <w:pPr>
      <w:spacing w:lineRule="auto" w:line="276" w:before="0" w:after="140"/>
    </w:pPr>
    <w:rPr/>
  </w:style>
  <w:style w:type="paragraph" w:styleId="Style14">
    <w:name w:val="List"/>
    <w:basedOn w:val="Style13"/>
    <w:pPr/>
    <w:rPr>
      <w:rFonts w:cs="Lucida Sans"/>
    </w:rPr>
  </w:style>
  <w:style w:type="paragraph" w:styleId="Style15">
    <w:name w:val="Caption"/>
    <w:basedOn w:val="Normal"/>
    <w:qFormat/>
    <w:pPr>
      <w:suppressLineNumbers/>
      <w:spacing w:before="120" w:after="120"/>
    </w:pPr>
    <w:rPr>
      <w:rFonts w:cs="Lucida Sans"/>
      <w:i/>
      <w:iCs/>
      <w:sz w:val="24"/>
      <w:szCs w:val="24"/>
    </w:rPr>
  </w:style>
  <w:style w:type="paragraph" w:styleId="Style16">
    <w:name w:val="Указатель"/>
    <w:basedOn w:val="Normal"/>
    <w:qFormat/>
    <w:pPr>
      <w:suppressLineNumbers/>
    </w:pPr>
    <w:rPr>
      <w:rFonts w:cs="Lucida Sans"/>
    </w:rPr>
  </w:style>
  <w:style w:type="paragraph" w:styleId="Style17">
    <w:name w:val="Title"/>
    <w:basedOn w:val="Normal"/>
    <w:next w:val="Normal"/>
    <w:qFormat/>
    <w:pPr>
      <w:keepNext w:val="true"/>
      <w:keepLines/>
      <w:spacing w:before="480" w:after="120"/>
    </w:pPr>
    <w:rPr>
      <w:b/>
      <w:sz w:val="72"/>
      <w:szCs w:val="72"/>
    </w:rPr>
  </w:style>
  <w:style w:type="paragraph" w:styleId="Style18">
    <w:name w:val="Верхний и нижний колонтитулы"/>
    <w:basedOn w:val="Normal"/>
    <w:qFormat/>
    <w:pPr/>
    <w:rPr/>
  </w:style>
  <w:style w:type="paragraph" w:styleId="Style19">
    <w:name w:val="Header"/>
    <w:basedOn w:val="Normal"/>
    <w:link w:val="a5"/>
    <w:uiPriority w:val="99"/>
    <w:unhideWhenUsed/>
    <w:rsid w:val="00c90f9d"/>
    <w:pPr>
      <w:tabs>
        <w:tab w:val="clear" w:pos="720"/>
        <w:tab w:val="center" w:pos="4677" w:leader="none"/>
        <w:tab w:val="right" w:pos="9355" w:leader="none"/>
      </w:tabs>
      <w:spacing w:lineRule="auto" w:line="240" w:before="0" w:after="0"/>
    </w:pPr>
    <w:rPr/>
  </w:style>
  <w:style w:type="paragraph" w:styleId="Style20">
    <w:name w:val="Footer"/>
    <w:basedOn w:val="Normal"/>
    <w:link w:val="a7"/>
    <w:uiPriority w:val="99"/>
    <w:unhideWhenUsed/>
    <w:rsid w:val="00c90f9d"/>
    <w:pPr>
      <w:tabs>
        <w:tab w:val="clear" w:pos="720"/>
        <w:tab w:val="center" w:pos="4677" w:leader="none"/>
        <w:tab w:val="right" w:pos="9355" w:leader="none"/>
      </w:tabs>
      <w:spacing w:lineRule="auto" w:line="240" w:before="0" w:after="0"/>
    </w:pPr>
    <w:rPr/>
  </w:style>
  <w:style w:type="paragraph" w:styleId="ListParagraph">
    <w:name w:val="List Paragraph"/>
    <w:basedOn w:val="Normal"/>
    <w:uiPriority w:val="34"/>
    <w:qFormat/>
    <w:rsid w:val="00b14197"/>
    <w:pPr>
      <w:spacing w:before="0" w:after="160"/>
      <w:ind w:left="720" w:hanging="0"/>
      <w:contextualSpacing/>
    </w:pPr>
    <w:rPr/>
  </w:style>
  <w:style w:type="paragraph" w:styleId="Style21">
    <w:name w:val="Body Text Indent"/>
    <w:basedOn w:val="Normal"/>
    <w:link w:val="ac"/>
    <w:rsid w:val="00e76030"/>
    <w:pPr>
      <w:spacing w:lineRule="auto" w:line="240" w:before="0" w:after="0"/>
      <w:ind w:left="142" w:hanging="0"/>
    </w:pPr>
    <w:rPr>
      <w:rFonts w:ascii="Times New Roman" w:hAnsi="Times New Roman" w:eastAsia="Times New Roman" w:cs="Times New Roman"/>
      <w:sz w:val="24"/>
      <w:szCs w:val="20"/>
    </w:rPr>
  </w:style>
  <w:style w:type="paragraph" w:styleId="NormalWeb">
    <w:name w:val="Normal (Web)"/>
    <w:basedOn w:val="Normal"/>
    <w:uiPriority w:val="99"/>
    <w:unhideWhenUsed/>
    <w:qFormat/>
    <w:rsid w:val="00ac7ddf"/>
    <w:pPr>
      <w:spacing w:lineRule="auto" w:line="240" w:beforeAutospacing="1" w:afterAutospacing="1"/>
    </w:pPr>
    <w:rPr>
      <w:rFonts w:ascii="Times New Roman" w:hAnsi="Times New Roman" w:eastAsia="Times New Roman" w:cs="Times New Roman"/>
      <w:sz w:val="24"/>
      <w:szCs w:val="24"/>
      <w:lang w:eastAsia="uk-UA"/>
    </w:rPr>
  </w:style>
  <w:style w:type="paragraph" w:styleId="NoSpacing">
    <w:name w:val="No Spacing"/>
    <w:uiPriority w:val="1"/>
    <w:qFormat/>
    <w:rsid w:val="00ac7ddf"/>
    <w:pPr>
      <w:widowControl/>
      <w:bidi w:val="0"/>
      <w:spacing w:lineRule="auto" w:line="240" w:before="0" w:after="0"/>
      <w:jc w:val="left"/>
    </w:pPr>
    <w:rPr>
      <w:rFonts w:ascii="Times New Roman" w:hAnsi="Times New Roman" w:eastAsia="Calibri" w:cs="Calibri"/>
      <w:color w:val="auto"/>
      <w:kern w:val="0"/>
      <w:sz w:val="28"/>
      <w:szCs w:val="22"/>
      <w:lang w:val="uk-UA" w:eastAsia="ru-RU" w:bidi="ar-SA"/>
    </w:rPr>
  </w:style>
  <w:style w:type="paragraph" w:styleId="Style22">
    <w:name w:val="Subtitle"/>
    <w:basedOn w:val="Normal"/>
    <w:next w:val="Normal"/>
    <w:qFormat/>
    <w:pPr>
      <w:keepNext w:val="true"/>
      <w:keepLines/>
      <w:spacing w:before="360" w:after="80"/>
    </w:pPr>
    <w:rPr>
      <w:rFonts w:ascii="Georgia" w:hAnsi="Georgia" w:eastAsia="Georgia" w:cs="Georgia"/>
      <w:i/>
      <w:color w:val="666666"/>
      <w:sz w:val="48"/>
      <w:szCs w:val="48"/>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 w:type="table" w:styleId="a9">
    <w:name w:val="Table Grid"/>
    <w:basedOn w:val="a1"/>
    <w:uiPriority w:val="39"/>
    <w:rsid w:val="003335c6"/>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orcid.org/0000-0002-8555-5712" TargetMode="External"/><Relationship Id="rId3" Type="http://schemas.openxmlformats.org/officeDocument/2006/relationships/hyperlink" Target="https://orcid.org/0000-0002-6082-981X" TargetMode="External"/><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mCa7iQQzT4qA48fjoJ9jaaI/57Q==">CgMxLjAyCGguZ2pkZ3hzMgppZC4zMGowemxsMgppZC4xZm9iOXRlOAByITFLT1Y0UzlBaE1kcVZZaVhuX0RVMGRXRzRuNl92eHBsOA==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Application>LibreOffice/6.4.0.3$Windows_X86_64 LibreOffice_project/b0a288ab3d2d4774cb44b62f04d5d28733ac6df8</Application>
  <Pages>36</Pages>
  <Words>5383</Words>
  <Characters>37472</Characters>
  <CharactersWithSpaces>42245</CharactersWithSpaces>
  <Paragraphs>705</Paragraphs>
  <Company>Krokoz™</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2024-03-29T13:52:00Z</dcterms:created>
  <dc:creator>Валерия Слатвинская</dc:creator>
  <dc:description/>
  <dc:language>uk-UA</dc:language>
  <cp:lastModifiedBy/>
  <dcterms:modified xsi:type="dcterms:W3CDTF">2024-03-29T16:48:18Z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Krokoz™</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