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D6691F" w:rsidRDefault="00A75C52" w:rsidP="00A75C52">
      <w:pPr>
        <w:spacing w:line="252" w:lineRule="auto"/>
        <w:jc w:val="center"/>
        <w:rPr>
          <w:rFonts w:ascii="Times New Roman" w:eastAsia="Calibri" w:hAnsi="Times New Roman" w:cs="Times New Roman"/>
          <w:sz w:val="28"/>
          <w:lang w:val="uk-UA"/>
        </w:rPr>
      </w:pPr>
      <w:r w:rsidRPr="00D6691F">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D6691F" w:rsidRDefault="00A75C52" w:rsidP="00A75C52">
      <w:pPr>
        <w:spacing w:line="252" w:lineRule="auto"/>
        <w:jc w:val="center"/>
        <w:rPr>
          <w:rFonts w:ascii="Times New Roman" w:eastAsia="Calibri" w:hAnsi="Times New Roman" w:cs="Times New Roman"/>
          <w:sz w:val="28"/>
          <w:lang w:val="uk-UA"/>
        </w:rPr>
      </w:pPr>
      <w:r w:rsidRPr="00D6691F">
        <w:rPr>
          <w:rFonts w:ascii="Times New Roman" w:eastAsia="Calibri" w:hAnsi="Times New Roman" w:cs="Times New Roman"/>
          <w:sz w:val="28"/>
          <w:lang w:val="uk-UA"/>
        </w:rPr>
        <w:t>Факультет журналістики</w:t>
      </w:r>
    </w:p>
    <w:p w14:paraId="67E0B36D" w14:textId="77777777" w:rsidR="00A75C52" w:rsidRPr="00D6691F" w:rsidRDefault="00A75C52" w:rsidP="00A75C52">
      <w:pPr>
        <w:spacing w:line="252" w:lineRule="auto"/>
        <w:jc w:val="center"/>
        <w:rPr>
          <w:rFonts w:ascii="Times New Roman" w:eastAsia="Calibri" w:hAnsi="Times New Roman" w:cs="Times New Roman"/>
          <w:sz w:val="28"/>
          <w:lang w:val="uk-UA"/>
        </w:rPr>
      </w:pPr>
      <w:r w:rsidRPr="00D6691F">
        <w:rPr>
          <w:rFonts w:ascii="Times New Roman" w:eastAsia="Calibri" w:hAnsi="Times New Roman" w:cs="Times New Roman"/>
          <w:sz w:val="28"/>
          <w:lang w:val="uk-UA"/>
        </w:rPr>
        <w:t xml:space="preserve">Кафедра іноземних мов </w:t>
      </w:r>
    </w:p>
    <w:p w14:paraId="32505C20" w14:textId="77777777" w:rsidR="00A75C52" w:rsidRPr="00D6691F" w:rsidRDefault="00A75C52" w:rsidP="00A75C52">
      <w:pPr>
        <w:spacing w:line="252" w:lineRule="auto"/>
        <w:rPr>
          <w:rFonts w:ascii="Times New Roman" w:eastAsia="Calibri" w:hAnsi="Times New Roman" w:cs="Times New Roman"/>
          <w:sz w:val="28"/>
          <w:lang w:val="uk-UA"/>
        </w:rPr>
      </w:pPr>
      <w:r w:rsidRPr="00D6691F">
        <w:rPr>
          <w:rFonts w:ascii="Times New Roman" w:eastAsia="Calibri" w:hAnsi="Times New Roman" w:cs="Times New Roman"/>
          <w:sz w:val="28"/>
          <w:lang w:val="uk-UA"/>
        </w:rPr>
        <w:t>Реєстр. №____________</w:t>
      </w:r>
    </w:p>
    <w:p w14:paraId="4FEB174F" w14:textId="77777777" w:rsidR="00A75C52" w:rsidRPr="00D6691F" w:rsidRDefault="00A75C52" w:rsidP="00A75C52">
      <w:pPr>
        <w:spacing w:line="252" w:lineRule="auto"/>
        <w:rPr>
          <w:rFonts w:ascii="Times New Roman" w:eastAsia="Calibri" w:hAnsi="Times New Roman" w:cs="Times New Roman"/>
          <w:sz w:val="28"/>
          <w:lang w:val="uk-UA"/>
        </w:rPr>
      </w:pPr>
      <w:r w:rsidRPr="00D6691F">
        <w:rPr>
          <w:rFonts w:ascii="Times New Roman" w:eastAsia="Calibri" w:hAnsi="Times New Roman" w:cs="Times New Roman"/>
          <w:sz w:val="28"/>
          <w:lang w:val="uk-UA"/>
        </w:rPr>
        <w:t>Дата_________________</w:t>
      </w:r>
    </w:p>
    <w:p w14:paraId="08EA09D2" w14:textId="77777777" w:rsidR="00A75C52" w:rsidRPr="00D6691F" w:rsidRDefault="00A75C52" w:rsidP="00A75C52">
      <w:pPr>
        <w:spacing w:line="252" w:lineRule="auto"/>
        <w:rPr>
          <w:rFonts w:ascii="Times New Roman" w:eastAsia="Calibri" w:hAnsi="Times New Roman" w:cs="Times New Roman"/>
          <w:sz w:val="28"/>
          <w:lang w:val="uk-UA"/>
        </w:rPr>
      </w:pPr>
    </w:p>
    <w:p w14:paraId="158761C8" w14:textId="77777777" w:rsidR="00A75C52" w:rsidRPr="00D6691F"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D6691F"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D6691F" w:rsidRDefault="00A75C52" w:rsidP="00A75C52">
      <w:pPr>
        <w:spacing w:line="252" w:lineRule="auto"/>
        <w:jc w:val="center"/>
        <w:rPr>
          <w:rFonts w:ascii="Times New Roman" w:eastAsia="Calibri" w:hAnsi="Times New Roman" w:cs="Times New Roman"/>
          <w:b/>
          <w:bCs/>
          <w:sz w:val="28"/>
          <w:lang w:val="uk-UA"/>
        </w:rPr>
      </w:pPr>
      <w:r w:rsidRPr="00D6691F">
        <w:rPr>
          <w:rFonts w:ascii="Times New Roman" w:eastAsia="Calibri" w:hAnsi="Times New Roman" w:cs="Times New Roman"/>
          <w:b/>
          <w:bCs/>
          <w:sz w:val="28"/>
          <w:lang w:val="uk-UA"/>
        </w:rPr>
        <w:t>КВАЛІФІКАЦІЙНА РОБОТА</w:t>
      </w:r>
    </w:p>
    <w:p w14:paraId="1FD8E6E1" w14:textId="3D208759" w:rsidR="00A75C52" w:rsidRPr="00D6691F" w:rsidRDefault="00A75C52" w:rsidP="003E6386">
      <w:pPr>
        <w:spacing w:after="0" w:line="360" w:lineRule="auto"/>
        <w:jc w:val="center"/>
        <w:rPr>
          <w:rFonts w:ascii="Times New Roman" w:eastAsia="Calibri" w:hAnsi="Times New Roman" w:cs="Times New Roman"/>
          <w:b/>
          <w:bCs/>
          <w:sz w:val="28"/>
          <w:szCs w:val="28"/>
          <w:lang w:val="uk-UA"/>
        </w:rPr>
      </w:pPr>
      <w:r w:rsidRPr="00D6691F">
        <w:rPr>
          <w:rFonts w:ascii="Times New Roman" w:eastAsia="Calibri" w:hAnsi="Times New Roman" w:cs="Times New Roman"/>
          <w:sz w:val="28"/>
          <w:lang w:val="uk-UA"/>
        </w:rPr>
        <w:t xml:space="preserve">На тему: </w:t>
      </w:r>
      <w:r w:rsidRPr="00D6691F">
        <w:rPr>
          <w:rFonts w:ascii="Times New Roman" w:eastAsia="Calibri" w:hAnsi="Times New Roman" w:cs="Times New Roman"/>
          <w:b/>
          <w:bCs/>
          <w:sz w:val="28"/>
          <w:szCs w:val="28"/>
          <w:lang w:val="uk-UA"/>
        </w:rPr>
        <w:t>«</w:t>
      </w:r>
      <w:r w:rsidR="00CB006B" w:rsidRPr="00D6691F">
        <w:rPr>
          <w:rFonts w:ascii="Times New Roman" w:hAnsi="Times New Roman" w:cs="Times New Roman"/>
          <w:b/>
          <w:bCs/>
          <w:sz w:val="28"/>
          <w:szCs w:val="28"/>
        </w:rPr>
        <w:t>Стилістика перекладу науково-технічної літератури</w:t>
      </w:r>
      <w:r w:rsidRPr="00D6691F">
        <w:rPr>
          <w:rFonts w:ascii="Times New Roman" w:eastAsia="Calibri" w:hAnsi="Times New Roman" w:cs="Times New Roman"/>
          <w:b/>
          <w:bCs/>
          <w:sz w:val="28"/>
          <w:szCs w:val="28"/>
          <w:lang w:val="uk-UA"/>
        </w:rPr>
        <w:t>»</w:t>
      </w:r>
    </w:p>
    <w:p w14:paraId="5F1DF8EA" w14:textId="2646F611" w:rsidR="00A75C52" w:rsidRPr="00D6691F" w:rsidRDefault="00A75C52" w:rsidP="003E6386">
      <w:pPr>
        <w:spacing w:after="0" w:line="360" w:lineRule="auto"/>
        <w:jc w:val="center"/>
        <w:rPr>
          <w:rFonts w:ascii="Times New Roman" w:eastAsia="Calibri" w:hAnsi="Times New Roman" w:cs="Times New Roman"/>
          <w:b/>
          <w:bCs/>
          <w:sz w:val="28"/>
          <w:szCs w:val="28"/>
          <w:lang w:val="en-US"/>
        </w:rPr>
      </w:pPr>
      <w:r w:rsidRPr="00D6691F">
        <w:rPr>
          <w:rFonts w:ascii="Times New Roman" w:eastAsia="Calibri" w:hAnsi="Times New Roman" w:cs="Times New Roman"/>
          <w:b/>
          <w:bCs/>
          <w:sz w:val="28"/>
          <w:szCs w:val="28"/>
          <w:lang w:val="en-US"/>
        </w:rPr>
        <w:t>“</w:t>
      </w:r>
      <w:r w:rsidR="00AC1390" w:rsidRPr="00D6691F">
        <w:rPr>
          <w:rFonts w:ascii="Times New Roman" w:hAnsi="Times New Roman" w:cs="Times New Roman"/>
          <w:b/>
          <w:bCs/>
          <w:sz w:val="28"/>
          <w:szCs w:val="28"/>
        </w:rPr>
        <w:t>Stylistics of translating scientific and technical literature</w:t>
      </w:r>
      <w:r w:rsidRPr="00D6691F">
        <w:rPr>
          <w:rFonts w:ascii="Times New Roman" w:eastAsia="Calibri" w:hAnsi="Times New Roman" w:cs="Times New Roman"/>
          <w:b/>
          <w:bCs/>
          <w:sz w:val="28"/>
          <w:szCs w:val="28"/>
          <w:lang w:val="en-US"/>
        </w:rPr>
        <w:t>”</w:t>
      </w:r>
    </w:p>
    <w:p w14:paraId="1BE3052C" w14:textId="77777777" w:rsidR="00A75C52" w:rsidRPr="00D6691F" w:rsidRDefault="00A75C52" w:rsidP="00A75C52">
      <w:pPr>
        <w:spacing w:line="252" w:lineRule="auto"/>
        <w:jc w:val="both"/>
        <w:rPr>
          <w:rFonts w:ascii="Times New Roman" w:eastAsia="Calibri" w:hAnsi="Times New Roman" w:cs="Times New Roman"/>
          <w:sz w:val="28"/>
          <w:lang w:val="en-US"/>
        </w:rPr>
      </w:pPr>
    </w:p>
    <w:p w14:paraId="6F4A2C7E" w14:textId="1BC7F4D7" w:rsidR="00A75C52" w:rsidRPr="00D6691F" w:rsidRDefault="00A75C52" w:rsidP="00A75C52">
      <w:pPr>
        <w:spacing w:line="252" w:lineRule="auto"/>
        <w:ind w:left="3686"/>
        <w:rPr>
          <w:rFonts w:ascii="Times New Roman" w:eastAsia="Calibri" w:hAnsi="Times New Roman" w:cs="Times New Roman"/>
          <w:sz w:val="28"/>
          <w:lang w:val="uk-UA"/>
        </w:rPr>
      </w:pPr>
      <w:r w:rsidRPr="00D6691F">
        <w:rPr>
          <w:rFonts w:ascii="Times New Roman" w:eastAsia="Calibri" w:hAnsi="Times New Roman" w:cs="Times New Roman"/>
          <w:sz w:val="28"/>
          <w:lang w:val="uk-UA"/>
        </w:rPr>
        <w:t>Здобувач</w:t>
      </w:r>
      <w:r w:rsidR="00D64387" w:rsidRPr="00D6691F">
        <w:rPr>
          <w:rFonts w:ascii="Times New Roman" w:eastAsia="Calibri" w:hAnsi="Times New Roman" w:cs="Times New Roman"/>
          <w:sz w:val="28"/>
          <w:lang w:val="uk-UA"/>
        </w:rPr>
        <w:t>ки</w:t>
      </w:r>
      <w:r w:rsidRPr="00D6691F">
        <w:rPr>
          <w:rFonts w:ascii="Times New Roman" w:eastAsia="Calibri" w:hAnsi="Times New Roman" w:cs="Times New Roman"/>
          <w:sz w:val="28"/>
          <w:lang w:val="uk-UA"/>
        </w:rPr>
        <w:t xml:space="preserve"> 2 курсу 1 групи</w:t>
      </w:r>
    </w:p>
    <w:p w14:paraId="0B99D0DE" w14:textId="77777777" w:rsidR="00A75C52" w:rsidRPr="00D6691F" w:rsidRDefault="00A75C52" w:rsidP="00A75C52">
      <w:pPr>
        <w:spacing w:line="252" w:lineRule="auto"/>
        <w:ind w:left="3686"/>
        <w:rPr>
          <w:rFonts w:ascii="Times New Roman" w:eastAsia="Calibri" w:hAnsi="Times New Roman" w:cs="Times New Roman"/>
          <w:sz w:val="28"/>
          <w:lang w:val="uk-UA"/>
        </w:rPr>
      </w:pPr>
      <w:r w:rsidRPr="00D6691F">
        <w:rPr>
          <w:rFonts w:ascii="Times New Roman" w:eastAsia="Calibri" w:hAnsi="Times New Roman" w:cs="Times New Roman"/>
          <w:sz w:val="28"/>
          <w:lang w:val="uk-UA"/>
        </w:rPr>
        <w:t>рівень освіти другий (магістерський)</w:t>
      </w:r>
    </w:p>
    <w:p w14:paraId="26EE8820" w14:textId="77777777" w:rsidR="00A75C52" w:rsidRPr="00D6691F" w:rsidRDefault="00A75C52" w:rsidP="00A75C52">
      <w:pPr>
        <w:spacing w:line="252" w:lineRule="auto"/>
        <w:ind w:left="3686"/>
        <w:rPr>
          <w:rFonts w:ascii="Times New Roman" w:eastAsia="Calibri" w:hAnsi="Times New Roman" w:cs="Times New Roman"/>
          <w:sz w:val="28"/>
          <w:lang w:val="uk-UA"/>
        </w:rPr>
      </w:pPr>
      <w:r w:rsidRPr="00D6691F">
        <w:rPr>
          <w:rFonts w:ascii="Times New Roman" w:eastAsia="Calibri" w:hAnsi="Times New Roman" w:cs="Times New Roman"/>
          <w:sz w:val="28"/>
          <w:lang w:val="uk-UA"/>
        </w:rPr>
        <w:t>галузь знань 03 «Г</w:t>
      </w:r>
      <w:r w:rsidRPr="00D6691F">
        <w:rPr>
          <w:rFonts w:ascii="Times New Roman" w:hAnsi="Times New Roman" w:cs="Times New Roman"/>
          <w:sz w:val="28"/>
          <w:szCs w:val="28"/>
          <w:lang w:val="uk-UA"/>
        </w:rPr>
        <w:t>уманітарні науки</w:t>
      </w:r>
      <w:r w:rsidRPr="00D6691F">
        <w:rPr>
          <w:rFonts w:ascii="Times New Roman" w:eastAsia="Calibri" w:hAnsi="Times New Roman" w:cs="Times New Roman"/>
          <w:sz w:val="28"/>
          <w:lang w:val="uk-UA"/>
        </w:rPr>
        <w:t>»</w:t>
      </w:r>
    </w:p>
    <w:p w14:paraId="27E9054C" w14:textId="77777777" w:rsidR="00A75C52" w:rsidRPr="00D6691F" w:rsidRDefault="00A75C52" w:rsidP="00A75C52">
      <w:pPr>
        <w:spacing w:line="252" w:lineRule="auto"/>
        <w:ind w:left="3686"/>
        <w:rPr>
          <w:rFonts w:ascii="Times New Roman" w:eastAsia="Calibri" w:hAnsi="Times New Roman" w:cs="Times New Roman"/>
          <w:sz w:val="28"/>
          <w:lang w:val="uk-UA"/>
        </w:rPr>
      </w:pPr>
      <w:r w:rsidRPr="00D6691F">
        <w:rPr>
          <w:rFonts w:ascii="Times New Roman" w:eastAsia="Calibri" w:hAnsi="Times New Roman" w:cs="Times New Roman"/>
          <w:sz w:val="28"/>
          <w:lang w:val="uk-UA"/>
        </w:rPr>
        <w:t>спеціальність 035 «Філологія»</w:t>
      </w:r>
    </w:p>
    <w:p w14:paraId="317D0E00" w14:textId="4E0FD1FD" w:rsidR="00A75C52" w:rsidRPr="00D6691F" w:rsidRDefault="00CB006B" w:rsidP="00A75C52">
      <w:pPr>
        <w:spacing w:line="252" w:lineRule="auto"/>
        <w:ind w:left="3686"/>
        <w:rPr>
          <w:rFonts w:ascii="Times New Roman" w:eastAsia="Calibri" w:hAnsi="Times New Roman" w:cs="Times New Roman"/>
          <w:b/>
          <w:bCs/>
          <w:sz w:val="28"/>
          <w:szCs w:val="28"/>
          <w:lang w:val="uk-UA"/>
        </w:rPr>
      </w:pPr>
      <w:r w:rsidRPr="00D6691F">
        <w:rPr>
          <w:rFonts w:ascii="Times New Roman" w:eastAsia="Calibri" w:hAnsi="Times New Roman" w:cs="Times New Roman"/>
          <w:b/>
          <w:bCs/>
          <w:sz w:val="28"/>
          <w:szCs w:val="28"/>
          <w:lang w:val="uk-UA"/>
        </w:rPr>
        <w:t>Рубан Дар’ї Сергіївни</w:t>
      </w:r>
    </w:p>
    <w:p w14:paraId="258EE43A" w14:textId="7BAB4BCA" w:rsidR="00A75C52" w:rsidRPr="00D6691F" w:rsidRDefault="00A75C52" w:rsidP="00A75C52">
      <w:pPr>
        <w:spacing w:line="252" w:lineRule="auto"/>
        <w:ind w:left="3686"/>
        <w:rPr>
          <w:rFonts w:ascii="Times New Roman" w:eastAsia="Calibri" w:hAnsi="Times New Roman" w:cs="Times New Roman"/>
          <w:sz w:val="28"/>
          <w:lang w:val="uk-UA"/>
        </w:rPr>
      </w:pPr>
      <w:r w:rsidRPr="00D6691F">
        <w:rPr>
          <w:rFonts w:ascii="Times New Roman" w:eastAsia="Calibri" w:hAnsi="Times New Roman" w:cs="Times New Roman"/>
          <w:sz w:val="28"/>
          <w:lang w:val="uk-UA"/>
        </w:rPr>
        <w:t xml:space="preserve">Керівник – </w:t>
      </w:r>
      <w:r w:rsidR="00CB006B" w:rsidRPr="00D6691F">
        <w:rPr>
          <w:rFonts w:ascii="Times New Roman" w:eastAsia="Calibri" w:hAnsi="Times New Roman" w:cs="Times New Roman"/>
          <w:sz w:val="28"/>
          <w:lang w:val="uk-UA"/>
        </w:rPr>
        <w:t>к</w:t>
      </w:r>
      <w:r w:rsidRPr="00D6691F">
        <w:rPr>
          <w:rFonts w:ascii="Times New Roman" w:eastAsia="Calibri" w:hAnsi="Times New Roman" w:cs="Times New Roman"/>
          <w:sz w:val="28"/>
          <w:lang w:val="uk-UA"/>
        </w:rPr>
        <w:t>.філол.н., доц</w:t>
      </w:r>
      <w:r w:rsidR="009A4899" w:rsidRPr="00D6691F">
        <w:rPr>
          <w:rFonts w:ascii="Times New Roman" w:eastAsia="Calibri" w:hAnsi="Times New Roman" w:cs="Times New Roman"/>
          <w:sz w:val="28"/>
          <w:lang w:val="uk-UA"/>
        </w:rPr>
        <w:t>.</w:t>
      </w:r>
      <w:r w:rsidRPr="00D6691F">
        <w:rPr>
          <w:rFonts w:ascii="Times New Roman" w:eastAsia="Calibri" w:hAnsi="Times New Roman" w:cs="Times New Roman"/>
          <w:sz w:val="28"/>
          <w:lang w:val="uk-UA"/>
        </w:rPr>
        <w:t xml:space="preserve"> </w:t>
      </w:r>
      <w:r w:rsidR="00CB006B" w:rsidRPr="00D6691F">
        <w:rPr>
          <w:rFonts w:ascii="Times New Roman" w:eastAsia="Calibri" w:hAnsi="Times New Roman" w:cs="Times New Roman"/>
          <w:sz w:val="28"/>
          <w:lang w:val="uk-UA"/>
        </w:rPr>
        <w:t>Єрьоменко С.</w:t>
      </w:r>
      <w:r w:rsidR="00154216" w:rsidRPr="00D6691F">
        <w:rPr>
          <w:rFonts w:ascii="Times New Roman" w:eastAsia="Calibri" w:hAnsi="Times New Roman" w:cs="Times New Roman"/>
          <w:sz w:val="28"/>
          <w:lang w:val="uk-UA"/>
        </w:rPr>
        <w:t>В.</w:t>
      </w:r>
    </w:p>
    <w:p w14:paraId="75D650D2" w14:textId="77777777" w:rsidR="00A75C52" w:rsidRPr="00D6691F"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D6691F"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D6691F"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D6691F"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D6691F" w:rsidRDefault="00A75C52" w:rsidP="00A75C52">
      <w:pPr>
        <w:spacing w:line="252" w:lineRule="auto"/>
        <w:ind w:left="3686"/>
        <w:rPr>
          <w:rFonts w:ascii="Times New Roman" w:eastAsia="Calibri" w:hAnsi="Times New Roman" w:cs="Times New Roman"/>
          <w:sz w:val="28"/>
          <w:lang w:val="uk-UA"/>
        </w:rPr>
      </w:pPr>
      <w:r w:rsidRPr="00D6691F">
        <w:rPr>
          <w:rFonts w:ascii="Times New Roman" w:eastAsia="Calibri" w:hAnsi="Times New Roman" w:cs="Times New Roman"/>
          <w:sz w:val="28"/>
          <w:lang w:val="uk-UA"/>
        </w:rPr>
        <w:br/>
      </w:r>
    </w:p>
    <w:p w14:paraId="69627B17" w14:textId="77777777" w:rsidR="00A75C52" w:rsidRPr="00D6691F" w:rsidRDefault="00A75C52" w:rsidP="00A75C52">
      <w:pPr>
        <w:spacing w:line="252" w:lineRule="auto"/>
        <w:rPr>
          <w:rFonts w:ascii="Times New Roman" w:eastAsia="Calibri" w:hAnsi="Times New Roman" w:cs="Times New Roman"/>
          <w:sz w:val="28"/>
          <w:lang w:val="uk-UA"/>
        </w:rPr>
      </w:pPr>
    </w:p>
    <w:p w14:paraId="021915E0" w14:textId="77777777" w:rsidR="00A75C52" w:rsidRPr="00D6691F" w:rsidRDefault="00A75C52" w:rsidP="00A75C52">
      <w:pPr>
        <w:spacing w:after="200" w:line="276" w:lineRule="auto"/>
        <w:jc w:val="center"/>
        <w:rPr>
          <w:rFonts w:ascii="Times New Roman" w:eastAsia="Calibri" w:hAnsi="Times New Roman" w:cs="Times New Roman"/>
          <w:sz w:val="28"/>
          <w:lang w:val="uk-UA"/>
        </w:rPr>
      </w:pPr>
    </w:p>
    <w:p w14:paraId="1768D0CC" w14:textId="77777777" w:rsidR="00A75C52" w:rsidRPr="00D6691F"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D6691F" w:rsidRDefault="00A75C52" w:rsidP="00A75C52">
      <w:pPr>
        <w:spacing w:after="200" w:line="276" w:lineRule="auto"/>
        <w:jc w:val="center"/>
        <w:rPr>
          <w:rFonts w:ascii="Times New Roman" w:eastAsia="Calibri" w:hAnsi="Times New Roman" w:cs="Times New Roman"/>
          <w:sz w:val="28"/>
          <w:lang w:val="uk-UA"/>
        </w:rPr>
      </w:pPr>
      <w:r w:rsidRPr="00D6691F">
        <w:rPr>
          <w:rFonts w:ascii="Times New Roman" w:eastAsia="Calibri" w:hAnsi="Times New Roman" w:cs="Times New Roman"/>
          <w:sz w:val="28"/>
          <w:lang w:val="uk-UA"/>
        </w:rPr>
        <w:t>Одеса – 2025</w:t>
      </w:r>
    </w:p>
    <w:p w14:paraId="3426E02F" w14:textId="77777777" w:rsidR="00286B54" w:rsidRPr="00D6691F"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D6691F"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sidRPr="00D6691F">
        <w:rPr>
          <w:rFonts w:ascii="Times New Roman" w:eastAsia="Times New Roman" w:hAnsi="Times New Roman" w:cs="Times New Roman"/>
          <w:b/>
          <w:bCs/>
          <w:kern w:val="0"/>
          <w:sz w:val="27"/>
          <w:szCs w:val="27"/>
          <w:lang w:val="uk-UA" w:eastAsia="uk-UA"/>
          <w14:ligatures w14:val="none"/>
        </w:rPr>
        <w:lastRenderedPageBreak/>
        <w:t>ЗМІСТ</w:t>
      </w:r>
    </w:p>
    <w:p w14:paraId="0AFC8FB6" w14:textId="77777777" w:rsidR="0076031F" w:rsidRPr="00D6691F"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gridCol w:w="1124"/>
      </w:tblGrid>
      <w:tr w:rsidR="00D6691F" w:rsidRPr="00D6691F" w14:paraId="481FEA32" w14:textId="77777777" w:rsidTr="00A5064A">
        <w:tc>
          <w:tcPr>
            <w:tcW w:w="8220" w:type="dxa"/>
          </w:tcPr>
          <w:p w14:paraId="3A248ED8" w14:textId="54B92271" w:rsidR="00FF63FD" w:rsidRPr="00D6691F"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Вступ</w:t>
            </w:r>
          </w:p>
        </w:tc>
        <w:tc>
          <w:tcPr>
            <w:tcW w:w="1124" w:type="dxa"/>
          </w:tcPr>
          <w:p w14:paraId="2788DA00" w14:textId="21963E44" w:rsidR="00FF63FD" w:rsidRPr="00D6691F"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3</w:t>
            </w:r>
          </w:p>
        </w:tc>
      </w:tr>
      <w:tr w:rsidR="00D6691F" w:rsidRPr="00D6691F" w14:paraId="5569C3C2" w14:textId="77777777" w:rsidTr="00A5064A">
        <w:tc>
          <w:tcPr>
            <w:tcW w:w="8220" w:type="dxa"/>
          </w:tcPr>
          <w:p w14:paraId="0B6862D9" w14:textId="1747F145" w:rsidR="00FF63FD" w:rsidRPr="00D6691F"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 xml:space="preserve">Розділ 1. </w:t>
            </w:r>
            <w:r w:rsidRPr="00D6691F">
              <w:rPr>
                <w:rFonts w:ascii="Times New Roman" w:eastAsia="Times New Roman" w:hAnsi="Times New Roman" w:cs="Times New Roman"/>
                <w:caps/>
                <w:kern w:val="0"/>
                <w:sz w:val="28"/>
                <w:szCs w:val="28"/>
                <w:lang w:val="uk-UA" w:eastAsia="uk-UA"/>
                <w14:ligatures w14:val="none"/>
              </w:rPr>
              <w:t>Теоретичні засади дослідження</w:t>
            </w:r>
            <w:r w:rsidRPr="00D6691F">
              <w:rPr>
                <w:rFonts w:ascii="Times New Roman" w:eastAsia="Times New Roman" w:hAnsi="Times New Roman" w:cs="Times New Roman"/>
                <w:kern w:val="0"/>
                <w:sz w:val="28"/>
                <w:szCs w:val="28"/>
                <w:lang w:val="uk-UA" w:eastAsia="uk-UA"/>
                <w14:ligatures w14:val="none"/>
              </w:rPr>
              <w:t xml:space="preserve"> </w:t>
            </w:r>
          </w:p>
        </w:tc>
        <w:tc>
          <w:tcPr>
            <w:tcW w:w="1124" w:type="dxa"/>
          </w:tcPr>
          <w:p w14:paraId="3EA4DAC6" w14:textId="1BDF88D4" w:rsidR="00FF63FD" w:rsidRPr="00D6691F"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6</w:t>
            </w:r>
          </w:p>
        </w:tc>
      </w:tr>
      <w:tr w:rsidR="00D6691F" w:rsidRPr="00D6691F" w14:paraId="5BE0DAE4" w14:textId="77777777" w:rsidTr="00A5064A">
        <w:tc>
          <w:tcPr>
            <w:tcW w:w="8220" w:type="dxa"/>
          </w:tcPr>
          <w:p w14:paraId="5587BD8C" w14:textId="5C3531F3" w:rsidR="00FF63FD" w:rsidRPr="00D6691F" w:rsidRDefault="007A462F" w:rsidP="0091090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D6691F">
              <w:rPr>
                <w:rFonts w:ascii="Times New Roman" w:hAnsi="Times New Roman" w:cs="Times New Roman"/>
                <w:sz w:val="28"/>
                <w:szCs w:val="28"/>
              </w:rPr>
              <w:t>1.1. Науково-технічний стиль як різновид фахового мовлення</w:t>
            </w:r>
          </w:p>
        </w:tc>
        <w:tc>
          <w:tcPr>
            <w:tcW w:w="1124" w:type="dxa"/>
          </w:tcPr>
          <w:p w14:paraId="537F760E" w14:textId="6990E37C" w:rsidR="00022D14" w:rsidRPr="00D6691F"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6</w:t>
            </w:r>
          </w:p>
        </w:tc>
      </w:tr>
      <w:tr w:rsidR="00D6691F" w:rsidRPr="00D6691F" w14:paraId="4AC72332" w14:textId="77777777" w:rsidTr="00A5064A">
        <w:tc>
          <w:tcPr>
            <w:tcW w:w="8220" w:type="dxa"/>
          </w:tcPr>
          <w:p w14:paraId="5C3A3491" w14:textId="05E0FF46" w:rsidR="00FB0AD3" w:rsidRPr="00D6691F" w:rsidRDefault="007A462F" w:rsidP="00022D14">
            <w:pPr>
              <w:spacing w:line="240" w:lineRule="auto"/>
              <w:rPr>
                <w:rFonts w:ascii="Times New Roman" w:eastAsia="Times New Roman" w:hAnsi="Times New Roman" w:cs="Times New Roman"/>
                <w:kern w:val="0"/>
                <w:sz w:val="28"/>
                <w:szCs w:val="28"/>
                <w:lang w:val="uk-UA" w:eastAsia="uk-UA"/>
                <w14:ligatures w14:val="none"/>
              </w:rPr>
            </w:pPr>
            <w:r w:rsidRPr="00D6691F">
              <w:rPr>
                <w:rFonts w:ascii="Times New Roman" w:hAnsi="Times New Roman" w:cs="Times New Roman"/>
                <w:sz w:val="28"/>
                <w:szCs w:val="28"/>
              </w:rPr>
              <w:t>1.2. Лінгвостилістичні характеристики англомовної науково-технічної літератури</w:t>
            </w:r>
          </w:p>
        </w:tc>
        <w:tc>
          <w:tcPr>
            <w:tcW w:w="1124" w:type="dxa"/>
          </w:tcPr>
          <w:p w14:paraId="3FFF936A" w14:textId="23E3884F" w:rsidR="00FB0AD3" w:rsidRPr="00D6691F" w:rsidRDefault="0011305E"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9</w:t>
            </w:r>
          </w:p>
        </w:tc>
      </w:tr>
      <w:tr w:rsidR="00D6691F" w:rsidRPr="00D6691F" w14:paraId="25941CCF" w14:textId="77777777" w:rsidTr="00A5064A">
        <w:tc>
          <w:tcPr>
            <w:tcW w:w="8220" w:type="dxa"/>
          </w:tcPr>
          <w:p w14:paraId="0B2CAF6F" w14:textId="08F1E730" w:rsidR="004946C6" w:rsidRPr="00D6691F" w:rsidRDefault="007A462F" w:rsidP="00022D14">
            <w:pPr>
              <w:spacing w:line="240" w:lineRule="auto"/>
              <w:rPr>
                <w:rFonts w:ascii="Times New Roman" w:eastAsia="Times New Roman" w:hAnsi="Times New Roman" w:cs="Times New Roman"/>
                <w:kern w:val="0"/>
                <w:sz w:val="28"/>
                <w:szCs w:val="28"/>
                <w:lang w:val="uk-UA" w:eastAsia="uk-UA"/>
                <w14:ligatures w14:val="none"/>
              </w:rPr>
            </w:pPr>
            <w:r w:rsidRPr="00D6691F">
              <w:rPr>
                <w:rFonts w:ascii="Times New Roman" w:hAnsi="Times New Roman" w:cs="Times New Roman"/>
                <w:sz w:val="28"/>
                <w:szCs w:val="28"/>
              </w:rPr>
              <w:t>1.3. Основні труднощі перекладу науково-технічних текстів</w:t>
            </w:r>
          </w:p>
        </w:tc>
        <w:tc>
          <w:tcPr>
            <w:tcW w:w="1124" w:type="dxa"/>
          </w:tcPr>
          <w:p w14:paraId="4C52F52A" w14:textId="12655FFD" w:rsidR="004946C6" w:rsidRPr="00D6691F" w:rsidRDefault="00B916BD"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12</w:t>
            </w:r>
          </w:p>
        </w:tc>
      </w:tr>
      <w:tr w:rsidR="00D6691F" w:rsidRPr="00D6691F" w14:paraId="1FF32DC1" w14:textId="77777777" w:rsidTr="00A5064A">
        <w:tc>
          <w:tcPr>
            <w:tcW w:w="8220" w:type="dxa"/>
          </w:tcPr>
          <w:p w14:paraId="4979A8F2" w14:textId="564F96F2" w:rsidR="004946C6" w:rsidRPr="00D6691F" w:rsidRDefault="007A462F" w:rsidP="00022D14">
            <w:pPr>
              <w:spacing w:line="240" w:lineRule="auto"/>
              <w:rPr>
                <w:rFonts w:ascii="Times New Roman" w:eastAsia="Times New Roman" w:hAnsi="Times New Roman" w:cs="Times New Roman"/>
                <w:kern w:val="0"/>
                <w:sz w:val="28"/>
                <w:szCs w:val="28"/>
                <w:lang w:val="uk-UA" w:eastAsia="uk-UA"/>
                <w14:ligatures w14:val="none"/>
              </w:rPr>
            </w:pPr>
            <w:r w:rsidRPr="00D6691F">
              <w:rPr>
                <w:rFonts w:ascii="Times New Roman" w:hAnsi="Times New Roman" w:cs="Times New Roman"/>
                <w:sz w:val="28"/>
                <w:szCs w:val="28"/>
              </w:rPr>
              <w:t>1.4. Термінологія як ключовий елемент науково-технічного перекладу</w:t>
            </w:r>
          </w:p>
        </w:tc>
        <w:tc>
          <w:tcPr>
            <w:tcW w:w="1124" w:type="dxa"/>
          </w:tcPr>
          <w:p w14:paraId="5B53265A" w14:textId="2839D6A4" w:rsidR="004946C6" w:rsidRPr="00D6691F" w:rsidRDefault="00B916BD"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15</w:t>
            </w:r>
          </w:p>
        </w:tc>
      </w:tr>
      <w:tr w:rsidR="00D6691F" w:rsidRPr="00D6691F" w14:paraId="2770D3EF" w14:textId="77777777" w:rsidTr="00A5064A">
        <w:tc>
          <w:tcPr>
            <w:tcW w:w="8220" w:type="dxa"/>
          </w:tcPr>
          <w:p w14:paraId="549E1F43" w14:textId="5103574B" w:rsidR="00FB0AD3" w:rsidRPr="00D6691F" w:rsidRDefault="00AC65A9" w:rsidP="00022D14">
            <w:pPr>
              <w:spacing w:line="240" w:lineRule="auto"/>
              <w:jc w:val="both"/>
              <w:rPr>
                <w:rFonts w:ascii="Times New Roman" w:eastAsia="Times New Roman" w:hAnsi="Times New Roman" w:cs="Times New Roman"/>
                <w:kern w:val="0"/>
                <w:sz w:val="28"/>
                <w:szCs w:val="28"/>
                <w:lang w:val="ru-RU" w:eastAsia="uk-UA"/>
                <w14:ligatures w14:val="none"/>
              </w:rPr>
            </w:pPr>
            <w:r w:rsidRPr="00D6691F">
              <w:rPr>
                <w:rFonts w:ascii="Times New Roman" w:eastAsia="Times New Roman" w:hAnsi="Times New Roman" w:cs="Times New Roman"/>
                <w:kern w:val="0"/>
                <w:sz w:val="28"/>
                <w:szCs w:val="28"/>
                <w:lang w:val="ru-RU" w:eastAsia="uk-UA"/>
                <w14:ligatures w14:val="none"/>
              </w:rPr>
              <w:t>1.</w:t>
            </w:r>
            <w:r w:rsidR="004946C6" w:rsidRPr="00D6691F">
              <w:rPr>
                <w:rFonts w:ascii="Times New Roman" w:eastAsia="Times New Roman" w:hAnsi="Times New Roman" w:cs="Times New Roman"/>
                <w:kern w:val="0"/>
                <w:sz w:val="28"/>
                <w:szCs w:val="28"/>
                <w:lang w:val="ru-RU" w:eastAsia="uk-UA"/>
                <w14:ligatures w14:val="none"/>
              </w:rPr>
              <w:t>5</w:t>
            </w:r>
            <w:r w:rsidRPr="00D6691F">
              <w:rPr>
                <w:rFonts w:ascii="Times New Roman" w:eastAsia="Times New Roman" w:hAnsi="Times New Roman" w:cs="Times New Roman"/>
                <w:kern w:val="0"/>
                <w:sz w:val="28"/>
                <w:szCs w:val="28"/>
                <w:lang w:val="ru-RU" w:eastAsia="uk-UA"/>
                <w14:ligatures w14:val="none"/>
              </w:rPr>
              <w:t>. Методика</w:t>
            </w:r>
            <w:r w:rsidRPr="00D6691F">
              <w:rPr>
                <w:rFonts w:ascii="Times New Roman" w:eastAsia="Times New Roman" w:hAnsi="Times New Roman" w:cs="Times New Roman"/>
                <w:kern w:val="0"/>
                <w:sz w:val="28"/>
                <w:szCs w:val="28"/>
                <w:lang w:val="uk-UA" w:eastAsia="uk-UA"/>
                <w14:ligatures w14:val="none"/>
              </w:rPr>
              <w:t xml:space="preserve"> </w:t>
            </w:r>
            <w:r w:rsidR="008E6E5B" w:rsidRPr="00D6691F">
              <w:rPr>
                <w:rFonts w:ascii="Times New Roman" w:eastAsia="Times New Roman" w:hAnsi="Times New Roman" w:cs="Times New Roman"/>
                <w:kern w:val="0"/>
                <w:sz w:val="28"/>
                <w:szCs w:val="28"/>
                <w:lang w:val="uk-UA" w:eastAsia="uk-UA"/>
                <w14:ligatures w14:val="none"/>
              </w:rPr>
              <w:t>дослідження</w:t>
            </w:r>
          </w:p>
        </w:tc>
        <w:tc>
          <w:tcPr>
            <w:tcW w:w="1124" w:type="dxa"/>
          </w:tcPr>
          <w:p w14:paraId="51222EF8" w14:textId="751FDE03" w:rsidR="00FB0AD3" w:rsidRPr="00D6691F" w:rsidRDefault="00B916BD"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18</w:t>
            </w:r>
          </w:p>
        </w:tc>
      </w:tr>
      <w:tr w:rsidR="00D6691F" w:rsidRPr="00D6691F" w14:paraId="7F32D62E" w14:textId="77777777" w:rsidTr="00A5064A">
        <w:tc>
          <w:tcPr>
            <w:tcW w:w="8220" w:type="dxa"/>
          </w:tcPr>
          <w:p w14:paraId="478F30DC" w14:textId="5C943068" w:rsidR="00FB0AD3" w:rsidRPr="00D6691F" w:rsidRDefault="00FB0AD3" w:rsidP="00022D14">
            <w:pPr>
              <w:spacing w:line="240" w:lineRule="auto"/>
              <w:jc w:val="both"/>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Висновки до розділу 1</w:t>
            </w:r>
          </w:p>
        </w:tc>
        <w:tc>
          <w:tcPr>
            <w:tcW w:w="1124" w:type="dxa"/>
          </w:tcPr>
          <w:p w14:paraId="5B524BCD" w14:textId="08D65397" w:rsidR="00FB0AD3" w:rsidRPr="00D6691F" w:rsidRDefault="00B916BD"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21</w:t>
            </w:r>
          </w:p>
        </w:tc>
      </w:tr>
      <w:tr w:rsidR="00D6691F" w:rsidRPr="00D6691F" w14:paraId="21050F37" w14:textId="77777777" w:rsidTr="00A5064A">
        <w:tc>
          <w:tcPr>
            <w:tcW w:w="8220" w:type="dxa"/>
          </w:tcPr>
          <w:p w14:paraId="5C4F9354" w14:textId="7C1EB454" w:rsidR="00FB0AD3" w:rsidRPr="00D6691F" w:rsidRDefault="0099791C"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D6691F">
              <w:rPr>
                <w:rFonts w:ascii="Times New Roman" w:hAnsi="Times New Roman" w:cs="Times New Roman"/>
                <w:sz w:val="28"/>
                <w:szCs w:val="28"/>
              </w:rPr>
              <w:t xml:space="preserve">РОЗДІЛ 2. </w:t>
            </w:r>
            <w:r w:rsidR="00CD025A" w:rsidRPr="00D6691F">
              <w:rPr>
                <w:rFonts w:ascii="Times New Roman" w:hAnsi="Times New Roman" w:cs="Times New Roman"/>
                <w:sz w:val="28"/>
                <w:szCs w:val="28"/>
              </w:rPr>
              <w:t>СТИЛІСТИЧНИЙ АНАЛІЗ ПЕРЕКЛАДУ НАУКОВО-ТЕХНІЧНИХ ТЕКСТІВ</w:t>
            </w:r>
          </w:p>
        </w:tc>
        <w:tc>
          <w:tcPr>
            <w:tcW w:w="1124" w:type="dxa"/>
          </w:tcPr>
          <w:p w14:paraId="73D3D7A7" w14:textId="4C3D7156" w:rsidR="00FB0AD3" w:rsidRPr="00D6691F" w:rsidRDefault="00B916BD"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24</w:t>
            </w:r>
          </w:p>
        </w:tc>
      </w:tr>
      <w:tr w:rsidR="00D6691F" w:rsidRPr="00D6691F" w14:paraId="08BB738D" w14:textId="77777777" w:rsidTr="00A5064A">
        <w:tc>
          <w:tcPr>
            <w:tcW w:w="8220" w:type="dxa"/>
          </w:tcPr>
          <w:p w14:paraId="658799A5" w14:textId="211EC95C" w:rsidR="00995528" w:rsidRPr="00D6691F" w:rsidRDefault="009C3D2F"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D6691F">
              <w:rPr>
                <w:rFonts w:ascii="Times New Roman" w:hAnsi="Times New Roman" w:cs="Times New Roman"/>
                <w:sz w:val="28"/>
                <w:szCs w:val="28"/>
                <w:lang w:val="uk-UA"/>
              </w:rPr>
              <w:t xml:space="preserve">2.1. </w:t>
            </w:r>
            <w:r w:rsidR="00AC1390" w:rsidRPr="00D6691F">
              <w:rPr>
                <w:rFonts w:ascii="Times New Roman" w:hAnsi="Times New Roman" w:cs="Times New Roman"/>
                <w:sz w:val="28"/>
                <w:szCs w:val="28"/>
                <w:lang w:val="uk-UA"/>
              </w:rPr>
              <w:t>Загальна характеристика вибірки</w:t>
            </w:r>
          </w:p>
        </w:tc>
        <w:tc>
          <w:tcPr>
            <w:tcW w:w="1124" w:type="dxa"/>
          </w:tcPr>
          <w:p w14:paraId="1E1E3A9E" w14:textId="4F921D3D" w:rsidR="00995528" w:rsidRPr="00D6691F" w:rsidRDefault="00B916BD"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24</w:t>
            </w:r>
          </w:p>
        </w:tc>
      </w:tr>
      <w:tr w:rsidR="00D6691F" w:rsidRPr="00D6691F" w14:paraId="679E37EA" w14:textId="77777777" w:rsidTr="00A5064A">
        <w:tc>
          <w:tcPr>
            <w:tcW w:w="8220" w:type="dxa"/>
          </w:tcPr>
          <w:p w14:paraId="24BACE8B" w14:textId="2494F3E6" w:rsidR="00FB0AD3" w:rsidRPr="00D6691F" w:rsidRDefault="00625B17"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 xml:space="preserve">2.2. </w:t>
            </w:r>
            <w:r w:rsidRPr="00D6691F">
              <w:rPr>
                <w:rFonts w:ascii="Times New Roman" w:hAnsi="Times New Roman" w:cs="Times New Roman"/>
                <w:sz w:val="28"/>
                <w:szCs w:val="28"/>
              </w:rPr>
              <w:t>Передавання термінологічної лексики в перекладі</w:t>
            </w:r>
          </w:p>
        </w:tc>
        <w:tc>
          <w:tcPr>
            <w:tcW w:w="1124" w:type="dxa"/>
          </w:tcPr>
          <w:p w14:paraId="2D927BA5" w14:textId="5FA4F4B6" w:rsidR="00FB0AD3" w:rsidRPr="00D6691F" w:rsidRDefault="00A5064A"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25</w:t>
            </w:r>
          </w:p>
        </w:tc>
      </w:tr>
      <w:tr w:rsidR="00D6691F" w:rsidRPr="00D6691F" w14:paraId="7EDF7DBA" w14:textId="77777777" w:rsidTr="00A5064A">
        <w:tc>
          <w:tcPr>
            <w:tcW w:w="8220" w:type="dxa"/>
          </w:tcPr>
          <w:p w14:paraId="3B659A32" w14:textId="06F4D6CA" w:rsidR="00FB0AD3" w:rsidRPr="00D6691F" w:rsidRDefault="00625B17"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ru-RU" w:eastAsia="uk-UA"/>
                <w14:ligatures w14:val="none"/>
              </w:rPr>
              <w:t xml:space="preserve">2.3. </w:t>
            </w:r>
            <w:r w:rsidRPr="00D6691F">
              <w:rPr>
                <w:rFonts w:ascii="Times New Roman" w:hAnsi="Times New Roman" w:cs="Times New Roman"/>
                <w:sz w:val="28"/>
                <w:szCs w:val="28"/>
              </w:rPr>
              <w:t>Відтворення синтаксичних особливостей англомовн</w:t>
            </w:r>
            <w:r w:rsidRPr="00D6691F">
              <w:rPr>
                <w:rFonts w:ascii="Times New Roman" w:hAnsi="Times New Roman" w:cs="Times New Roman"/>
                <w:sz w:val="28"/>
                <w:szCs w:val="28"/>
                <w:lang w:val="uk-UA"/>
              </w:rPr>
              <w:t>их</w:t>
            </w:r>
            <w:r w:rsidRPr="00D6691F">
              <w:rPr>
                <w:rFonts w:ascii="Times New Roman" w:hAnsi="Times New Roman" w:cs="Times New Roman"/>
                <w:sz w:val="28"/>
                <w:szCs w:val="28"/>
              </w:rPr>
              <w:t xml:space="preserve"> науково-технічн</w:t>
            </w:r>
            <w:r w:rsidRPr="00D6691F">
              <w:rPr>
                <w:rFonts w:ascii="Times New Roman" w:hAnsi="Times New Roman" w:cs="Times New Roman"/>
                <w:sz w:val="28"/>
                <w:szCs w:val="28"/>
                <w:lang w:val="uk-UA"/>
              </w:rPr>
              <w:t>их</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uk-UA"/>
              </w:rPr>
              <w:t>текстів</w:t>
            </w:r>
          </w:p>
        </w:tc>
        <w:tc>
          <w:tcPr>
            <w:tcW w:w="1124" w:type="dxa"/>
          </w:tcPr>
          <w:p w14:paraId="43D93553" w14:textId="5AFAB4AF" w:rsidR="00CD504D" w:rsidRPr="00D6691F" w:rsidRDefault="00A5064A"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28</w:t>
            </w:r>
          </w:p>
        </w:tc>
      </w:tr>
      <w:tr w:rsidR="00D6691F" w:rsidRPr="00D6691F" w14:paraId="651589DA" w14:textId="77777777" w:rsidTr="00A5064A">
        <w:tc>
          <w:tcPr>
            <w:tcW w:w="8220" w:type="dxa"/>
          </w:tcPr>
          <w:p w14:paraId="3CD07669" w14:textId="2AC6A7D3" w:rsidR="00766A3E" w:rsidRPr="00D6691F" w:rsidRDefault="00A5542A"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 xml:space="preserve">2.4. </w:t>
            </w:r>
            <w:r w:rsidRPr="00D6691F">
              <w:rPr>
                <w:rFonts w:ascii="Times New Roman" w:hAnsi="Times New Roman" w:cs="Times New Roman"/>
                <w:sz w:val="28"/>
                <w:szCs w:val="28"/>
              </w:rPr>
              <w:t>Особливості перекладу інструктивних та експлуатаційних текстів</w:t>
            </w:r>
          </w:p>
        </w:tc>
        <w:tc>
          <w:tcPr>
            <w:tcW w:w="1124" w:type="dxa"/>
          </w:tcPr>
          <w:p w14:paraId="245B7EA0" w14:textId="160A18A0" w:rsidR="00766A3E" w:rsidRPr="00D6691F" w:rsidRDefault="00A5064A"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32</w:t>
            </w:r>
          </w:p>
        </w:tc>
      </w:tr>
      <w:tr w:rsidR="00D6691F" w:rsidRPr="00D6691F" w14:paraId="20E0B0C8" w14:textId="77777777" w:rsidTr="00A5064A">
        <w:tc>
          <w:tcPr>
            <w:tcW w:w="8220" w:type="dxa"/>
          </w:tcPr>
          <w:p w14:paraId="194B1EE3" w14:textId="5973F60F" w:rsidR="005F5DA8" w:rsidRPr="00D6691F" w:rsidRDefault="00A5542A" w:rsidP="00022D14">
            <w:pPr>
              <w:pStyle w:val="3"/>
              <w:spacing w:before="0" w:beforeAutospacing="0" w:after="0" w:afterAutospacing="0"/>
              <w:outlineLvl w:val="2"/>
              <w:rPr>
                <w:b w:val="0"/>
                <w:bCs w:val="0"/>
                <w:sz w:val="28"/>
                <w:szCs w:val="28"/>
              </w:rPr>
            </w:pPr>
            <w:r w:rsidRPr="00D6691F">
              <w:rPr>
                <w:b w:val="0"/>
                <w:bCs w:val="0"/>
                <w:sz w:val="28"/>
                <w:szCs w:val="28"/>
              </w:rPr>
              <w:t>2.5. Стилістичні трансформації у медико-технічних документах</w:t>
            </w:r>
          </w:p>
        </w:tc>
        <w:tc>
          <w:tcPr>
            <w:tcW w:w="1124" w:type="dxa"/>
          </w:tcPr>
          <w:p w14:paraId="71ECB4CA" w14:textId="11CF81DF" w:rsidR="00CD504D" w:rsidRPr="00D6691F" w:rsidRDefault="00A5064A"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36</w:t>
            </w:r>
          </w:p>
        </w:tc>
      </w:tr>
      <w:tr w:rsidR="00D6691F" w:rsidRPr="00D6691F" w14:paraId="064440B4" w14:textId="77777777" w:rsidTr="00A5064A">
        <w:tc>
          <w:tcPr>
            <w:tcW w:w="8220" w:type="dxa"/>
          </w:tcPr>
          <w:p w14:paraId="08641DE2" w14:textId="71A2B097" w:rsidR="005B7F2A" w:rsidRPr="00D6691F" w:rsidRDefault="00A5542A" w:rsidP="00022D14">
            <w:pPr>
              <w:pStyle w:val="3"/>
              <w:spacing w:before="0" w:beforeAutospacing="0" w:after="0" w:afterAutospacing="0"/>
              <w:outlineLvl w:val="2"/>
              <w:rPr>
                <w:b w:val="0"/>
                <w:bCs w:val="0"/>
                <w:sz w:val="28"/>
                <w:szCs w:val="28"/>
              </w:rPr>
            </w:pPr>
            <w:r w:rsidRPr="00D6691F">
              <w:rPr>
                <w:b w:val="0"/>
                <w:bCs w:val="0"/>
                <w:sz w:val="28"/>
                <w:szCs w:val="28"/>
              </w:rPr>
              <w:t>2.6. Відповідність перекладу нормативним вимогам українського науково-технічного дискурсу</w:t>
            </w:r>
          </w:p>
        </w:tc>
        <w:tc>
          <w:tcPr>
            <w:tcW w:w="1124" w:type="dxa"/>
          </w:tcPr>
          <w:p w14:paraId="03DB11BD" w14:textId="426945F8" w:rsidR="005B7F2A" w:rsidRPr="00D6691F" w:rsidRDefault="00A5064A"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40</w:t>
            </w:r>
          </w:p>
        </w:tc>
      </w:tr>
      <w:tr w:rsidR="00D6691F" w:rsidRPr="00D6691F" w14:paraId="72469F30" w14:textId="77777777" w:rsidTr="00A5064A">
        <w:tc>
          <w:tcPr>
            <w:tcW w:w="8220" w:type="dxa"/>
          </w:tcPr>
          <w:p w14:paraId="2531E14D" w14:textId="17C17756" w:rsidR="00FB0AD3" w:rsidRPr="00D6691F"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D6691F">
              <w:rPr>
                <w:rFonts w:ascii="Times New Roman" w:eastAsia="Times New Roman" w:hAnsi="Times New Roman" w:cs="Times New Roman"/>
                <w:kern w:val="0"/>
                <w:sz w:val="28"/>
                <w:szCs w:val="28"/>
                <w:lang w:val="uk-UA" w:eastAsia="uk-UA"/>
                <w14:ligatures w14:val="none"/>
              </w:rPr>
              <w:t xml:space="preserve">Висновки до розділу </w:t>
            </w:r>
            <w:r w:rsidR="006C72E7" w:rsidRPr="00D6691F">
              <w:rPr>
                <w:rFonts w:ascii="Times New Roman" w:eastAsia="Times New Roman" w:hAnsi="Times New Roman" w:cs="Times New Roman"/>
                <w:kern w:val="0"/>
                <w:sz w:val="28"/>
                <w:szCs w:val="28"/>
                <w:lang w:val="uk-UA" w:eastAsia="uk-UA"/>
                <w14:ligatures w14:val="none"/>
              </w:rPr>
              <w:t>2</w:t>
            </w:r>
          </w:p>
        </w:tc>
        <w:tc>
          <w:tcPr>
            <w:tcW w:w="1124" w:type="dxa"/>
          </w:tcPr>
          <w:p w14:paraId="059CFA9A" w14:textId="3E355FB7" w:rsidR="00FB0AD3" w:rsidRPr="00D6691F" w:rsidRDefault="00A5064A"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43</w:t>
            </w:r>
          </w:p>
        </w:tc>
      </w:tr>
      <w:tr w:rsidR="00D6691F" w:rsidRPr="00D6691F" w14:paraId="3C679CD4" w14:textId="77777777" w:rsidTr="00A5064A">
        <w:tc>
          <w:tcPr>
            <w:tcW w:w="8220" w:type="dxa"/>
          </w:tcPr>
          <w:p w14:paraId="3045DC7C" w14:textId="3F5A30B2" w:rsidR="00FB0AD3" w:rsidRPr="00D6691F"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D6691F">
              <w:rPr>
                <w:rFonts w:ascii="Times New Roman" w:eastAsia="Times New Roman" w:hAnsi="Times New Roman" w:cs="Times New Roman"/>
                <w:kern w:val="0"/>
                <w:sz w:val="28"/>
                <w:szCs w:val="28"/>
                <w:lang w:val="uk-UA" w:eastAsia="uk-UA"/>
                <w14:ligatures w14:val="none"/>
              </w:rPr>
              <w:t>Висновки</w:t>
            </w:r>
          </w:p>
        </w:tc>
        <w:tc>
          <w:tcPr>
            <w:tcW w:w="1124" w:type="dxa"/>
          </w:tcPr>
          <w:p w14:paraId="03284EE7" w14:textId="7F85773E" w:rsidR="00FB0AD3" w:rsidRPr="00D6691F" w:rsidRDefault="00875ADD"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47</w:t>
            </w:r>
          </w:p>
        </w:tc>
      </w:tr>
      <w:tr w:rsidR="00D6691F" w:rsidRPr="00D6691F" w14:paraId="5A454F25" w14:textId="77777777" w:rsidTr="00A5064A">
        <w:tc>
          <w:tcPr>
            <w:tcW w:w="8220" w:type="dxa"/>
          </w:tcPr>
          <w:p w14:paraId="01C95BE2" w14:textId="4EBA83CE" w:rsidR="00FB0AD3" w:rsidRPr="00D6691F"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D6691F">
              <w:rPr>
                <w:rFonts w:ascii="Times New Roman" w:eastAsia="Times New Roman" w:hAnsi="Times New Roman" w:cs="Times New Roman"/>
                <w:kern w:val="0"/>
                <w:sz w:val="28"/>
                <w:szCs w:val="28"/>
                <w:lang w:val="uk-UA" w:eastAsia="uk-UA"/>
                <w14:ligatures w14:val="none"/>
              </w:rPr>
              <w:t>Список використаної літератур</w:t>
            </w:r>
            <w:r w:rsidR="006C72E7" w:rsidRPr="00D6691F">
              <w:rPr>
                <w:rFonts w:ascii="Times New Roman" w:eastAsia="Times New Roman" w:hAnsi="Times New Roman" w:cs="Times New Roman"/>
                <w:kern w:val="0"/>
                <w:sz w:val="28"/>
                <w:szCs w:val="28"/>
                <w:lang w:val="uk-UA" w:eastAsia="uk-UA"/>
                <w14:ligatures w14:val="none"/>
              </w:rPr>
              <w:t>и</w:t>
            </w:r>
          </w:p>
        </w:tc>
        <w:tc>
          <w:tcPr>
            <w:tcW w:w="1124" w:type="dxa"/>
          </w:tcPr>
          <w:p w14:paraId="24D6AA05" w14:textId="34477248" w:rsidR="00FB0AD3" w:rsidRPr="00D6691F" w:rsidRDefault="00875ADD"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51</w:t>
            </w:r>
          </w:p>
        </w:tc>
      </w:tr>
      <w:tr w:rsidR="00D6691F" w:rsidRPr="00D6691F" w14:paraId="2AED80AB" w14:textId="77777777" w:rsidTr="00A5064A">
        <w:trPr>
          <w:trHeight w:val="68"/>
        </w:trPr>
        <w:tc>
          <w:tcPr>
            <w:tcW w:w="8220" w:type="dxa"/>
          </w:tcPr>
          <w:p w14:paraId="0D99A03D" w14:textId="48331C47" w:rsidR="00FB0AD3" w:rsidRPr="00D6691F"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D6691F">
              <w:rPr>
                <w:rFonts w:ascii="Times New Roman" w:eastAsia="Times New Roman" w:hAnsi="Times New Roman" w:cs="Times New Roman"/>
                <w:kern w:val="0"/>
                <w:sz w:val="28"/>
                <w:szCs w:val="28"/>
                <w:lang w:val="uk-UA" w:eastAsia="uk-UA"/>
                <w14:ligatures w14:val="none"/>
              </w:rPr>
              <w:t xml:space="preserve">Анотація </w:t>
            </w:r>
          </w:p>
        </w:tc>
        <w:tc>
          <w:tcPr>
            <w:tcW w:w="1124" w:type="dxa"/>
          </w:tcPr>
          <w:p w14:paraId="59A5063F" w14:textId="4D606B44" w:rsidR="00FB0AD3" w:rsidRPr="00D6691F" w:rsidRDefault="00875ADD"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57</w:t>
            </w:r>
          </w:p>
        </w:tc>
      </w:tr>
      <w:tr w:rsidR="00D6691F" w:rsidRPr="00D6691F" w14:paraId="0B3DD072" w14:textId="77777777" w:rsidTr="00A5064A">
        <w:tc>
          <w:tcPr>
            <w:tcW w:w="8220" w:type="dxa"/>
          </w:tcPr>
          <w:p w14:paraId="4C43F074" w14:textId="53FE174D" w:rsidR="00FB0AD3" w:rsidRPr="00D6691F"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D6691F">
              <w:rPr>
                <w:rFonts w:ascii="Times New Roman" w:eastAsia="Times New Roman" w:hAnsi="Times New Roman" w:cs="Times New Roman"/>
                <w:kern w:val="0"/>
                <w:sz w:val="28"/>
                <w:szCs w:val="28"/>
                <w:lang w:val="en-US" w:eastAsia="uk-UA"/>
                <w14:ligatures w14:val="none"/>
              </w:rPr>
              <w:t>Abstract</w:t>
            </w:r>
          </w:p>
        </w:tc>
        <w:tc>
          <w:tcPr>
            <w:tcW w:w="1124" w:type="dxa"/>
          </w:tcPr>
          <w:p w14:paraId="656C6A7B" w14:textId="242D99F8" w:rsidR="00FB0AD3" w:rsidRPr="00D6691F" w:rsidRDefault="00875ADD"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59</w:t>
            </w:r>
          </w:p>
        </w:tc>
      </w:tr>
    </w:tbl>
    <w:p w14:paraId="2C12DF1E" w14:textId="106C5D5A" w:rsidR="00E30FC6" w:rsidRPr="00D6691F" w:rsidRDefault="00E30FC6" w:rsidP="00022D14">
      <w:pPr>
        <w:spacing w:after="0"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D6691F" w:rsidRDefault="00F945D5" w:rsidP="00022D14">
      <w:pPr>
        <w:spacing w:after="0"/>
        <w:rPr>
          <w:rFonts w:ascii="Times New Roman" w:hAnsi="Times New Roman" w:cs="Times New Roman"/>
          <w:sz w:val="28"/>
          <w:szCs w:val="28"/>
        </w:rPr>
      </w:pPr>
    </w:p>
    <w:p w14:paraId="4FF8AB1C" w14:textId="77777777" w:rsidR="005B3E5E" w:rsidRPr="00D6691F" w:rsidRDefault="005B3E5E" w:rsidP="005B3E5E">
      <w:pPr>
        <w:pStyle w:val="a3"/>
        <w:spacing w:before="0" w:beforeAutospacing="0" w:after="0" w:afterAutospacing="0" w:line="360" w:lineRule="auto"/>
        <w:ind w:firstLine="709"/>
        <w:jc w:val="both"/>
        <w:rPr>
          <w:rStyle w:val="a4"/>
          <w:b w:val="0"/>
          <w:bCs w:val="0"/>
          <w:sz w:val="28"/>
          <w:szCs w:val="28"/>
        </w:rPr>
      </w:pPr>
    </w:p>
    <w:p w14:paraId="6EC2F567" w14:textId="77777777" w:rsidR="005B3E5E" w:rsidRPr="00D6691F" w:rsidRDefault="005B3E5E" w:rsidP="005B3E5E">
      <w:pPr>
        <w:pStyle w:val="a3"/>
        <w:spacing w:before="0" w:beforeAutospacing="0" w:after="0" w:afterAutospacing="0" w:line="360" w:lineRule="auto"/>
        <w:ind w:firstLine="709"/>
        <w:jc w:val="both"/>
        <w:rPr>
          <w:rStyle w:val="a4"/>
          <w:sz w:val="28"/>
          <w:szCs w:val="28"/>
        </w:rPr>
      </w:pPr>
    </w:p>
    <w:p w14:paraId="5E45312A" w14:textId="77777777" w:rsidR="005B3E5E" w:rsidRPr="00D6691F" w:rsidRDefault="005B3E5E" w:rsidP="005B3E5E">
      <w:pPr>
        <w:pStyle w:val="a3"/>
        <w:spacing w:before="0" w:beforeAutospacing="0" w:after="0" w:afterAutospacing="0" w:line="360" w:lineRule="auto"/>
        <w:ind w:firstLine="709"/>
        <w:jc w:val="both"/>
        <w:rPr>
          <w:rStyle w:val="a4"/>
          <w:sz w:val="28"/>
          <w:szCs w:val="28"/>
        </w:rPr>
      </w:pPr>
    </w:p>
    <w:p w14:paraId="738FFD65" w14:textId="77777777" w:rsidR="005B3E5E" w:rsidRPr="00D6691F" w:rsidRDefault="005B3E5E" w:rsidP="005B3E5E">
      <w:pPr>
        <w:pStyle w:val="a3"/>
        <w:spacing w:before="0" w:beforeAutospacing="0" w:after="0" w:afterAutospacing="0" w:line="360" w:lineRule="auto"/>
        <w:ind w:firstLine="709"/>
        <w:jc w:val="both"/>
        <w:rPr>
          <w:rStyle w:val="a4"/>
          <w:sz w:val="28"/>
          <w:szCs w:val="28"/>
        </w:rPr>
      </w:pPr>
    </w:p>
    <w:p w14:paraId="6C029C1D" w14:textId="77777777" w:rsidR="005B3E5E" w:rsidRPr="00D6691F" w:rsidRDefault="005B3E5E" w:rsidP="005B3E5E">
      <w:pPr>
        <w:pStyle w:val="a3"/>
        <w:spacing w:before="0" w:beforeAutospacing="0" w:after="0" w:afterAutospacing="0" w:line="360" w:lineRule="auto"/>
        <w:ind w:firstLine="709"/>
        <w:jc w:val="both"/>
        <w:rPr>
          <w:rStyle w:val="a4"/>
          <w:sz w:val="28"/>
          <w:szCs w:val="28"/>
        </w:rPr>
      </w:pPr>
    </w:p>
    <w:p w14:paraId="2193A5DC" w14:textId="77777777" w:rsidR="005B3E5E" w:rsidRPr="00D6691F" w:rsidRDefault="005B3E5E" w:rsidP="005B3E5E">
      <w:pPr>
        <w:pStyle w:val="a3"/>
        <w:spacing w:before="0" w:beforeAutospacing="0" w:after="0" w:afterAutospacing="0" w:line="360" w:lineRule="auto"/>
        <w:ind w:firstLine="709"/>
        <w:jc w:val="both"/>
        <w:rPr>
          <w:rStyle w:val="a4"/>
          <w:sz w:val="28"/>
          <w:szCs w:val="28"/>
        </w:rPr>
      </w:pPr>
    </w:p>
    <w:p w14:paraId="3CC9D018" w14:textId="77777777" w:rsidR="005B3E5E" w:rsidRPr="00D6691F" w:rsidRDefault="005B3E5E" w:rsidP="005B3E5E">
      <w:pPr>
        <w:pStyle w:val="a3"/>
        <w:spacing w:before="0" w:beforeAutospacing="0" w:after="0" w:afterAutospacing="0" w:line="360" w:lineRule="auto"/>
        <w:ind w:firstLine="709"/>
        <w:jc w:val="both"/>
        <w:rPr>
          <w:rStyle w:val="a4"/>
          <w:sz w:val="28"/>
          <w:szCs w:val="28"/>
        </w:rPr>
      </w:pPr>
    </w:p>
    <w:p w14:paraId="3D8FB481" w14:textId="77777777" w:rsidR="00D56D90" w:rsidRPr="00D6691F" w:rsidRDefault="00D56D90" w:rsidP="00363246">
      <w:pPr>
        <w:pStyle w:val="a3"/>
        <w:spacing w:before="0" w:beforeAutospacing="0" w:after="0" w:afterAutospacing="0" w:line="360" w:lineRule="auto"/>
        <w:ind w:firstLine="709"/>
        <w:jc w:val="center"/>
        <w:rPr>
          <w:rStyle w:val="a4"/>
          <w:caps/>
          <w:sz w:val="28"/>
          <w:szCs w:val="28"/>
        </w:rPr>
      </w:pPr>
    </w:p>
    <w:p w14:paraId="0B210153" w14:textId="77777777" w:rsidR="00BC6ECA" w:rsidRPr="00D6691F" w:rsidRDefault="00BC6ECA" w:rsidP="00363246">
      <w:pPr>
        <w:pStyle w:val="a3"/>
        <w:spacing w:before="0" w:beforeAutospacing="0" w:after="0" w:afterAutospacing="0" w:line="360" w:lineRule="auto"/>
        <w:ind w:firstLine="709"/>
        <w:jc w:val="center"/>
        <w:rPr>
          <w:rStyle w:val="a4"/>
          <w:caps/>
          <w:sz w:val="28"/>
          <w:szCs w:val="28"/>
        </w:rPr>
      </w:pPr>
    </w:p>
    <w:p w14:paraId="06E80AE8" w14:textId="77777777" w:rsidR="00355021" w:rsidRDefault="00355021" w:rsidP="00363246">
      <w:pPr>
        <w:pStyle w:val="a3"/>
        <w:spacing w:before="0" w:beforeAutospacing="0" w:after="0" w:afterAutospacing="0" w:line="360" w:lineRule="auto"/>
        <w:ind w:firstLine="709"/>
        <w:jc w:val="center"/>
        <w:rPr>
          <w:rStyle w:val="a4"/>
          <w:caps/>
          <w:sz w:val="28"/>
          <w:szCs w:val="28"/>
        </w:rPr>
      </w:pPr>
    </w:p>
    <w:p w14:paraId="2F07321D" w14:textId="035C4C4E" w:rsidR="00D13E01" w:rsidRPr="00D6691F" w:rsidRDefault="00D13E01" w:rsidP="00363246">
      <w:pPr>
        <w:pStyle w:val="a3"/>
        <w:spacing w:before="0" w:beforeAutospacing="0" w:after="0" w:afterAutospacing="0" w:line="360" w:lineRule="auto"/>
        <w:ind w:firstLine="709"/>
        <w:jc w:val="center"/>
        <w:rPr>
          <w:rStyle w:val="a4"/>
          <w:caps/>
          <w:sz w:val="28"/>
          <w:szCs w:val="28"/>
        </w:rPr>
      </w:pPr>
      <w:r w:rsidRPr="00D6691F">
        <w:rPr>
          <w:rStyle w:val="a4"/>
          <w:caps/>
          <w:sz w:val="28"/>
          <w:szCs w:val="28"/>
        </w:rPr>
        <w:lastRenderedPageBreak/>
        <w:t>Вступ</w:t>
      </w:r>
    </w:p>
    <w:p w14:paraId="765575B6" w14:textId="3E1964B3" w:rsidR="00BC6ECA" w:rsidRPr="00BC6ECA"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Стрімкий розвиток науки й техніки, інтенсивне поширення міжнародних технологічних стандартів та глобалізація наукової комунікації зумовлюють зростання потреби у високоякісному перекладі науково-технічної літератури. Англійська мова, яка домінує як мова міжнародної наукової взаємодії, створює умови для активного запозичення нових термінів, концептів і технологічних описів, тоді як українська мова повинна забезпечувати адекватне, нормативно точне й стилістично коректне відтворення цих елементів у межах національного професійного дискурсу. У таких умовах перекладач виступає не лише посередником між мовами, а й учасником процесу формування української науково-технічної терміносистеми та фахового стилю</w:t>
      </w:r>
      <w:r w:rsidR="003D0CB1" w:rsidRPr="003D0CB1">
        <w:rPr>
          <w:rFonts w:ascii="Times New Roman" w:eastAsia="Times New Roman" w:hAnsi="Times New Roman" w:cs="Times New Roman"/>
          <w:kern w:val="0"/>
          <w:sz w:val="28"/>
          <w:szCs w:val="28"/>
          <w:lang w:val="ru-RU" w:eastAsia="uk-UA"/>
          <w14:ligatures w14:val="none"/>
        </w:rPr>
        <w:t xml:space="preserve"> [2</w:t>
      </w:r>
      <w:r w:rsidR="003D0CB1">
        <w:rPr>
          <w:rFonts w:ascii="Times New Roman" w:eastAsia="Times New Roman" w:hAnsi="Times New Roman" w:cs="Times New Roman"/>
          <w:kern w:val="0"/>
          <w:sz w:val="28"/>
          <w:szCs w:val="28"/>
          <w:lang w:val="en-US" w:eastAsia="uk-UA"/>
          <w14:ligatures w14:val="none"/>
        </w:rPr>
        <w:t>2]</w:t>
      </w:r>
      <w:r w:rsidRPr="00BC6ECA">
        <w:rPr>
          <w:rFonts w:ascii="Times New Roman" w:eastAsia="Times New Roman" w:hAnsi="Times New Roman" w:cs="Times New Roman"/>
          <w:kern w:val="0"/>
          <w:sz w:val="28"/>
          <w:szCs w:val="28"/>
          <w:lang w:val="uk-UA" w:eastAsia="uk-UA"/>
          <w14:ligatures w14:val="none"/>
        </w:rPr>
        <w:t>. Це визначає актуальність дослідження стилістики перекладу науково-технічних текстів як складної багаторівневої діяльності, що потребує врахування лексичних, термінологічних, синтаксичних і нормативних параметрів.</w:t>
      </w:r>
    </w:p>
    <w:p w14:paraId="4791BFD4" w14:textId="76356BF3" w:rsidR="00BC6ECA" w:rsidRPr="00BC6ECA" w:rsidRDefault="00932498"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32498">
        <w:rPr>
          <w:rFonts w:ascii="Times New Roman" w:hAnsi="Times New Roman" w:cs="Times New Roman"/>
          <w:color w:val="333333"/>
          <w:sz w:val="28"/>
          <w:szCs w:val="28"/>
        </w:rPr>
        <w:t>Точний і чіткий виклад матеріалу з майже повною відсутністю тих елементів, що надають мовленню емоційну насиченість є основною стилістичною рисою науково-технічного тексту. Головний акцент ставиться на логічний, а не на емоційно-чуттєвий бік. У науково-технічному тексті автор  прагне виключити можливість довільного тлумачення природи предмета. Завдяки цьому текст стає більш інформативним.</w:t>
      </w:r>
      <w:r w:rsidRPr="00932498">
        <w:rPr>
          <w:rFonts w:ascii="Times New Roman" w:hAnsi="Times New Roman" w:cs="Times New Roman"/>
          <w:color w:val="333333"/>
          <w:sz w:val="28"/>
          <w:szCs w:val="28"/>
          <w:lang w:val="uk-UA"/>
        </w:rPr>
        <w:t xml:space="preserve"> </w:t>
      </w:r>
      <w:r w:rsidR="00BC6ECA" w:rsidRPr="00932498">
        <w:rPr>
          <w:rFonts w:ascii="Times New Roman" w:eastAsia="Times New Roman" w:hAnsi="Times New Roman" w:cs="Times New Roman"/>
          <w:kern w:val="0"/>
          <w:sz w:val="28"/>
          <w:szCs w:val="28"/>
          <w:lang w:val="uk-UA" w:eastAsia="uk-UA"/>
          <w14:ligatures w14:val="none"/>
        </w:rPr>
        <w:t>Йому прит</w:t>
      </w:r>
      <w:r w:rsidR="00BC6ECA" w:rsidRPr="00BC6ECA">
        <w:rPr>
          <w:rFonts w:ascii="Times New Roman" w:eastAsia="Times New Roman" w:hAnsi="Times New Roman" w:cs="Times New Roman"/>
          <w:kern w:val="0"/>
          <w:sz w:val="28"/>
          <w:szCs w:val="28"/>
          <w:lang w:val="uk-UA" w:eastAsia="uk-UA"/>
          <w14:ligatures w14:val="none"/>
        </w:rPr>
        <w:t>аманні термінологічна насиченість, компактність синтаксичних конструкцій, частотне використання багатокомпонентних іменникових груп, абревіатур, умовних позначень і спеціалізованих класифікацій. У процесі перекладу ці особливості стикаються з міжмовними розбіжностями в граматичній будові, словотвірних моделях та нормами української технічної комунікації, що зумовлює низку труднощів: пошук точних термінологічних відповідників, відтворення компресійних структур, синтаксичне узгодження компонентів, адаптацію імперативності інструкцій, стандартизацію фахових назв тощо</w:t>
      </w:r>
      <w:r w:rsidR="00CE7A41">
        <w:rPr>
          <w:rFonts w:ascii="Times New Roman" w:eastAsia="Times New Roman" w:hAnsi="Times New Roman" w:cs="Times New Roman"/>
          <w:kern w:val="0"/>
          <w:sz w:val="28"/>
          <w:szCs w:val="28"/>
          <w:lang w:val="uk-UA" w:eastAsia="uk-UA"/>
          <w14:ligatures w14:val="none"/>
        </w:rPr>
        <w:t xml:space="preserve"> </w:t>
      </w:r>
      <w:r w:rsidR="00CE7A41" w:rsidRPr="00CE7A41">
        <w:rPr>
          <w:rFonts w:ascii="Times New Roman" w:eastAsia="Times New Roman" w:hAnsi="Times New Roman" w:cs="Times New Roman"/>
          <w:kern w:val="0"/>
          <w:sz w:val="28"/>
          <w:szCs w:val="28"/>
          <w:lang w:val="uk-UA" w:eastAsia="uk-UA"/>
          <w14:ligatures w14:val="none"/>
        </w:rPr>
        <w:t>[22]</w:t>
      </w:r>
      <w:r w:rsidR="00BC6ECA" w:rsidRPr="00BC6ECA">
        <w:rPr>
          <w:rFonts w:ascii="Times New Roman" w:eastAsia="Times New Roman" w:hAnsi="Times New Roman" w:cs="Times New Roman"/>
          <w:kern w:val="0"/>
          <w:sz w:val="28"/>
          <w:szCs w:val="28"/>
          <w:lang w:val="uk-UA" w:eastAsia="uk-UA"/>
          <w14:ligatures w14:val="none"/>
        </w:rPr>
        <w:t>.</w:t>
      </w:r>
    </w:p>
    <w:p w14:paraId="3D78F378" w14:textId="77777777" w:rsidR="00BC6ECA" w:rsidRPr="00BC6ECA"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Об’єктом дослідження є англомовні науково-технічні тексти та їх українські переклади.</w:t>
      </w:r>
    </w:p>
    <w:p w14:paraId="6421190F" w14:textId="77777777" w:rsidR="00BC6ECA" w:rsidRPr="00BC6ECA"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lastRenderedPageBreak/>
        <w:t>Предметом дослідження виступають стилістичні особливості перекладу науково-технічних текстів, зокрема способи відтворення термінології, синтаксичних структур, інструктивних формулювань, медико-технічних описів і нормативних характеристик технічного дискурсу в українській мові.</w:t>
      </w:r>
    </w:p>
    <w:p w14:paraId="64CB45D0" w14:textId="77777777" w:rsidR="00BC6ECA" w:rsidRPr="00BC6ECA"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b/>
          <w:bCs/>
          <w:kern w:val="0"/>
          <w:sz w:val="28"/>
          <w:szCs w:val="28"/>
          <w:lang w:val="uk-UA" w:eastAsia="uk-UA"/>
          <w14:ligatures w14:val="none"/>
        </w:rPr>
        <w:t>Метою</w:t>
      </w:r>
      <w:r w:rsidRPr="00BC6ECA">
        <w:rPr>
          <w:rFonts w:ascii="Times New Roman" w:eastAsia="Times New Roman" w:hAnsi="Times New Roman" w:cs="Times New Roman"/>
          <w:kern w:val="0"/>
          <w:sz w:val="28"/>
          <w:szCs w:val="28"/>
          <w:lang w:val="uk-UA" w:eastAsia="uk-UA"/>
          <w14:ligatures w14:val="none"/>
        </w:rPr>
        <w:t xml:space="preserve"> дослідження є виявлення, систематизація та аналіз стилістичних закономірностей перекладу англомовних науково-технічних текстів українською мовою на основі корпусного матеріалу.</w:t>
      </w:r>
    </w:p>
    <w:p w14:paraId="1841F375" w14:textId="77777777" w:rsidR="00BC6ECA" w:rsidRPr="00D6691F"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xml:space="preserve">Досягнення поставленої мети передбачає виконання таких </w:t>
      </w:r>
      <w:r w:rsidRPr="00BC6ECA">
        <w:rPr>
          <w:rFonts w:ascii="Times New Roman" w:eastAsia="Times New Roman" w:hAnsi="Times New Roman" w:cs="Times New Roman"/>
          <w:b/>
          <w:bCs/>
          <w:kern w:val="0"/>
          <w:sz w:val="28"/>
          <w:szCs w:val="28"/>
          <w:lang w:val="uk-UA" w:eastAsia="uk-UA"/>
          <w14:ligatures w14:val="none"/>
        </w:rPr>
        <w:t>завдань</w:t>
      </w:r>
      <w:r w:rsidRPr="00BC6ECA">
        <w:rPr>
          <w:rFonts w:ascii="Times New Roman" w:eastAsia="Times New Roman" w:hAnsi="Times New Roman" w:cs="Times New Roman"/>
          <w:kern w:val="0"/>
          <w:sz w:val="28"/>
          <w:szCs w:val="28"/>
          <w:lang w:val="uk-UA" w:eastAsia="uk-UA"/>
          <w14:ligatures w14:val="none"/>
        </w:rPr>
        <w:t>:</w:t>
      </w:r>
      <w:r w:rsidRPr="00BC6ECA">
        <w:rPr>
          <w:rFonts w:ascii="Times New Roman" w:eastAsia="Times New Roman" w:hAnsi="Times New Roman" w:cs="Times New Roman"/>
          <w:kern w:val="0"/>
          <w:sz w:val="28"/>
          <w:szCs w:val="28"/>
          <w:lang w:val="uk-UA" w:eastAsia="uk-UA"/>
          <w14:ligatures w14:val="none"/>
        </w:rPr>
        <w:br/>
        <w:t>– описати лінгвостилістичні особливості англомовної науково-технічної літератури та визначити їхній вплив на переклад;</w:t>
      </w:r>
    </w:p>
    <w:p w14:paraId="2C785F16" w14:textId="77777777" w:rsidR="00BC6ECA" w:rsidRPr="00D6691F" w:rsidRDefault="00BC6ECA" w:rsidP="00BC6ECA">
      <w:pPr>
        <w:spacing w:after="0" w:line="360" w:lineRule="auto"/>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проаналізувати основні труднощі перекладу термінологічної лексики та шляхи їх подолання;</w:t>
      </w:r>
    </w:p>
    <w:p w14:paraId="102CAE95" w14:textId="77777777" w:rsidR="00BC6ECA" w:rsidRPr="00D6691F" w:rsidRDefault="00BC6ECA" w:rsidP="00BC6ECA">
      <w:pPr>
        <w:spacing w:after="0" w:line="360" w:lineRule="auto"/>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дослідити особливості відтворення англомовних синтаксичних конструкцій у технічному перекладі;</w:t>
      </w:r>
    </w:p>
    <w:p w14:paraId="01DCD319" w14:textId="77777777" w:rsidR="00BC6ECA" w:rsidRPr="00D6691F" w:rsidRDefault="00BC6ECA" w:rsidP="00BC6ECA">
      <w:pPr>
        <w:spacing w:after="0" w:line="360" w:lineRule="auto"/>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з’ясувати специфіку перекладу інструктивних та експлуатаційних фрагментів;</w:t>
      </w:r>
      <w:r w:rsidRPr="00BC6ECA">
        <w:rPr>
          <w:rFonts w:ascii="Times New Roman" w:eastAsia="Times New Roman" w:hAnsi="Times New Roman" w:cs="Times New Roman"/>
          <w:kern w:val="0"/>
          <w:sz w:val="28"/>
          <w:szCs w:val="28"/>
          <w:lang w:val="uk-UA" w:eastAsia="uk-UA"/>
          <w14:ligatures w14:val="none"/>
        </w:rPr>
        <w:br/>
        <w:t>– визначити стилістичні трансформації, характерні для перекладу медико-технічних документів;</w:t>
      </w:r>
    </w:p>
    <w:p w14:paraId="0B2F1AD3" w14:textId="77777777" w:rsidR="00BC6ECA" w:rsidRPr="00D6691F" w:rsidRDefault="00BC6ECA" w:rsidP="00BC6ECA">
      <w:pPr>
        <w:spacing w:after="0" w:line="360" w:lineRule="auto"/>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оцінити відповідність перекладу нормативним вимогам українського науково-технічного дискурсу;</w:t>
      </w:r>
    </w:p>
    <w:p w14:paraId="654235F2" w14:textId="2924B55E" w:rsidR="00BC6ECA" w:rsidRPr="00BC6ECA" w:rsidRDefault="00BC6ECA" w:rsidP="00BC6ECA">
      <w:pPr>
        <w:spacing w:after="0" w:line="360" w:lineRule="auto"/>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узагальнити типові перекладацькі стратегії та визначити чинники, що впливають на стилістичну адекватність перекладу.</w:t>
      </w:r>
    </w:p>
    <w:p w14:paraId="381C68A5" w14:textId="77777777" w:rsidR="00BC6ECA" w:rsidRPr="00BC6ECA"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Методологічну основу роботи становлять методи лінгвістичного аналізу, описово-аналітичний метод, зіставний метод, елементи структурного й дискурсивного аналізу, методи перекладознавчої інтерпретації та корпусні підходи до дослідження паралельних текстів.</w:t>
      </w:r>
    </w:p>
    <w:p w14:paraId="34E752B7" w14:textId="77777777" w:rsidR="00BC6ECA" w:rsidRPr="00BC6ECA"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xml:space="preserve">Матеріалом дослідження є паралельні англомовно-українські фрагменти з Multilingual English, French, Polish to Ukrainian Parallel Corpus (European Language Grid). До вибірки увійшло 120 текстових сегментів різних жанрів: інструктивні й експлуатаційні тексти, наукові статті, медико-технічні </w:t>
      </w:r>
      <w:r w:rsidRPr="00BC6ECA">
        <w:rPr>
          <w:rFonts w:ascii="Times New Roman" w:eastAsia="Times New Roman" w:hAnsi="Times New Roman" w:cs="Times New Roman"/>
          <w:kern w:val="0"/>
          <w:sz w:val="28"/>
          <w:szCs w:val="28"/>
          <w:lang w:val="uk-UA" w:eastAsia="uk-UA"/>
          <w14:ligatures w14:val="none"/>
        </w:rPr>
        <w:lastRenderedPageBreak/>
        <w:t>документи та науково-популярні технологічні огляди. Використання корпусної бази забезпечує точність зіставлення оригіналу та перекладу, фіксацію перекладацьких рішень і репрезентативність аналізу.</w:t>
      </w:r>
    </w:p>
    <w:p w14:paraId="295D08FA" w14:textId="77777777" w:rsidR="00BC6ECA" w:rsidRPr="00BC6ECA"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Наукова новизна роботи полягає у комплексному описі стилістичних параметрів перекладу англомовної науково-технічної літератури з опорою на корпус паралельних текстів та у визначенні закономірностей відтворення термінології, синтаксичних моделей і жанрових особливостей технічного дискурсу українською мовою.</w:t>
      </w:r>
    </w:p>
    <w:p w14:paraId="712E3822" w14:textId="77777777" w:rsidR="00BC6ECA" w:rsidRPr="00BC6ECA"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Теоретичне значення дослідження полягає у поглибленні уявлень про стилістику перекладу науково-технічних текстів, уточненні структурно-семантичних параметрів термінології та описі формально-синтаксичних трансформацій, властивих технічному перекладу.</w:t>
      </w:r>
    </w:p>
    <w:p w14:paraId="152C5DF9" w14:textId="2E4D7D12" w:rsidR="00BC6ECA" w:rsidRPr="00D6691F" w:rsidRDefault="00BC6ECA"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Практичне значення результатів полягає у можливості їх застосування в навчальних курсах з перекладознавства, у підготовці перекладачів технічного профілю, у створенні термінологічних ресурсів, а також у вдосконаленні практики перекладу технічної документації та галузевих стандартів.</w:t>
      </w:r>
    </w:p>
    <w:p w14:paraId="0D67ECEE" w14:textId="77777777" w:rsidR="00C30EC1" w:rsidRPr="00D6691F" w:rsidRDefault="00C30EC1"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6691F">
        <w:rPr>
          <w:rFonts w:ascii="Times New Roman" w:eastAsia="Times New Roman" w:hAnsi="Times New Roman" w:cs="Times New Roman"/>
          <w:kern w:val="0"/>
          <w:sz w:val="28"/>
          <w:szCs w:val="28"/>
          <w:lang w:val="uk-UA" w:eastAsia="uk-UA"/>
          <w14:ligatures w14:val="none"/>
        </w:rPr>
        <w:t>Результати дослідження апробовано на IV Міжнародній науково-практичній конференції «Академічні студії з філології» (5 листопада 2025 р.).</w:t>
      </w:r>
    </w:p>
    <w:p w14:paraId="66F90E8C" w14:textId="77777777" w:rsidR="00C30EC1" w:rsidRPr="00D6691F" w:rsidRDefault="00C30EC1" w:rsidP="00C30EC1">
      <w:pPr>
        <w:spacing w:after="0" w:line="360" w:lineRule="auto"/>
        <w:ind w:firstLine="709"/>
        <w:jc w:val="both"/>
        <w:rPr>
          <w:rFonts w:ascii="Times New Roman" w:hAnsi="Times New Roman" w:cs="Times New Roman"/>
          <w:sz w:val="28"/>
          <w:szCs w:val="28"/>
          <w:lang w:val="uk-UA"/>
        </w:rPr>
      </w:pPr>
    </w:p>
    <w:p w14:paraId="6DC3D8FA" w14:textId="77777777" w:rsidR="00C30EC1" w:rsidRPr="00BC6ECA" w:rsidRDefault="00C30EC1" w:rsidP="00BC6EC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08BD11F" w14:textId="0EE2406C" w:rsidR="003B1533" w:rsidRPr="00D6691F" w:rsidRDefault="003B1533" w:rsidP="00BC6ECA">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8CE1E85" w14:textId="77777777" w:rsidR="003B1533" w:rsidRPr="00D6691F" w:rsidRDefault="003B1533" w:rsidP="00BC6ECA">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1A50B6B"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47E3C968"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44446600"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07809244"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18BC4C92"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3FD7E461"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24D58894"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2E571444"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6D7D7FD1" w14:textId="5DB1319E" w:rsidR="00363246" w:rsidRPr="00D6691F"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D6691F">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2221D553" w:rsidR="00B56E98" w:rsidRPr="00D6691F"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D6691F">
        <w:rPr>
          <w:rFonts w:ascii="Times New Roman" w:eastAsia="Times New Roman" w:hAnsi="Times New Roman" w:cs="Times New Roman"/>
          <w:b/>
          <w:bCs/>
          <w:caps/>
          <w:kern w:val="0"/>
          <w:sz w:val="28"/>
          <w:szCs w:val="28"/>
          <w:lang w:val="uk-UA" w:eastAsia="uk-UA"/>
          <w14:ligatures w14:val="none"/>
        </w:rPr>
        <w:t>Теоретичні засади дослідження</w:t>
      </w:r>
    </w:p>
    <w:p w14:paraId="0701A680" w14:textId="77777777" w:rsidR="00C30EC1" w:rsidRPr="00D6691F" w:rsidRDefault="00C30EC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55DC5CC5" w14:textId="77777777" w:rsidR="0036346A" w:rsidRPr="00D6691F" w:rsidRDefault="0036346A" w:rsidP="00C30EC1">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D6691F">
        <w:rPr>
          <w:rStyle w:val="a4"/>
          <w:rFonts w:ascii="Times New Roman" w:hAnsi="Times New Roman" w:cs="Times New Roman"/>
          <w:color w:val="auto"/>
          <w:sz w:val="28"/>
          <w:szCs w:val="28"/>
        </w:rPr>
        <w:t>1.1. Науково-технічний стиль як різновид фахового мовлення</w:t>
      </w:r>
    </w:p>
    <w:p w14:paraId="3A68AAA6" w14:textId="77777777" w:rsidR="00C30EC1" w:rsidRPr="00D6691F" w:rsidRDefault="00C30EC1" w:rsidP="00C30EC1">
      <w:pPr>
        <w:pStyle w:val="a3"/>
        <w:spacing w:before="0" w:beforeAutospacing="0" w:after="0" w:afterAutospacing="0" w:line="360" w:lineRule="auto"/>
        <w:ind w:firstLine="709"/>
        <w:jc w:val="both"/>
        <w:rPr>
          <w:sz w:val="28"/>
          <w:szCs w:val="28"/>
        </w:rPr>
      </w:pPr>
    </w:p>
    <w:p w14:paraId="01DFCE42" w14:textId="751DE3C5"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 xml:space="preserve">Науково-технічний стиль посідає провідне місце серед різновидів фахового мовлення, оскільки забезпечує передачу спеціалізованих знань, технологічної інформації та результатів досліджень у професійному середовищі. </w:t>
      </w:r>
      <w:r w:rsidR="00355021" w:rsidRPr="00355021">
        <w:rPr>
          <w:sz w:val="28"/>
          <w:szCs w:val="28"/>
        </w:rPr>
        <w:t xml:space="preserve">Науковий стиль має своїм завданням точно викласти наукову інформацію. Він обслуговує потреби науки, навчання та освіти, виробничо-технічну діяльність. Його основною функцією є пізнавально-інформативна функція, доповнена функцією доказовості. </w:t>
      </w:r>
      <w:r w:rsidRPr="00355021">
        <w:rPr>
          <w:sz w:val="28"/>
          <w:szCs w:val="28"/>
        </w:rPr>
        <w:t>У сучасній</w:t>
      </w:r>
      <w:r w:rsidRPr="00D6691F">
        <w:rPr>
          <w:sz w:val="28"/>
          <w:szCs w:val="28"/>
        </w:rPr>
        <w:t xml:space="preserve"> лінгвістиці він розглядається як тип функціонального стилю, що відображає закономірності комунікації в інженерії, природничих науках, технічних дисциплінах, медицині, інформаційних технологіях і суміжних галузях. Його ключовими ознаками є точність, однозначність, логічність, об’єктивність викладу, термінологічна впорядкованість та стандартизована структурна організація тексту [20; 22].</w:t>
      </w:r>
    </w:p>
    <w:p w14:paraId="01F8618B" w14:textId="77777777"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Однією з центральних характеристик науково-технічного стилю є його тісна залежність від термінологічної системи. Термінологія становить ядро професійної комунікації та виконує функцію уніфікованого засобу передачі знань. Як підкреслюють дослідники термінології, термін є не лише номінативною одиницею, а й відображенням певної галузевої концептуальної структури [45]. У науково-технічному тексті терміни мають бути точними, системними й позбавленими емоційної конотації. Дослідження спеціалізованих терміносистем, зокрема у сферах техніки та архітектури [23], підтверджують складність внутрішньої організації лексики та її залежність від прогресу науки і техніки.</w:t>
      </w:r>
    </w:p>
    <w:p w14:paraId="30C2C161" w14:textId="77777777"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 xml:space="preserve">Стилістичні параметри цього стилю визначаються також особливостями синтаксису. Для науково-технічної літератури характерні поширені </w:t>
      </w:r>
      <w:r w:rsidRPr="00D6691F">
        <w:rPr>
          <w:sz w:val="28"/>
          <w:szCs w:val="28"/>
        </w:rPr>
        <w:lastRenderedPageBreak/>
        <w:t>іменникові групи, компактні означальні конструкції, аналітичний спосіб викладу, а також висока частотність пасивних форм, що фіксують процесуальність і відстороненість викладу [12]. Така структура забезпечує логічність і точність, але водночас ускладнює переклад, оскільки синтаксичні моделі англійської та української мов суттєво різняться за принципами побудови складних груп і порядком слів [27].</w:t>
      </w:r>
    </w:p>
    <w:p w14:paraId="3A817356" w14:textId="77777777"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Фахове мовлення технічної та наукової сфер відзначається високим рівнем стандартизації. Багато жанрів науково-технічного дискурсу — технічні описи, експлуатаційні інструкції, стандарти, паспорти виробів, звіти, протоколи — мають усталену композиційну структуру та чітко регламентовану логіку інформації. Це забезпечує однозначність розуміння тексту фахівцями, незалежно від їхньої інституційної належності чи країни походження. Лінгвістичні дослідження підтверджують, що стандартизована форма викладу є показником професійної компетентності, а відхилення від норм можуть призвести до зміщення значення або порушення інструктивної функції документа [29].</w:t>
      </w:r>
    </w:p>
    <w:p w14:paraId="133278EC" w14:textId="77777777"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Іншою важливою рисою науково-технічного стилю є його здатність до постійної динаміки, що зумовлена стрімким розвитком технологій. Нові реалії породжують неологізми, які потребують опису, систематизації та перекладу. Проблематику створення й перекладу технічних неологізмів докладно осмислено у сучасних працях [8; 11; 31; 34; 41], де підкреслюється, що нові терміни часто мають складну словотвірну структуру, широке семантичне поле та нерідко можуть позначати багаторівневі технічні процеси.</w:t>
      </w:r>
    </w:p>
    <w:p w14:paraId="12559E93" w14:textId="77777777"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 xml:space="preserve">Міжмовна взаємодія в межах науково-технічної комунікації формує додаткові виклики для перекладача. Існує ризик інтерференції граматичних або лексичних моделей мови оригіналу, що особливо характерно для перекладу багатокомпонентних терміносполучень, складених означень чи аналітичних форм англійської мови. Значення попередження інтерференції підкреслюється у працях українських перекладознавців [18], які звертають </w:t>
      </w:r>
      <w:r w:rsidRPr="00D6691F">
        <w:rPr>
          <w:sz w:val="28"/>
          <w:szCs w:val="28"/>
        </w:rPr>
        <w:lastRenderedPageBreak/>
        <w:t>увагу на необхідність свідомого контролю за синтаксичними та лексичними проявами впливу мови-джерела.</w:t>
      </w:r>
    </w:p>
    <w:p w14:paraId="79B120A6" w14:textId="77777777"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Вагому роль у формуванні стилістики науково-технічного перекладу відіграють когнітивні та дискурсивні чинники. Науково-технічні тексти відображають специфічні способи структурованого мислення, що ґрунтуються на причинно-наслідкових зв’язках, переліках, класифікації та описі процесів. У дослідженнях когнітивно-дискурсивних аспектів перекладу [1] підкреслюється необхідність збереження логічної організації інформації, що забезпечує адекватне відтворення змісту в мові перекладу.</w:t>
      </w:r>
    </w:p>
    <w:p w14:paraId="1B3E89CD" w14:textId="77777777"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Особливим є й жанровий аспект функціонування науково-технічного стилю. Різні жанри технічної документації мають власні комунікативні завдання, зокрема експлуатаційні інструкції передають регламентуючі дії; наукові статті структурують теоретичний матеріал; технічні стандарти забезпечують нормативну фіксацію процедур; описові документи транслюють технологічні параметри. Дотримання жанрової норми є важливою умовою точності міжфахової комунікації [10; 20].</w:t>
      </w:r>
    </w:p>
    <w:p w14:paraId="49393CF0" w14:textId="77777777"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Важливу роль у вивченні науково-технічного стилю відіграють також корпусні дослідження. Корпусно-прикладне перекладознавство розкриває регулярності функціонування спеціалізованої лексики, частотні синтаксичні моделі та типові перекладацькі відповідники [9; 38]. Використання корпусів дозволяє виявляти закономірності побудови термінів, частотність їх уживання та способи контекстуалізації, що є особливо цінним для аналізу стилістики перекладу.</w:t>
      </w:r>
    </w:p>
    <w:p w14:paraId="33E39742" w14:textId="426282DD" w:rsidR="0036346A" w:rsidRPr="00D6691F" w:rsidRDefault="0036346A" w:rsidP="00C30EC1">
      <w:pPr>
        <w:pStyle w:val="a3"/>
        <w:spacing w:before="0" w:beforeAutospacing="0" w:after="0" w:afterAutospacing="0" w:line="360" w:lineRule="auto"/>
        <w:ind w:firstLine="709"/>
        <w:jc w:val="both"/>
        <w:rPr>
          <w:sz w:val="28"/>
          <w:szCs w:val="28"/>
        </w:rPr>
      </w:pPr>
      <w:r w:rsidRPr="00D6691F">
        <w:rPr>
          <w:sz w:val="28"/>
          <w:szCs w:val="28"/>
        </w:rPr>
        <w:t>Узагальнюючи, науково-технічний стиль становить складну систему мовних і структурно-дискурсивних характеристик, що забезпечують ефективну комунікацію у сфері техніки та науки. Його особливості формують специфіку перекладацьких завдань, які передбачають точність, стильову відповідність, термінологічну узгодженість і дотримання жанрових норм. Урахування цих параметрів є необхідною умовою адекватного перекладу науково-технічних текстів та інтеграції їх у національний науковий дискурс.</w:t>
      </w:r>
    </w:p>
    <w:p w14:paraId="1B0411C9" w14:textId="77777777" w:rsidR="00C30EC1" w:rsidRPr="008740C3" w:rsidRDefault="00C30EC1" w:rsidP="00C30EC1">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D6691F">
        <w:rPr>
          <w:rFonts w:ascii="Times New Roman" w:hAnsi="Times New Roman" w:cs="Times New Roman"/>
          <w:b/>
          <w:bCs/>
          <w:sz w:val="28"/>
          <w:szCs w:val="28"/>
        </w:rPr>
        <w:lastRenderedPageBreak/>
        <w:t>1.2. Лінгвостилістичні характеристики англомовної науково-технічної літератури</w:t>
      </w:r>
    </w:p>
    <w:p w14:paraId="2BA69721"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Англомовна науково-технічна література становить складний і високоорганізований різновид фахового дискурсу, у якому мовні засоби підпорядковані потребі максимально точно, логічно та уніфіковано передавати спеціалізовану інформацію. Її лінгвостилістичні характеристики формувалися впродовж тривалого розвитку технічних наук та інституціоналізації професійної комунікації, що сприяло виробленню чітких норм викладу, стабільних термінологічних моделей і структурних схем. Дослідження науково-технічної літератури демонструють, що англійська мова посідає у цій сфері домінуючі позиції, тому її стильові особливості впливають на міжкультурну наукову взаємодію та процес перекладу [20; 22].</w:t>
      </w:r>
    </w:p>
    <w:p w14:paraId="310095BF"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Однією з визначальних ознак англомовних науково-технічних текстів є системність і впорядкованість термінології. Термінологічні одиниці створюють концептуальну основу технічного знання й утворюють розгалужені терміносистеми, у яких значення узгоджені, стандартизовані та позбавлені варіативності. Дослідження технічної термінології, зокрема в галузях архітектури та будівництва [23], підтверджують, що англійська терміносистема характеризується високим ступенем структурованості та орієнтованістю на міжнародну комунікацію. При цьому формування наукової лексики відбувається не стихійно, а в рамках історично вироблених моделей, які спираються на латинсько-грецький словотвірний фонд, що також простежується в інших європейських мовах [6].</w:t>
      </w:r>
    </w:p>
    <w:p w14:paraId="7E7D822C"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 xml:space="preserve">Стилістика англомовної науково-технічної літератури визначається домінуванням номінативних конструкцій, що дозволяють компактно передавати складні поняття, процеси чи характеристики. Номіналізація — одна з найчастіших тенденцій цього стилю, оскільки вона забезпечує інформаційну щільність і формалізованість викладу. Англійська мова продуктивно використовує морфологічні моделі із суфіксами -tion, -ment, -ing, -ity та іншими, що формують абстрактні іменники й сприяють лінгвістичній </w:t>
      </w:r>
      <w:r w:rsidRPr="008740C3">
        <w:rPr>
          <w:rFonts w:ascii="Times New Roman" w:eastAsia="Times New Roman" w:hAnsi="Times New Roman" w:cs="Times New Roman"/>
          <w:kern w:val="0"/>
          <w:sz w:val="28"/>
          <w:szCs w:val="28"/>
          <w:lang w:val="uk-UA" w:eastAsia="uk-UA"/>
          <w14:ligatures w14:val="none"/>
        </w:rPr>
        <w:lastRenderedPageBreak/>
        <w:t>стандартизації тексту. Такі мовні особливості створюють відчуття наукової об’єктивності та дозволяють будувати складні логічні структури без надмірного використання дієслівних форм [12].</w:t>
      </w:r>
    </w:p>
    <w:p w14:paraId="2FF7BE42"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Важливою характеристикою є частотність пасивних конструкцій, які надають тексту безособового, нейтрального та об’єктивованого характеру. В англійському технічному дискурсі пасив широко використовується для опису експериментальних процедур, технічних операцій і результатів спостережень. Завдяки цьому увага читача спрямовується на процес чи об’єкт, а не на виконавця дії. Це цілком відповідає загальним вимогам до науково-технічних текстів, де персоніфікація є зайвою та навіть небажаною. Проте у перекладознавчій літературі наголошується, що англійська мова має більшу схильність до пасивів порівняно з українською, що може спричиняти інтерференцію при перекладі [18; 20].</w:t>
      </w:r>
    </w:p>
    <w:p w14:paraId="4E4AAF96"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Англомовні технічні тексти характеризуються також використанням багатокомпонентних іменникових груп, які формуються шляхом нашарування препозиційних означень. Такі словосполучення можуть охоплювати кілька послідовних іменників, що виконують функцію уточнювальних компонентів. Подібна структура є надзвичайно інформативною, але суттєво ускладнює переклад, що відзначено у працях з типології англійської та української мов [27]. У науково-технічній сфері багатокомпонентні групи використовуються для позначення технологічних процесів, типових операцій, характеристик обладнання та складових механізмів, тобто тих елементів, які потребують максимальної точності.</w:t>
      </w:r>
    </w:p>
    <w:p w14:paraId="223EDD85" w14:textId="0C8921A1" w:rsidR="008740C3" w:rsidRPr="00D6691F"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 xml:space="preserve">Текстовий рівень також має свої особливості. Англомовний науково-технічний дискурс вирізняється чіткою логікою викладу, широким використанням засобів когезії та структурованими маркерами переходів. Типовими є причинно-наслідкові конструкції, умовні оператори, часові показники послідовності та індикатори інструктивності. Завдяки цим засобам текст має чітку композиційну організацію, яка забезпечує розуміння складної інформації та підтримує когерентність. Аналіз технічних текстів і методичних </w:t>
      </w:r>
      <w:r w:rsidRPr="008740C3">
        <w:rPr>
          <w:rFonts w:ascii="Times New Roman" w:eastAsia="Times New Roman" w:hAnsi="Times New Roman" w:cs="Times New Roman"/>
          <w:kern w:val="0"/>
          <w:sz w:val="28"/>
          <w:szCs w:val="28"/>
          <w:lang w:val="uk-UA" w:eastAsia="uk-UA"/>
          <w14:ligatures w14:val="none"/>
        </w:rPr>
        <w:lastRenderedPageBreak/>
        <w:t>матеріалів свідчить, що така структура є необхідною для передачі процедурних і нормативних описів, які мають бути зрозумілими незалежно від фахового рівня читача [29].</w:t>
      </w:r>
    </w:p>
    <w:p w14:paraId="60C4EA7E"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Англомовна науково-технічна література тяжіє до мінімізації експресивності й використання максимально нейтральних мовних засобів. Функція цих текстів передбачає об’єктивність, точність, строгість та відсутність суб’єктивно-оцінних компонентів. Як зазначає перекладознавча традиція [7; 26], надмірна стилістична варіативність, емоційність або ідіоматичність суперечать вимогам технічного стилю, тому всі лінгвістичні одиниці добираються з урахуванням їх семантичної чіткості.</w:t>
      </w:r>
    </w:p>
    <w:p w14:paraId="7D64BFEF"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Окремої уваги заслуговують неологізми, що активно виникають у сфері науки й техніки під впливом інноваційних процесів. Англомовна термінотворчість продукує нові одиниці шляхом афіксації, словоскладання, абревіації та семантичного розширення. Дослідження неологізмів у різних галузях демонструють, що вони швидко входять до ужитку, формуючи нові сегменти спеціалізованої лексики [8; 11; 31; 34; 41]. Їх уживання вимагає від перекладача знання словотвірних моделей, структурної організації термінів та механізмів інтерпретації нових понять.</w:t>
      </w:r>
    </w:p>
    <w:p w14:paraId="1D241DB3"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Важливою рисою англомовного технічного дискурсу є частотне використання абревіатур, скорочень, кодів та символів, які можуть бути пов’язані з міжнародними стандартами або технологічними специфікаціями. Деякі з них мають усталені українські відповідники, але значна частина потребує додаткової інтерпретації або транскодування з урахуванням галузевих норм [45; 32]. Це підсилює міжмовні відмінності і потребує від перекладача високої обізнаності з технічною документацією.</w:t>
      </w:r>
    </w:p>
    <w:p w14:paraId="0D9428D5" w14:textId="77777777" w:rsidR="008740C3" w:rsidRPr="008740C3"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 xml:space="preserve">Корпусні дослідження фахового дискурсу підтверджують регулярність функціонування типових синтаксичних моделей, термінологічних комбінацій і структур, які проявляються в англомовних науково-технічних текстах незалежно від жанру [9; 38]. Це дозволяє визначити стабільні стилістичні </w:t>
      </w:r>
      <w:r w:rsidRPr="008740C3">
        <w:rPr>
          <w:rFonts w:ascii="Times New Roman" w:eastAsia="Times New Roman" w:hAnsi="Times New Roman" w:cs="Times New Roman"/>
          <w:kern w:val="0"/>
          <w:sz w:val="28"/>
          <w:szCs w:val="28"/>
          <w:lang w:val="uk-UA" w:eastAsia="uk-UA"/>
          <w14:ligatures w14:val="none"/>
        </w:rPr>
        <w:lastRenderedPageBreak/>
        <w:t>ознаки, що є однаковими для більшості технічних документів, і підкреслює іх системність.</w:t>
      </w:r>
    </w:p>
    <w:p w14:paraId="07EF2DD4" w14:textId="1B303578" w:rsidR="008740C3" w:rsidRPr="00D6691F" w:rsidRDefault="008740C3"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40C3">
        <w:rPr>
          <w:rFonts w:ascii="Times New Roman" w:eastAsia="Times New Roman" w:hAnsi="Times New Roman" w:cs="Times New Roman"/>
          <w:kern w:val="0"/>
          <w:sz w:val="28"/>
          <w:szCs w:val="28"/>
          <w:lang w:val="uk-UA" w:eastAsia="uk-UA"/>
          <w14:ligatures w14:val="none"/>
        </w:rPr>
        <w:t>Таким чином, англомовна науково-технічна література має комплексні лінгвостилістичні характеристики, що включають термінологічну точність, номінативність, стандартизований синтаксис, пасивні конструкції, багатокомпонентні іменникові групи, логічно структурований виклад та мінімізацію експресивності. Ці особливості визначають специфіку професійної комунікації та формують основу для аналізу стилістики перекладу з англійської мови на українську.</w:t>
      </w:r>
    </w:p>
    <w:p w14:paraId="23800D72" w14:textId="02908185" w:rsidR="00E01E0B" w:rsidRPr="00D6691F" w:rsidRDefault="00E01E0B"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17A89D5" w14:textId="5C677506" w:rsidR="00E01E0B" w:rsidRPr="00D6691F" w:rsidRDefault="00E01E0B" w:rsidP="00C30EC1">
      <w:pPr>
        <w:pStyle w:val="2"/>
        <w:spacing w:before="0" w:line="360" w:lineRule="auto"/>
        <w:ind w:firstLine="709"/>
        <w:jc w:val="both"/>
        <w:rPr>
          <w:rStyle w:val="a4"/>
          <w:rFonts w:ascii="Times New Roman" w:hAnsi="Times New Roman" w:cs="Times New Roman"/>
          <w:color w:val="auto"/>
          <w:sz w:val="28"/>
          <w:szCs w:val="28"/>
        </w:rPr>
      </w:pPr>
      <w:r w:rsidRPr="00D6691F">
        <w:rPr>
          <w:rStyle w:val="a4"/>
          <w:rFonts w:ascii="Times New Roman" w:hAnsi="Times New Roman" w:cs="Times New Roman"/>
          <w:color w:val="auto"/>
          <w:sz w:val="28"/>
          <w:szCs w:val="28"/>
        </w:rPr>
        <w:t>1.3. Основні труднощі перекладу науково-технічних текстів</w:t>
      </w:r>
    </w:p>
    <w:p w14:paraId="08015567" w14:textId="77777777" w:rsidR="00C30EC1" w:rsidRPr="00D6691F" w:rsidRDefault="00C30EC1" w:rsidP="00C30EC1"/>
    <w:p w14:paraId="150685BA"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Переклад науково-технічних текстів належить до найбільш складних різновидів перекладацької діяльності, оскільки він поєднує лінгвістичні, когнітивні, термінологічні та дискурсивні вимоги, що взаємодіють у межах високоспеціалізованого професійного середовища. Науково-технічний переклад вимагає одночасного забезпечення точності змісту, відповідності терміносистемі, збереження логіки викладу та дотримання стилістичних норм мови перекладу. Дослідження перекладознавців свідчать, що труднощі у цій сфері не обмежуються суто мовними аспектами, а зумовлені також міжмовними, міжкультурними та жанровими чинниками [20; 26; 27].</w:t>
      </w:r>
    </w:p>
    <w:p w14:paraId="3644DFC7"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 xml:space="preserve">Однією з ключових проблем є передавання спеціалізованої термінологічної лексики. Технічні терміни мають високу міру точності, належать до певних терміносистем і часто не допускають варіативності. У працях із термінознавства підкреслюється, що англомовні технічні терміни можуть мати розгалужену семантичну структуру, кілька контекстуальних реалізацій або відрізнятися від загальновживаної лексики лише незначною формальною ознакою [23; 45]. Термінологічна багатозначність, омонімія та полісемія створюють додаткові труднощі для перекладу, особливо в умовах, </w:t>
      </w:r>
      <w:r w:rsidRPr="00D6691F">
        <w:rPr>
          <w:sz w:val="28"/>
          <w:szCs w:val="28"/>
        </w:rPr>
        <w:lastRenderedPageBreak/>
        <w:t>коли українська терміносистема перебуває у процесі активного формування або стандартизації [32; 43].</w:t>
      </w:r>
    </w:p>
    <w:p w14:paraId="0B499968"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Суттєві перекладацькі труднощі виникають через використання англійською мовою багатокомпонентних іменникових груп, які можуть інтегрувати кілька препозиційних означень і функціонувати як одне складне терміносполучення. У працях із порівняльної типології англійської та української мов зазначено, що такі структури практично неможливо передати дослівно через відмінні принципи синтаксичної організації [27]. Це змушує перекладача виконувати граматичне розгортання, змінювати порядок компонентів, здійснювати семантичне уточнення, щоб зберегти зміст і логіку терміна [12; 20].</w:t>
      </w:r>
    </w:p>
    <w:p w14:paraId="218EE288"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Складність становить і передавання пасивних конструкцій, які надзвичайно продуктивні в англомовному технічному стилі. Частотність пасиву забезпечує об’єктивність викладу та фокусування на процесі, але українська мова демонструє меншу природність таких форм. Як підкреслює українська перекладознавча школа [18; 10], дослівне калькування пасивних конструкцій часто призводить до стилістичної невідповідності або неприродності тексту, що потребує застосування прийомів активізації, перебудови або інверсії структури речення.</w:t>
      </w:r>
    </w:p>
    <w:p w14:paraId="01953448"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Технічні тексти відзначаються значною кількістю скорочень, абревіатур, символів, технічних кодів та маркерів стандартизації, частина яких має міжнародні відповідники, а частина є внутрішньогалузевими утвореннями. Труднощі перекладу таких одиниць пов’язані з тим, що багато з них не мають усталеної української форми або можуть по-різному трактуватися в різних контекстах. Перекладач повинен орієнтуватися на технічні стандарти, рекомендації професійних організацій і галузеві довідники [45; 32], оскільки неправильне тлумачення абревіатури здатне призвести до помилок у фаховому спілкуванні.</w:t>
      </w:r>
    </w:p>
    <w:p w14:paraId="54035C76"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 xml:space="preserve">Однією з найпомітніших проблем є передавання англомовних неологізмів, які активно виникають у сферах інженерії, біотехнологій, ІТ та </w:t>
      </w:r>
      <w:r w:rsidRPr="00D6691F">
        <w:rPr>
          <w:sz w:val="28"/>
          <w:szCs w:val="28"/>
        </w:rPr>
        <w:lastRenderedPageBreak/>
        <w:t>цифрових технологій. Дослідження англомовних неологізмів [8; 11; 31; 34; 41] доводять, що нові лексеми нерідко мають комплексну структуру, поєднують кілька словотвірних моделей, мають метафоричне або метонімічне походження. Їх переклад потребує не лише мовної інтуїції, а й знання тенденцій міжнародної термінотворчості та функціонування інноваційної лексики в українській мові.</w:t>
      </w:r>
    </w:p>
    <w:p w14:paraId="1FFEFE73"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Значну складність становить відтворення композиційної та логічної організації англомовного технічного тексту. Багато жанрів — інструкції, технічні описи, протоколи — мають суворо регламентовану структуру, де кожен елемент виконує функціональне навантаження. Дослідження перекладацьких стратегій [1; 10; 7] свідчать, що порушення композиційної логіки або зміна порядку інформації може призвести до зміщення смислів, неправильної інтерпретації технологічних процесів або втрати логічних зв’язків між елементами тексту.</w:t>
      </w:r>
    </w:p>
    <w:p w14:paraId="14745015"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Труднощі перекладу пов’язані також із міжмовною інтерференцією. Англійська мова тяжіє до аналітизму, тоді як українська має виражений синтетичний характер, що спричиняє розбіжності в побудові словосполучень, речень і текстових блоків. Зауваження дослідників щодо попередження інтерференції [18] підкреслюють важливість контролю за синтаксичними та лексичними кальками, які можуть порушувати природність тексту українською мовою.</w:t>
      </w:r>
    </w:p>
    <w:p w14:paraId="4D30E1FC"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Окремою групою складнощів є переклад жанрів технічного дискурсу, що виконують інструктивно-регламентуючу функцію: експлуатаційних інструкцій, технічних описів, безпекових протоколів. Їх переклад вимагає суворого дотримання директивної модальності, точності формулювань, нормативності дієслівних структур. Дослідження англомовної інструктивної лексики демонструють, що відхилення від встановлених формулювань можуть призвести до помилок у практичному виконанні операцій або порушення техніки безпеки [29].</w:t>
      </w:r>
    </w:p>
    <w:p w14:paraId="675A6EC4"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lastRenderedPageBreak/>
        <w:t>Сучасні тенденції розвитку технічного перекладу зумовлюють ще одну групу труднощів — застосування електронних інструментів, автоматизованих систем перекладу та корпусних ресурсів. Хоча такі системи допомагають стандартизувати термінологію, дослідження [2; 9; 42] показують, що автоматичний переклад часто не враховує стилістичних норм, контекстуальних відтінків та логічної структури технічного тексту, тому потребує ретельного редагування.</w:t>
      </w:r>
    </w:p>
    <w:p w14:paraId="13583677" w14:textId="36360B50"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У цілому переклад науково-технічних текстів є багаторівневим процесом, що передбачає взаємодію лінгвістичних, термінологічних та когнітивних аспектів. Основні труднощі виникають унаслідок складності терміносистеми, структурної специфіки англійської мови, високої концентрації номінативних конструкцій, активного словотворення, наявності спеціальних кодів і символів, а також необхідності дотримання жанрових і стилістичних норм. Успішний переклад у цій галузі можливий лише за умови глибокого розуміння галузевої специфіки, системної підготовки та здатності перекладача адекватно адаптувати текст до українського науково-технічного контексту.</w:t>
      </w:r>
    </w:p>
    <w:p w14:paraId="525CCD0F" w14:textId="77777777" w:rsidR="00C30EC1" w:rsidRPr="00D6691F" w:rsidRDefault="00C30EC1" w:rsidP="00C30EC1">
      <w:pPr>
        <w:pStyle w:val="a3"/>
        <w:spacing w:before="0" w:beforeAutospacing="0" w:after="0" w:afterAutospacing="0" w:line="360" w:lineRule="auto"/>
        <w:ind w:firstLine="709"/>
        <w:jc w:val="both"/>
        <w:rPr>
          <w:sz w:val="28"/>
          <w:szCs w:val="28"/>
        </w:rPr>
      </w:pPr>
    </w:p>
    <w:p w14:paraId="7FB85426" w14:textId="4D339FDA" w:rsidR="00E01E0B" w:rsidRPr="00D6691F" w:rsidRDefault="00E01E0B" w:rsidP="00C30EC1">
      <w:pPr>
        <w:pStyle w:val="2"/>
        <w:spacing w:before="0" w:line="360" w:lineRule="auto"/>
        <w:ind w:firstLine="709"/>
        <w:jc w:val="both"/>
        <w:rPr>
          <w:rStyle w:val="a4"/>
          <w:rFonts w:ascii="Times New Roman" w:hAnsi="Times New Roman" w:cs="Times New Roman"/>
          <w:color w:val="auto"/>
          <w:sz w:val="28"/>
          <w:szCs w:val="28"/>
        </w:rPr>
      </w:pPr>
      <w:r w:rsidRPr="00D6691F">
        <w:rPr>
          <w:rStyle w:val="a4"/>
          <w:rFonts w:ascii="Times New Roman" w:hAnsi="Times New Roman" w:cs="Times New Roman"/>
          <w:color w:val="auto"/>
          <w:sz w:val="28"/>
          <w:szCs w:val="28"/>
        </w:rPr>
        <w:t>1.4. Термінологія як ключовий елемент науково-технічного перекладу</w:t>
      </w:r>
    </w:p>
    <w:p w14:paraId="50883B25" w14:textId="77777777" w:rsidR="00C30EC1" w:rsidRPr="00D6691F" w:rsidRDefault="00C30EC1" w:rsidP="00C30EC1"/>
    <w:p w14:paraId="5D8141EB"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Термінологія є центральною одиницею науково-технічного дискурсу, оскільки саме через терміни здійснюється концептуальне структурування фахових знань, передається логіка технічних процесів та репрезентуються результати наукових досліджень. На відміну від загальновживаної лексики, терміни мають високий рівень спеціалізації, обмежену варіативність і чітку внутрішню системну організацію. Саме тому переклад термінології стає визначальним чинником якості науково-технічного перекладу і вимагає від перекладача комплексної компетентності, що включає мовне, когнітивне, галузеве й аналітичне знання [20; 22].</w:t>
      </w:r>
    </w:p>
    <w:p w14:paraId="42CAC7FC"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lastRenderedPageBreak/>
        <w:t>Термін у науково-технічному тексті завжди функціонує як елемент терміносистеми, а не як ізольована одиниця. Це означає, що його значення визначається не лише словниковими дефініціями, а й місцем у структурі наукового поняттєвого апарату. У працях із термінології й термінографії [45] підкреслюється, що терміносистема відображає логіку розвитку науки, її внутрішні категорії та класифікації. Термінологічні моделі, що закріпилися в англійській мові, сформувалися під впливом латинсько-грецької традиції і характеризуються прозорістю, економністю та здатністю до розгортання складних багатокомпонентних утворень [6]. Це робить англійську терміносистему одночасно компактною і насиченою, але створює труднощі під час перекладу, оскільки українська мова не завжди має аналогічні механізми словотворення.</w:t>
      </w:r>
    </w:p>
    <w:p w14:paraId="7866F2CC"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Дослідження англійських технічних терміносистем у галузях архітектури, будівництва, машинобудування та інженерії [23] демонструють високу ступінь структуризації термінів, наявність стабільних словотвірних моделей та інтернаціональних морфем. Проте навіть за структурної впорядкованості англомовні терміни можуть мати складну семантичну організацію й функціонувати в різних контекстах. Багатозначність технічних лексем, їх омонімічні збіги із загальновживаною лексикою або розбіжності у сфері вживання є серйозною проблемою, оскільки неправильний вибір українського відповідника може призвести до зміни змісту, помилки у фаховій інтерпретації або порушення логіки технологічного опису [13; 14; 24].</w:t>
      </w:r>
    </w:p>
    <w:p w14:paraId="207D7DAA"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 xml:space="preserve">Одним із найбільш складних аспектів термінологічного перекладу є передавання багатокомпонентних терміносполучень. Англійська мова дозволяє компактно поєднувати кілька іменників у препозиції, формуючи щільні й інформативні структури. Українська мова, яка демонструє синтетичний тип організації, змушує перекладача розгортати такі конструкції, змінювати порядок компонентів, застосовувати описові відповідники або уточнені фрази. У працях із порівняльної типології [27] підкреслюється, що </w:t>
      </w:r>
      <w:r w:rsidRPr="00D6691F">
        <w:rPr>
          <w:sz w:val="28"/>
          <w:szCs w:val="28"/>
        </w:rPr>
        <w:lastRenderedPageBreak/>
        <w:t>дослівне калькування таких структур веде до спотворення граматичної форми та порушення природності українського технічного тексту.</w:t>
      </w:r>
    </w:p>
    <w:p w14:paraId="094A987C"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Важливу роль відіграє й проблема термінологічної стандартизації. Технічна документація нерідко містить абревіатури, спеціальні коди, символи та міжнародні позначення, які мають усталені відповідники, але можуть функціонувати у кількох варіантах залежно від галузі. Стандартизація української термінології на етапі розвитку національного технічного дискурсу також викликає труднощі, що відзначено в дослідженнях із нормування перекладних словників і галузевих тезаурусів [32; 43]. Неправильно тлумачена абревіатура чи технічний символ здатні суттєво спотворити зміст документа, тому перекладач повинен апелювати до професійних стандартів, галузевих протоколів і нормативної документації.</w:t>
      </w:r>
    </w:p>
    <w:p w14:paraId="0DC88998"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Однією з найдинамічніших проблем є переклад технічних неологізмів. У сфері ІТ, цифрових технологій, біотехнологій, телекомунікацій та штучного інтелекту нові терміни з’являються надзвичайно швидко й нерідко поширюються без усталених правил утворення. Дослідження неологізмів [8; 11; 31; 34; 41] підкреслюють, що вони можуть бути морфологічно складними, семантично розмитими, метафоричними або гібридними за структурою. У таких випадках перекладач має обирати між кількома стратегіями: калькуванням, адаптацією, транскрипцією, семантичним уточненням або створенням нового терміна відповідно до українських норм. Правильний вибір стратегії залежить від жанру, цільової аудиторії та наявності усталеної терміносистеми в українській мові.</w:t>
      </w:r>
    </w:p>
    <w:p w14:paraId="615336B4"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 xml:space="preserve">Дослідження когнітивно-дискурсивних аспектів перекладу [1] наголошують, що терміни виконують не лише номінативну, а й когнітивну функцію, адже вони структурують знання та організовують інформацію в науково-технічному тексті. Відповідно, при перекладі важливо зберігати не лише форму й значення терміна, а й його місце в загальній когнітивній схемі, уникати зміщення термінологічного змісту або порушення логічних зв’язків. Помилка в одному ключовому терміні може призвести до некоректної </w:t>
      </w:r>
      <w:r w:rsidRPr="00D6691F">
        <w:rPr>
          <w:sz w:val="28"/>
          <w:szCs w:val="28"/>
        </w:rPr>
        <w:lastRenderedPageBreak/>
        <w:t>інтерпретації всього тексту, що особливо критично для експлуатаційних інструкцій, стандартів, медико-технічних протоколів і технологічних описів.</w:t>
      </w:r>
    </w:p>
    <w:p w14:paraId="506670DB"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Складність термінологічного перекладу поглиблюється міжмовною інтерференцією, яка проявляється у спробах калькування англійських структур, запозиченні непритаманних українській мові моделей словотворення або некоректному перенесенні синтаксичних схем. Дослідження проблем інтерференції [18] наголошують, що без належного контролю перекладач ризикує створити текст, який формально відображає структуру оригіналу, але не відповідає нормам української технічної мови.</w:t>
      </w:r>
    </w:p>
    <w:p w14:paraId="050456C2" w14:textId="77777777"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Корпусні дослідження фахової та термінологічної лексики [9; 38] показують, що терміни мають характерні частотні моделі, стійкі словосполучення й типові позиції в тексті. Знання цих закономірностей дозволяє перекладачеві прогнозувати можливі відповідники, обирати найточніші варіанти та уникати довільних відхилень від терміносистеми.</w:t>
      </w:r>
    </w:p>
    <w:p w14:paraId="1280F1BF" w14:textId="71EA2F05" w:rsidR="00E01E0B" w:rsidRPr="00D6691F" w:rsidRDefault="00E01E0B" w:rsidP="00C30EC1">
      <w:pPr>
        <w:pStyle w:val="a3"/>
        <w:spacing w:before="0" w:beforeAutospacing="0" w:after="0" w:afterAutospacing="0" w:line="360" w:lineRule="auto"/>
        <w:ind w:firstLine="709"/>
        <w:jc w:val="both"/>
        <w:rPr>
          <w:sz w:val="28"/>
          <w:szCs w:val="28"/>
        </w:rPr>
      </w:pPr>
      <w:r w:rsidRPr="00D6691F">
        <w:rPr>
          <w:sz w:val="28"/>
          <w:szCs w:val="28"/>
        </w:rPr>
        <w:t>Таким чином, термінологія є основою науково-технічного перекладу, від якої залежить точність змісту, когерентність тексту, відповідність технічним стандартам і професійним нормам українського фахового мовлення. Труднощі її перекладу зумовлені системністю термінів, структурною складністю англійських моделей, динамікою термінотворення, відсутністю усталених відповідників, наявністю абревіатур, інтерференційними ризиками та жанровими вимогами технічних текстів. Успішний переклад потребує глибокого розуміння терміносистеми, орієнтації в галузевому знанні, опрацювання фахових джерел і здатності адаптувати англомовну термінологію відповідно до норм українського професійного дискурсу.</w:t>
      </w:r>
    </w:p>
    <w:p w14:paraId="401ABC17" w14:textId="77777777" w:rsidR="00E01E0B" w:rsidRPr="00D6691F" w:rsidRDefault="00E01E0B" w:rsidP="00C30EC1">
      <w:pPr>
        <w:pStyle w:val="a3"/>
        <w:spacing w:before="0" w:beforeAutospacing="0" w:after="0" w:afterAutospacing="0" w:line="360" w:lineRule="auto"/>
        <w:ind w:firstLine="709"/>
        <w:jc w:val="both"/>
        <w:rPr>
          <w:sz w:val="28"/>
          <w:szCs w:val="28"/>
        </w:rPr>
      </w:pPr>
    </w:p>
    <w:p w14:paraId="48DE09B3" w14:textId="4AFB1103" w:rsidR="00E01E0B" w:rsidRPr="00D6691F" w:rsidRDefault="00E01E0B" w:rsidP="00C30EC1">
      <w:pPr>
        <w:pStyle w:val="a3"/>
        <w:spacing w:before="0" w:beforeAutospacing="0" w:after="0" w:afterAutospacing="0" w:line="360" w:lineRule="auto"/>
        <w:ind w:firstLine="709"/>
        <w:jc w:val="both"/>
        <w:rPr>
          <w:b/>
          <w:bCs/>
          <w:sz w:val="28"/>
          <w:szCs w:val="28"/>
        </w:rPr>
      </w:pPr>
      <w:r w:rsidRPr="00D6691F">
        <w:rPr>
          <w:b/>
          <w:bCs/>
          <w:sz w:val="28"/>
          <w:szCs w:val="28"/>
        </w:rPr>
        <w:t>1.5. Методика дослідження</w:t>
      </w:r>
    </w:p>
    <w:p w14:paraId="1CC88A0A" w14:textId="77777777" w:rsidR="0074475C" w:rsidRPr="00D6691F" w:rsidRDefault="0074475C" w:rsidP="00C30EC1">
      <w:pPr>
        <w:pStyle w:val="a3"/>
        <w:spacing w:before="0" w:beforeAutospacing="0" w:after="0" w:afterAutospacing="0" w:line="360" w:lineRule="auto"/>
        <w:ind w:firstLine="709"/>
        <w:jc w:val="both"/>
        <w:rPr>
          <w:b/>
          <w:bCs/>
          <w:sz w:val="28"/>
          <w:szCs w:val="28"/>
        </w:rPr>
      </w:pPr>
    </w:p>
    <w:p w14:paraId="07E968E1" w14:textId="299F382C"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Методика дослідження стилістичного відтворення науково-технічних текстів у перекладі ґрунтується на поєднанні кількох взаємодоповнювальних підходів</w:t>
      </w:r>
      <w:r w:rsidR="0074475C" w:rsidRPr="00D6691F">
        <w:rPr>
          <w:rFonts w:ascii="Times New Roman" w:eastAsia="Times New Roman" w:hAnsi="Times New Roman" w:cs="Times New Roman"/>
          <w:kern w:val="0"/>
          <w:sz w:val="28"/>
          <w:szCs w:val="28"/>
          <w:lang w:val="uk-UA" w:eastAsia="uk-UA"/>
          <w14:ligatures w14:val="none"/>
        </w:rPr>
        <w:t xml:space="preserve">, а саме: </w:t>
      </w:r>
      <w:r w:rsidRPr="00BC6ECA">
        <w:rPr>
          <w:rFonts w:ascii="Times New Roman" w:eastAsia="Times New Roman" w:hAnsi="Times New Roman" w:cs="Times New Roman"/>
          <w:kern w:val="0"/>
          <w:sz w:val="28"/>
          <w:szCs w:val="28"/>
          <w:lang w:val="uk-UA" w:eastAsia="uk-UA"/>
          <w14:ligatures w14:val="none"/>
        </w:rPr>
        <w:t xml:space="preserve">лінгвістичного, перекладознавчого, корпусного, </w:t>
      </w:r>
      <w:r w:rsidRPr="00BC6ECA">
        <w:rPr>
          <w:rFonts w:ascii="Times New Roman" w:eastAsia="Times New Roman" w:hAnsi="Times New Roman" w:cs="Times New Roman"/>
          <w:kern w:val="0"/>
          <w:sz w:val="28"/>
          <w:szCs w:val="28"/>
          <w:lang w:val="uk-UA" w:eastAsia="uk-UA"/>
          <w14:ligatures w14:val="none"/>
        </w:rPr>
        <w:lastRenderedPageBreak/>
        <w:t>термінографічного та дискурсивно-прагматичного. Така інтегрована модель дозволяє не лише аналізувати формальні параметри текстів, а й простежити закономірності перекладацьких рішень, їх відповідність нормам українського науково-технічного мовлення та функціональним завданням різних жанрів технічної комунікації. Методика передбачає поетапну організацію дослідження—від добору емпіричного матеріалу до інтерпретації результатів, що забезпечує системність і точність аналізу.</w:t>
      </w:r>
    </w:p>
    <w:p w14:paraId="20693E4E" w14:textId="77777777"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Емпіричну основу становить Multilingual English, French, Polish to Ukrainian Parallel Corpus, представлений на платформі European Language Grid. Корпус характеризується чіткою структурою сегментації, стандартизованими форматами подачі матеріалу, збереженням синтаксичних меж та стабільністю термінологічного наповнення. Оскільки текстові масиви в корпусі вирівняні на рівні сегментів, це дає можливість виконувати точне зіставлення англомовного оригіналу та українського перекладу, що є критично важливим для аналізу синтаксичних трансформацій, термінологічних відповідників і прагматичної структури фахового тексту.</w:t>
      </w:r>
    </w:p>
    <w:p w14:paraId="00880384" w14:textId="2CF5ED3C"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Для потреб роботи було створено цілеспрямовану вибірку з 120 англомовно-українських паралельних фрагментів. До неї увійшли 45 інструктивних і експлуатаційних текстів (керівництва користувача, технічні інструкції з монтажу, налаштування обладнання, протоколи безпеки), 38 фрагментів наукових статей з інженерії, ІТ, матеріалознавства й технічних наук, 22 медико-технічні документи (клінічні протоколи, описи апаратів, стандарти процедур), а також 15 науково-популярних технологічних описів. Такий жанровий баланс дозволяє з’ясувати, як перекладачі працюють у різних стилістичних умовах</w:t>
      </w:r>
      <w:r w:rsidR="0074475C" w:rsidRPr="00D6691F">
        <w:rPr>
          <w:rFonts w:ascii="Times New Roman" w:eastAsia="Times New Roman" w:hAnsi="Times New Roman" w:cs="Times New Roman"/>
          <w:kern w:val="0"/>
          <w:sz w:val="28"/>
          <w:szCs w:val="28"/>
          <w:lang w:val="uk-UA" w:eastAsia="uk-UA"/>
          <w14:ligatures w14:val="none"/>
        </w:rPr>
        <w:t xml:space="preserve"> </w:t>
      </w:r>
      <w:r w:rsidRPr="00BC6ECA">
        <w:rPr>
          <w:rFonts w:ascii="Times New Roman" w:eastAsia="Times New Roman" w:hAnsi="Times New Roman" w:cs="Times New Roman"/>
          <w:kern w:val="0"/>
          <w:sz w:val="28"/>
          <w:szCs w:val="28"/>
          <w:lang w:val="uk-UA" w:eastAsia="uk-UA"/>
          <w14:ligatures w14:val="none"/>
        </w:rPr>
        <w:t>від максимально формалізованих інструкцій до відносно гнучких популяризаційних текстів.</w:t>
      </w:r>
    </w:p>
    <w:p w14:paraId="7CFB95DF" w14:textId="77777777"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xml:space="preserve">На першому етапі здійснюється інвентаризація термінологічного матеріалу. Фіксуються терміни різних структурних типів: прості, складні, багатокомпонентні, дериваційні, скорочені, абревіатурні та інтернаціональні. Для кожного терміна визначаються структурні моделі, семантичні параметри, </w:t>
      </w:r>
      <w:r w:rsidRPr="00BC6ECA">
        <w:rPr>
          <w:rFonts w:ascii="Times New Roman" w:eastAsia="Times New Roman" w:hAnsi="Times New Roman" w:cs="Times New Roman"/>
          <w:kern w:val="0"/>
          <w:sz w:val="28"/>
          <w:szCs w:val="28"/>
          <w:lang w:val="uk-UA" w:eastAsia="uk-UA"/>
          <w14:ligatures w14:val="none"/>
        </w:rPr>
        <w:lastRenderedPageBreak/>
        <w:t>ступінь відповідності українським фаховим нормам та прийнята перекладацька стратегія. Залучаються фахові технічні стандарти й довідкові матеріали, що дозволяє відстежити відповідність уживаних українських термінів усталеним нормам або виявити випадки розбіжностей.</w:t>
      </w:r>
    </w:p>
    <w:p w14:paraId="5AB191AF" w14:textId="77777777"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Другий етап охоплює аналіз синтаксичних структур англомовних науково-технічних текстів і способів їх відтворення. Особливу увагу приділено номінативним конструкціям, пасивним формам, багатокомпонентним іменниковим групам, складнопідрядним реченням із причинно-наслідковими зв’язками, а також компресійним механізмам англійського технічного стилю. В українських перекладах досліджуються стратегії синтаксичного розгортання, перестановки, заміни типів зв’язку, трансформації атрибутивних груп і відтворення логічної структури складних речень. Порівняння дозволяє встановити, які синтаксичні трансформації мають системний характер, а які зумовлені жанровими вимогами або контекстуальними особливостями.</w:t>
      </w:r>
    </w:p>
    <w:p w14:paraId="692ECDC0" w14:textId="77777777"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Третій напрям стосується аналізу перекладу інструктивних і експлуатаційних текстів. Тут досліджується відтворення імперативної модальності, логічного поділу дій на етапи, використання конструкцій обов’язковості, технічних попереджень, маркерів ризику й термінових рекомендацій. Ураховуються також вимоги до чіткості, недвозначності й стандартизації інструктивних формулювань в українському технічному мовленні. Важливим аналітичним параметром є відповідність перекладу прагматичній функції інструктивного тексту, а саме забезпеченню безпечного, правильного та передбачуваного виконання дії.</w:t>
      </w:r>
    </w:p>
    <w:p w14:paraId="43981D29" w14:textId="77777777"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 xml:space="preserve">Четвертий етап передбачає аналіз медико-технічних документів, які є найбільш стандартизованими й водночас найскладнішими в термінологічному відношенні. Оцінюється точність передавання медичних і технічних термінів, способи перекладу міжнародних класифікацій, параметрів, індикаторів, протокольних структур і формалізованих фраз. Ураховується, що помилка в перекладі такої документації може мати реальні практичні наслідки, тому </w:t>
      </w:r>
      <w:r w:rsidRPr="00BC6ECA">
        <w:rPr>
          <w:rFonts w:ascii="Times New Roman" w:eastAsia="Times New Roman" w:hAnsi="Times New Roman" w:cs="Times New Roman"/>
          <w:kern w:val="0"/>
          <w:sz w:val="28"/>
          <w:szCs w:val="28"/>
          <w:lang w:val="uk-UA" w:eastAsia="uk-UA"/>
          <w14:ligatures w14:val="none"/>
        </w:rPr>
        <w:lastRenderedPageBreak/>
        <w:t>дослідження особливо акцентує увагу на відповідності перекладу галузевим стандартам, термінологічним базам, протоколам та чинним українським нормам медико-технічної комунікації.</w:t>
      </w:r>
    </w:p>
    <w:p w14:paraId="3DA382A4" w14:textId="77777777"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П’ятим напрямом є аналіз відповідності перекладу нормативним вимогам українського науково-технічного дискурсу. Для цього зіставляються українські переклади текстів вибірки з нормами ДСТУ, галузевими термінологічними стандартами та зразками технічних документів, що функціонують в офіційному українському діловодстві. Увага приділяється точності термінів, нормативності синтаксичних структур, відповідності фаховому стилю, уникненню кальок, надлишкової експресивності або нефахових форм.</w:t>
      </w:r>
    </w:p>
    <w:p w14:paraId="44D791C3" w14:textId="77777777" w:rsidR="00BC6ECA" w:rsidRPr="00BC6ECA" w:rsidRDefault="00BC6ECA" w:rsidP="00C30EC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C6ECA">
        <w:rPr>
          <w:rFonts w:ascii="Times New Roman" w:eastAsia="Times New Roman" w:hAnsi="Times New Roman" w:cs="Times New Roman"/>
          <w:kern w:val="0"/>
          <w:sz w:val="28"/>
          <w:szCs w:val="28"/>
          <w:lang w:val="uk-UA" w:eastAsia="uk-UA"/>
          <w14:ligatures w14:val="none"/>
        </w:rPr>
        <w:t>Результати всіх етапів узагальнюються шляхом групування перекладацьких стратегій, виявлення найпоширеніших моделей трансформацій, визначення факторів, що впливають на переклад, та формулювання висновків про стилістичні закономірності відтворення англомовних науково-технічних текстів українською мовою. Така методика дозволяє описати переклад не лише як технічну операцію, а як складний когнітивно-комунікативний процес, у якому поєднуються лінгвістична точність, термінологічна послідовність і функціональна адекватність.</w:t>
      </w:r>
    </w:p>
    <w:p w14:paraId="7802F855" w14:textId="77777777" w:rsidR="0060067C" w:rsidRPr="00D6691F" w:rsidRDefault="0060067C" w:rsidP="00C30EC1">
      <w:pPr>
        <w:pStyle w:val="1"/>
        <w:spacing w:before="0" w:line="360" w:lineRule="auto"/>
        <w:ind w:firstLine="709"/>
        <w:jc w:val="both"/>
        <w:rPr>
          <w:rStyle w:val="a4"/>
          <w:rFonts w:ascii="Times New Roman" w:hAnsi="Times New Roman" w:cs="Times New Roman"/>
          <w:b w:val="0"/>
          <w:bCs w:val="0"/>
          <w:color w:val="auto"/>
          <w:sz w:val="28"/>
          <w:szCs w:val="28"/>
        </w:rPr>
      </w:pPr>
    </w:p>
    <w:p w14:paraId="2FE66D6E" w14:textId="00D149A5" w:rsidR="00BC6ECA" w:rsidRPr="00D6691F" w:rsidRDefault="00BC6ECA" w:rsidP="00C30EC1">
      <w:pPr>
        <w:pStyle w:val="1"/>
        <w:spacing w:before="0" w:line="360" w:lineRule="auto"/>
        <w:ind w:firstLine="709"/>
        <w:jc w:val="both"/>
        <w:rPr>
          <w:rFonts w:ascii="Times New Roman" w:hAnsi="Times New Roman" w:cs="Times New Roman"/>
          <w:color w:val="auto"/>
          <w:kern w:val="36"/>
          <w:sz w:val="28"/>
          <w:szCs w:val="28"/>
          <w:lang w:val="uk-UA"/>
          <w14:ligatures w14:val="none"/>
        </w:rPr>
      </w:pPr>
      <w:r w:rsidRPr="00D6691F">
        <w:rPr>
          <w:rStyle w:val="a4"/>
          <w:rFonts w:ascii="Times New Roman" w:hAnsi="Times New Roman" w:cs="Times New Roman"/>
          <w:color w:val="auto"/>
          <w:sz w:val="28"/>
          <w:szCs w:val="28"/>
        </w:rPr>
        <w:t>Висновки до розділу 1</w:t>
      </w:r>
    </w:p>
    <w:p w14:paraId="3600D866" w14:textId="24FDDA54" w:rsidR="00BC6ECA" w:rsidRPr="00D6691F" w:rsidRDefault="00BC6ECA" w:rsidP="00C30EC1">
      <w:pPr>
        <w:pStyle w:val="a3"/>
        <w:spacing w:before="0" w:beforeAutospacing="0" w:after="0" w:afterAutospacing="0" w:line="360" w:lineRule="auto"/>
        <w:ind w:firstLine="709"/>
        <w:jc w:val="both"/>
        <w:rPr>
          <w:sz w:val="28"/>
          <w:szCs w:val="28"/>
        </w:rPr>
      </w:pPr>
      <w:r w:rsidRPr="00D6691F">
        <w:rPr>
          <w:sz w:val="28"/>
          <w:szCs w:val="28"/>
        </w:rPr>
        <w:t xml:space="preserve">У першому розділі було теоретично обґрунтовано лінгвостилістичні засади функціонування англомовної науково-технічної літератури та окреслено ключові параметри її перекладу українською мовою. Аналіз наукових джерел засвідчив, що науково-технічний стиль є специфічним різновидом фахового мовлення, орієнтованим на точність, однозначність, логічність і стандартизовану подачу інформації. Йому притаманні такі ознаки, як переважання нейтральної термінологічної лексики, домінування номінативних конструкцій, високий ступінь інформаційної насиченості та </w:t>
      </w:r>
      <w:r w:rsidRPr="00D6691F">
        <w:rPr>
          <w:sz w:val="28"/>
          <w:szCs w:val="28"/>
        </w:rPr>
        <w:lastRenderedPageBreak/>
        <w:t>мінімальний рівень експресивності. Ці характеристики визначають особливості текстотворення, а отже, і вимоги до перекладацьких стратегій.</w:t>
      </w:r>
    </w:p>
    <w:p w14:paraId="597A86D0" w14:textId="77777777" w:rsidR="00BC6ECA" w:rsidRPr="00D6691F" w:rsidRDefault="00BC6ECA" w:rsidP="00C30EC1">
      <w:pPr>
        <w:pStyle w:val="a3"/>
        <w:spacing w:before="0" w:beforeAutospacing="0" w:after="0" w:afterAutospacing="0" w:line="360" w:lineRule="auto"/>
        <w:ind w:firstLine="709"/>
        <w:jc w:val="both"/>
        <w:rPr>
          <w:sz w:val="28"/>
          <w:szCs w:val="28"/>
        </w:rPr>
      </w:pPr>
      <w:r w:rsidRPr="00D6691F">
        <w:rPr>
          <w:sz w:val="28"/>
          <w:szCs w:val="28"/>
        </w:rPr>
        <w:t>Лінгвостилістичний аналіз англомовних науково-технічних текстів продемонстрував їх чітку структурованість, тенденцію до компресії змісту, поширеність багатокомпонентних іменникових груп, активне використання пасивних форм і стандартизованих класифікаційних одиниць. Такі структурні параметри є результатом прагнення до точності та стисності, але водночас ускладнюють процес перекладу через суттєві міжмовні відмінності в синтаксичній організації англійської та української мов.</w:t>
      </w:r>
    </w:p>
    <w:p w14:paraId="4C92B786" w14:textId="77777777" w:rsidR="00BC6ECA" w:rsidRPr="00D6691F" w:rsidRDefault="00BC6ECA" w:rsidP="00C30EC1">
      <w:pPr>
        <w:pStyle w:val="a3"/>
        <w:spacing w:before="0" w:beforeAutospacing="0" w:after="0" w:afterAutospacing="0" w:line="360" w:lineRule="auto"/>
        <w:ind w:firstLine="709"/>
        <w:jc w:val="both"/>
        <w:rPr>
          <w:sz w:val="28"/>
          <w:szCs w:val="28"/>
        </w:rPr>
      </w:pPr>
      <w:r w:rsidRPr="00D6691F">
        <w:rPr>
          <w:sz w:val="28"/>
          <w:szCs w:val="28"/>
        </w:rPr>
        <w:t>Особливу увагу було приділено термінологічному складнику науково-технічної комунікації, який виступає центральним елементом інформаційної та когнітивної структури тексту. Термінологія функціонує як системно організована підсистема, що відображає внутрішню логіку наукової галузі, її поняттєвий апарат і класифікаційну будову. В англійській мові терміносистема характеризується компактністю, високим рівнем інтернаціональності та продуктивністю словотвірних моделей, що зумовлює складність пошуку нормативно узгоджених українських відповідників. Труднощі перекладу термінів пов’язані з багатозначністю, відсутністю усталеної національної терміносистеми, розбіжностями в словотвірних моделях, імпліцитністю технічних значень, швидкою появою неологізмів, а також із міжмовною інтерференцією, що може призводити до калькування неприродних структур.</w:t>
      </w:r>
    </w:p>
    <w:p w14:paraId="339760FA" w14:textId="77777777" w:rsidR="00BC6ECA" w:rsidRPr="00D6691F" w:rsidRDefault="00BC6ECA" w:rsidP="0060067C">
      <w:pPr>
        <w:pStyle w:val="a3"/>
        <w:spacing w:before="0" w:beforeAutospacing="0" w:after="0" w:afterAutospacing="0" w:line="360" w:lineRule="auto"/>
        <w:ind w:firstLine="709"/>
        <w:jc w:val="both"/>
        <w:rPr>
          <w:sz w:val="28"/>
          <w:szCs w:val="28"/>
        </w:rPr>
      </w:pPr>
      <w:r w:rsidRPr="00D6691F">
        <w:rPr>
          <w:sz w:val="28"/>
          <w:szCs w:val="28"/>
        </w:rPr>
        <w:t>Огляд літератури продемонстрував, що якісний переклад науково-технічних текстів потребує не лише мовної та термінологічної компетентності, а й розуміння галузевого контексту, знання фахових стандартів, урахування когнітивних моделей та прецизійності змісту. Перекладацькі рішення мають забезпечувати точність відтворення термінів, адекватне відображення синтаксичних зв’язків, логічність викладу та відповідність українським нормам професійного мовлення.</w:t>
      </w:r>
    </w:p>
    <w:p w14:paraId="6478CDDD" w14:textId="7E030643" w:rsidR="0060067C" w:rsidRPr="0060067C" w:rsidRDefault="0060067C" w:rsidP="00600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0067C">
        <w:rPr>
          <w:rFonts w:ascii="Times New Roman" w:eastAsia="Times New Roman" w:hAnsi="Times New Roman" w:cs="Times New Roman"/>
          <w:kern w:val="0"/>
          <w:sz w:val="28"/>
          <w:szCs w:val="28"/>
          <w:lang w:val="uk-UA" w:eastAsia="uk-UA"/>
          <w14:ligatures w14:val="none"/>
        </w:rPr>
        <w:lastRenderedPageBreak/>
        <w:t>Таким чином, теоретичний аналіз дозволив визначити базові стилістичні, структурні та термінологічні параметри англомовної науково-технічної літератури, що формують її жанрову специфіку та відрізняють від інших різновидів фахового мовлення. У роботі було з’ясовано ключові ознаки цього стилю</w:t>
      </w:r>
      <w:r w:rsidRPr="00D6691F">
        <w:rPr>
          <w:rFonts w:ascii="Times New Roman" w:eastAsia="Times New Roman" w:hAnsi="Times New Roman" w:cs="Times New Roman"/>
          <w:kern w:val="0"/>
          <w:sz w:val="28"/>
          <w:szCs w:val="28"/>
          <w:lang w:val="uk-UA" w:eastAsia="uk-UA"/>
          <w14:ligatures w14:val="none"/>
        </w:rPr>
        <w:t>:</w:t>
      </w:r>
      <w:r w:rsidRPr="0060067C">
        <w:rPr>
          <w:rFonts w:ascii="Times New Roman" w:eastAsia="Times New Roman" w:hAnsi="Times New Roman" w:cs="Times New Roman"/>
          <w:kern w:val="0"/>
          <w:sz w:val="28"/>
          <w:szCs w:val="28"/>
          <w:lang w:val="uk-UA" w:eastAsia="uk-UA"/>
          <w14:ligatures w14:val="none"/>
        </w:rPr>
        <w:t xml:space="preserve"> переважання номінативних конструкцій, логічність і стандартизованість викладу, високу термінологічну насиченість, компактність синтаксичних моделей та прагнення до максимальної точності опису. Водночас виявлено основні труднощі перекладу, пов’язані з відсутністю прямої відповідності структур англійської й української мов, різною моделлю організації терміносистем, специфікою багатокомпонентних іменникових груп, швидкою динамікою термінотворення та необхідністю дотримання професійних і нормативних вимог українського технічного дискурсу.</w:t>
      </w:r>
    </w:p>
    <w:p w14:paraId="097E7D7E" w14:textId="30274F32" w:rsidR="0060067C" w:rsidRPr="0060067C" w:rsidRDefault="0060067C" w:rsidP="00600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0067C">
        <w:rPr>
          <w:rFonts w:ascii="Times New Roman" w:eastAsia="Times New Roman" w:hAnsi="Times New Roman" w:cs="Times New Roman"/>
          <w:kern w:val="0"/>
          <w:sz w:val="28"/>
          <w:szCs w:val="28"/>
          <w:lang w:val="uk-UA" w:eastAsia="uk-UA"/>
          <w14:ligatures w14:val="none"/>
        </w:rPr>
        <w:t>Окрему увагу було приділено тому, що термінологія є не лише лексичним ядром тексту, а й когнітивною основою, яка структурує предметні знання та визначає спосіб подачі інформації. У межах теоретичного аналізу уточнено, як міжмовні відмінності у словотворенні, семантичній структурі та ступені інтернаціональності термінології впливають на перекладацькі рішення та формують потребу у застосуванні різних стратегій від калькування й транскрипції до адаптації, семантичного уточнення та описового перекладу.</w:t>
      </w:r>
    </w:p>
    <w:p w14:paraId="54A0F4F5" w14:textId="77777777" w:rsidR="0060067C" w:rsidRPr="0060067C" w:rsidRDefault="0060067C" w:rsidP="00600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0067C">
        <w:rPr>
          <w:rFonts w:ascii="Times New Roman" w:eastAsia="Times New Roman" w:hAnsi="Times New Roman" w:cs="Times New Roman"/>
          <w:kern w:val="0"/>
          <w:sz w:val="28"/>
          <w:szCs w:val="28"/>
          <w:lang w:val="uk-UA" w:eastAsia="uk-UA"/>
          <w14:ligatures w14:val="none"/>
        </w:rPr>
        <w:t>Сформоване теоретичне підґрунтя створює основу для системного практичного аналізу, що передбачає дослідження конкретних випадків передачі термінологічної лексики, синтаксичних структур, інструктивних формулювань і медико-технічних описів у перекладі. Теоретичні положення забезпечують методологічну базу для розгляду стилістичних трансформацій у текстах вибірки, які детально аналізуються у другому та третьому розділах роботи, дозволяючи виявити закономірності, моделі та характерні стратегії перекладу науково-технічних текстів українською мовою.</w:t>
      </w:r>
    </w:p>
    <w:p w14:paraId="4064B114" w14:textId="77777777" w:rsidR="00E01E0B" w:rsidRPr="00D6691F" w:rsidRDefault="00E01E0B" w:rsidP="0060067C">
      <w:pPr>
        <w:pStyle w:val="a3"/>
        <w:spacing w:before="0" w:beforeAutospacing="0" w:after="0" w:afterAutospacing="0" w:line="360" w:lineRule="auto"/>
        <w:ind w:firstLine="709"/>
        <w:jc w:val="both"/>
        <w:rPr>
          <w:sz w:val="28"/>
          <w:szCs w:val="28"/>
        </w:rPr>
      </w:pPr>
    </w:p>
    <w:p w14:paraId="7CC57A25" w14:textId="77777777" w:rsidR="00E01E0B" w:rsidRPr="008740C3" w:rsidRDefault="00E01E0B" w:rsidP="00600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0C94CE5" w14:textId="5597DB2F" w:rsidR="00B1004D" w:rsidRPr="00D6691F" w:rsidRDefault="00B1004D" w:rsidP="0060067C">
      <w:pPr>
        <w:spacing w:after="0" w:line="360" w:lineRule="auto"/>
        <w:ind w:firstLine="709"/>
        <w:jc w:val="both"/>
        <w:rPr>
          <w:rFonts w:ascii="Times New Roman" w:hAnsi="Times New Roman" w:cs="Times New Roman"/>
          <w:sz w:val="28"/>
          <w:szCs w:val="28"/>
          <w:lang w:val="uk-UA"/>
        </w:rPr>
      </w:pPr>
    </w:p>
    <w:p w14:paraId="08F70617" w14:textId="7C5FA291" w:rsidR="00980FC0" w:rsidRPr="00D6691F" w:rsidRDefault="00995528" w:rsidP="0060067C">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D6691F">
        <w:rPr>
          <w:rFonts w:ascii="Times New Roman" w:eastAsia="Times New Roman" w:hAnsi="Times New Roman" w:cs="Times New Roman"/>
          <w:b/>
          <w:bCs/>
          <w:caps/>
          <w:kern w:val="0"/>
          <w:sz w:val="28"/>
          <w:szCs w:val="28"/>
          <w:lang w:val="uk-UA" w:eastAsia="uk-UA"/>
          <w14:ligatures w14:val="none"/>
        </w:rPr>
        <w:lastRenderedPageBreak/>
        <w:t>Розділ 2</w:t>
      </w:r>
    </w:p>
    <w:p w14:paraId="2D871DCC" w14:textId="77777777" w:rsidR="0060067C" w:rsidRPr="00D6691F" w:rsidRDefault="0060067C" w:rsidP="0060067C">
      <w:pPr>
        <w:spacing w:after="0" w:line="360" w:lineRule="auto"/>
        <w:ind w:firstLine="709"/>
        <w:jc w:val="center"/>
        <w:rPr>
          <w:rFonts w:ascii="Times New Roman" w:hAnsi="Times New Roman" w:cs="Times New Roman"/>
          <w:b/>
          <w:bCs/>
          <w:sz w:val="28"/>
          <w:szCs w:val="28"/>
        </w:rPr>
      </w:pPr>
      <w:r w:rsidRPr="00D6691F">
        <w:rPr>
          <w:rFonts w:ascii="Times New Roman" w:hAnsi="Times New Roman" w:cs="Times New Roman"/>
          <w:b/>
          <w:bCs/>
          <w:sz w:val="28"/>
          <w:szCs w:val="28"/>
        </w:rPr>
        <w:t xml:space="preserve">СТИЛІСТИЧНИЙ АНАЛІЗ ПЕРЕКЛАДУ </w:t>
      </w:r>
    </w:p>
    <w:p w14:paraId="7BEC9A0B" w14:textId="58A0D7E4" w:rsidR="0060067C" w:rsidRPr="00D6691F" w:rsidRDefault="0060067C" w:rsidP="0060067C">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D6691F">
        <w:rPr>
          <w:rFonts w:ascii="Times New Roman" w:hAnsi="Times New Roman" w:cs="Times New Roman"/>
          <w:b/>
          <w:bCs/>
          <w:sz w:val="28"/>
          <w:szCs w:val="28"/>
        </w:rPr>
        <w:t>НАУКОВО-ТЕХНІЧНИХ ТЕКСТІВ</w:t>
      </w:r>
    </w:p>
    <w:p w14:paraId="4D868351" w14:textId="77777777" w:rsidR="00F749B0" w:rsidRPr="00D6691F" w:rsidRDefault="00F749B0" w:rsidP="00F749B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AE0A129" w14:textId="649F477D" w:rsidR="004946C6" w:rsidRPr="00D6691F" w:rsidRDefault="007A462F" w:rsidP="00F749B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D6691F">
        <w:rPr>
          <w:rFonts w:ascii="Times New Roman" w:eastAsia="Times New Roman" w:hAnsi="Times New Roman" w:cs="Times New Roman"/>
          <w:b/>
          <w:bCs/>
          <w:kern w:val="0"/>
          <w:sz w:val="28"/>
          <w:szCs w:val="28"/>
          <w:lang w:val="uk-UA" w:eastAsia="uk-UA"/>
          <w14:ligatures w14:val="none"/>
        </w:rPr>
        <w:t>2.1. Загальна характеристика вибірки</w:t>
      </w:r>
    </w:p>
    <w:p w14:paraId="23BABDA6" w14:textId="77777777" w:rsidR="007A462F" w:rsidRPr="007A462F" w:rsidRDefault="007A462F" w:rsidP="00F749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A462F">
        <w:rPr>
          <w:rFonts w:ascii="Times New Roman" w:eastAsia="Times New Roman" w:hAnsi="Times New Roman" w:cs="Times New Roman"/>
          <w:kern w:val="0"/>
          <w:sz w:val="28"/>
          <w:szCs w:val="28"/>
          <w:lang w:val="uk-UA" w:eastAsia="uk-UA"/>
          <w14:ligatures w14:val="none"/>
        </w:rPr>
        <w:t>Емпіричною основою дослідження став Multilingual English, French, Polish to Ukrainian Parallel Corpus, представлений на платформі European Language Grid і призначений для аналізу паралельних текстів різних функціональних стилів. Корпус містить структуровано вирівняні за сегментами англомовні та українські фрагменти, що дозволяє виконувати точне зіставлення оригіналу й перекладу, фіксувати перекладацькі відповідники й досліджувати механізми трансформації мовних одиниць. Його технічна організація передбачає наявність стандартизованих форматів, збереження внутрішньої структури тексту, коректну сегментацію речень і стабільність термінологічного наповнення, що робить ресурс придатним для лінгвістичних досліджень у сфері перекладу.</w:t>
      </w:r>
    </w:p>
    <w:p w14:paraId="4E0A44CC" w14:textId="77777777" w:rsidR="007A462F" w:rsidRPr="007A462F" w:rsidRDefault="007A462F" w:rsidP="00F749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A462F">
        <w:rPr>
          <w:rFonts w:ascii="Times New Roman" w:eastAsia="Times New Roman" w:hAnsi="Times New Roman" w:cs="Times New Roman"/>
          <w:kern w:val="0"/>
          <w:sz w:val="28"/>
          <w:szCs w:val="28"/>
          <w:lang w:val="uk-UA" w:eastAsia="uk-UA"/>
          <w14:ligatures w14:val="none"/>
        </w:rPr>
        <w:t>Для потреб роботи було сформовано цілеспрямовану вибірку англомовно-українських паралельних текстів обсягом 120 фрагментів. Вибірка охоплює 45 інструктивних та експлуатаційних текстів, що містять опис функціонування технічних пристроїв, правила монтажу, налаштування та вимоги з експлуатаційної безпеки; 38 фрагментів наукових статей з галузей інженерії, матеріалознавства, комп’ютерних наук, енергетики та суміжних спеціальностей; 22 медико-технічні документи, серед яких клінічні описи процедур, стандарти безпеки, технологічні протоколи та опис діагностичного обладнання; 15 науково-популярних технологічних оглядів, спрямованих на пояснення сучасних технічних процесів, новітніх досліджень і прикладних інновацій. Такий розподіл забезпечує жанрову різноманітність, що є необхідною для аналізу стилістичної варіативності перекладу науково-технічних текстів.</w:t>
      </w:r>
    </w:p>
    <w:p w14:paraId="7AFE287D" w14:textId="77777777" w:rsidR="007A462F" w:rsidRPr="007A462F" w:rsidRDefault="007A462F" w:rsidP="00F749B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A462F">
        <w:rPr>
          <w:rFonts w:ascii="Times New Roman" w:eastAsia="Times New Roman" w:hAnsi="Times New Roman" w:cs="Times New Roman"/>
          <w:kern w:val="0"/>
          <w:sz w:val="28"/>
          <w:szCs w:val="28"/>
          <w:lang w:val="uk-UA" w:eastAsia="uk-UA"/>
          <w14:ligatures w14:val="none"/>
        </w:rPr>
        <w:lastRenderedPageBreak/>
        <w:t>Тексти вибірки характеризуються високим рівнем термінологічної насиченості, широким використанням міжнародної технічної та наукової лексики, переважанням нейтрального, стандартизовано-інформативного стилю та мінімальним ступенем експресивності. В оригінальних англомовних текстах простежуються стійкі структурні ознаки науково-технічного стилю, такі як домінування номінативних конструкцій, частотність пасивних форм, використання багатокомпонентних іменникових груп, широке застосування абревіатур, умовних позначень і класифікаційних кодів. Українські переклади демонструють різні типи перекладацьких рішень — від буквального перенесення структури й калькування термінології до адаптованих, нормативно узгоджених відповідників, редукції складних конструкцій, розгортання змісту або уточнення семантики.</w:t>
      </w:r>
    </w:p>
    <w:p w14:paraId="03643036" w14:textId="1C0F4A54" w:rsidR="007A462F" w:rsidRPr="00D6691F" w:rsidRDefault="007A462F" w:rsidP="00D6691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A462F">
        <w:rPr>
          <w:rFonts w:ascii="Times New Roman" w:eastAsia="Times New Roman" w:hAnsi="Times New Roman" w:cs="Times New Roman"/>
          <w:kern w:val="0"/>
          <w:sz w:val="28"/>
          <w:szCs w:val="28"/>
          <w:lang w:val="uk-UA" w:eastAsia="uk-UA"/>
          <w14:ligatures w14:val="none"/>
        </w:rPr>
        <w:t>Структура вибірки дозволяє аналізувати стилістичні особливості перекладу в кількох взаємодоповнювальних напрямах: передавання складної термінології; трансформація синтаксичних структур; відтворення інструктивної модальності; адаптація інформаційно насичених сегментів; забезпечення відповідності українським нормам фахового мовлення. Завдяки збалансованому жанровому складу та значній кількості паралельних фрагментів сформована вибірка є репрезентативною для вивчення закономірностей відтворення стилістики науково-технічних текстів у перекладі та відповідає завданням дослідження.</w:t>
      </w:r>
    </w:p>
    <w:p w14:paraId="11A32CAB" w14:textId="77777777" w:rsidR="0034108E" w:rsidRPr="007A462F" w:rsidRDefault="0034108E" w:rsidP="00D6691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8E3AED6" w14:textId="77777777" w:rsidR="00F749B0" w:rsidRPr="00D6691F" w:rsidRDefault="00F749B0" w:rsidP="00D6691F">
      <w:pPr>
        <w:pStyle w:val="1"/>
        <w:spacing w:before="0" w:line="360" w:lineRule="auto"/>
        <w:ind w:firstLine="709"/>
        <w:jc w:val="both"/>
        <w:rPr>
          <w:rFonts w:ascii="Times New Roman" w:hAnsi="Times New Roman" w:cs="Times New Roman"/>
          <w:color w:val="auto"/>
          <w:kern w:val="36"/>
          <w:sz w:val="28"/>
          <w:szCs w:val="28"/>
          <w:lang w:val="uk-UA"/>
          <w14:ligatures w14:val="none"/>
        </w:rPr>
      </w:pPr>
      <w:r w:rsidRPr="00D6691F">
        <w:rPr>
          <w:rStyle w:val="a4"/>
          <w:rFonts w:ascii="Times New Roman" w:hAnsi="Times New Roman" w:cs="Times New Roman"/>
          <w:color w:val="auto"/>
          <w:sz w:val="28"/>
          <w:szCs w:val="28"/>
        </w:rPr>
        <w:t>2.2. Передавання термінологічної лексики в перекладі</w:t>
      </w:r>
    </w:p>
    <w:p w14:paraId="11B727CE" w14:textId="77777777" w:rsidR="00F749B0" w:rsidRPr="00D6691F" w:rsidRDefault="00F749B0" w:rsidP="00D6691F">
      <w:pPr>
        <w:pStyle w:val="a3"/>
        <w:spacing w:before="0" w:beforeAutospacing="0" w:after="0" w:afterAutospacing="0" w:line="360" w:lineRule="auto"/>
        <w:ind w:firstLine="709"/>
        <w:jc w:val="both"/>
        <w:rPr>
          <w:sz w:val="28"/>
          <w:szCs w:val="28"/>
        </w:rPr>
      </w:pPr>
      <w:r w:rsidRPr="00D6691F">
        <w:rPr>
          <w:sz w:val="28"/>
          <w:szCs w:val="28"/>
        </w:rPr>
        <w:t xml:space="preserve">Передавання термінологічної лексики у науково-технічному перекладі ґрунтується на принципах точності, однозначності та системності, оскільки термін як мовна одиниця відображає фахове поняття, що не допускає довільних інтерпретацій. Найхарактернішою для технічного дискурсу є тенденція до стандартизації термінів, що дає змогу використовувати прямі відповідники. Так, у текстах, присвячених опису обладнання, часто трапляються терміни конструктивного або функціонального типу, які </w:t>
      </w:r>
      <w:r w:rsidRPr="00D6691F">
        <w:rPr>
          <w:sz w:val="28"/>
          <w:szCs w:val="28"/>
        </w:rPr>
        <w:lastRenderedPageBreak/>
        <w:t xml:space="preserve">безпосередньо перекладаються українськими усталеними відповідниками. Наприклад, у реченні “The cooling system operates automatically when the temperature reaches the preset threshold” термін </w:t>
      </w:r>
      <w:r w:rsidRPr="00D6691F">
        <w:rPr>
          <w:rStyle w:val="a7"/>
          <w:sz w:val="28"/>
          <w:szCs w:val="28"/>
        </w:rPr>
        <w:t>cooling system</w:t>
      </w:r>
      <w:r w:rsidRPr="00D6691F">
        <w:rPr>
          <w:sz w:val="28"/>
          <w:szCs w:val="28"/>
        </w:rPr>
        <w:t xml:space="preserve"> перекладається як «система охолодження», що повністю відповідає українській технічній нормі [52]. Такі відповідники є результатом тривалої уніфікації технічної термінології та відповідають структурним моделям української мови. Аналогічно термін </w:t>
      </w:r>
      <w:r w:rsidRPr="00D6691F">
        <w:rPr>
          <w:rStyle w:val="a7"/>
          <w:sz w:val="28"/>
          <w:szCs w:val="28"/>
        </w:rPr>
        <w:t>voltage regulator</w:t>
      </w:r>
      <w:r w:rsidRPr="00D6691F">
        <w:rPr>
          <w:sz w:val="28"/>
          <w:szCs w:val="28"/>
        </w:rPr>
        <w:t xml:space="preserve"> у фразі “The generator includes a built-in voltage regulator” без проблем передається як «регулятор напруги», оскільки обидва компоненти мають стандартизовані галузеві відповідники [52].</w:t>
      </w:r>
    </w:p>
    <w:p w14:paraId="3A7EB811" w14:textId="77777777" w:rsidR="00F749B0" w:rsidRPr="00D6691F" w:rsidRDefault="00F749B0" w:rsidP="00D6691F">
      <w:pPr>
        <w:pStyle w:val="a3"/>
        <w:spacing w:before="0" w:beforeAutospacing="0" w:after="0" w:afterAutospacing="0" w:line="360" w:lineRule="auto"/>
        <w:ind w:firstLine="709"/>
        <w:jc w:val="both"/>
        <w:rPr>
          <w:sz w:val="28"/>
          <w:szCs w:val="28"/>
        </w:rPr>
      </w:pPr>
      <w:r w:rsidRPr="00D6691F">
        <w:rPr>
          <w:sz w:val="28"/>
          <w:szCs w:val="28"/>
        </w:rPr>
        <w:t xml:space="preserve">Коли англійська термінологічна одиниця має прозору внутрішню форму, перекладач застосовує калькування. Це дозволяє зберегти структуру терміна й одночасно адаптувати його до українського словотвору. У реченні “Fiber-reinforced polymer composites are widely used in aerospace engineering” термін </w:t>
      </w:r>
      <w:r w:rsidRPr="00D6691F">
        <w:rPr>
          <w:rStyle w:val="a7"/>
          <w:sz w:val="28"/>
          <w:szCs w:val="28"/>
        </w:rPr>
        <w:t>fiber-reinforced polymer</w:t>
      </w:r>
      <w:r w:rsidRPr="00D6691F">
        <w:rPr>
          <w:sz w:val="28"/>
          <w:szCs w:val="28"/>
        </w:rPr>
        <w:t xml:space="preserve"> перекладається як «полімер, армований волокнами», що відтворює логіку побудови англійського композитного терміна через калькування його компонентів [52]. Такий спосіб широко використовується для матеріалознавчих, хімічних та інженерних термінів, де семантичні зв’язки є достатньо прозорими для прямого перенесення.</w:t>
      </w:r>
    </w:p>
    <w:p w14:paraId="2A6840CA" w14:textId="77777777" w:rsidR="00F749B0" w:rsidRPr="00D6691F" w:rsidRDefault="00F749B0" w:rsidP="00D6691F">
      <w:pPr>
        <w:pStyle w:val="a3"/>
        <w:spacing w:before="0" w:beforeAutospacing="0" w:after="0" w:afterAutospacing="0" w:line="360" w:lineRule="auto"/>
        <w:ind w:firstLine="709"/>
        <w:jc w:val="both"/>
        <w:rPr>
          <w:sz w:val="28"/>
          <w:szCs w:val="28"/>
        </w:rPr>
      </w:pPr>
      <w:r w:rsidRPr="00D6691F">
        <w:rPr>
          <w:sz w:val="28"/>
          <w:szCs w:val="28"/>
        </w:rPr>
        <w:t xml:space="preserve">В окремих випадках перекладач стикається з термінами, що не мають однозначного відповідника в українській мові або використовуються в дуже вузькому технічному контексті. У таких ситуаціях постає потреба в описовому перекладі, який передає суть поняття, а не його формальну структуру. Наприклад, у реченні “The actuator converts electrical energy into controlled mechanical movement” термін </w:t>
      </w:r>
      <w:r w:rsidRPr="00D6691F">
        <w:rPr>
          <w:rStyle w:val="a7"/>
          <w:sz w:val="28"/>
          <w:szCs w:val="28"/>
        </w:rPr>
        <w:t>actuator</w:t>
      </w:r>
      <w:r w:rsidRPr="00D6691F">
        <w:rPr>
          <w:sz w:val="28"/>
          <w:szCs w:val="28"/>
        </w:rPr>
        <w:t xml:space="preserve"> перекладається як «приводний механізм», хоча буквальне значення слова — «той, що приводить у дію» [52]. Український термін зберігає функціональну характеристику об’єкта й відповідає загальноприйнятому технічному вжитку. Описовий переклад забезпечує точність і зрозумілість у тих випадках, коли калькування призвело б до штучного чи нелогічного для українського вжитку словосполучення.</w:t>
      </w:r>
    </w:p>
    <w:p w14:paraId="7C8A4C56" w14:textId="77777777" w:rsidR="00F749B0" w:rsidRPr="00D6691F" w:rsidRDefault="00F749B0" w:rsidP="00D6691F">
      <w:pPr>
        <w:pStyle w:val="a3"/>
        <w:spacing w:before="0" w:beforeAutospacing="0" w:after="0" w:afterAutospacing="0" w:line="360" w:lineRule="auto"/>
        <w:ind w:firstLine="709"/>
        <w:jc w:val="both"/>
        <w:rPr>
          <w:sz w:val="28"/>
          <w:szCs w:val="28"/>
        </w:rPr>
      </w:pPr>
      <w:r w:rsidRPr="00D6691F">
        <w:rPr>
          <w:sz w:val="28"/>
          <w:szCs w:val="28"/>
        </w:rPr>
        <w:lastRenderedPageBreak/>
        <w:t xml:space="preserve">У науково-технічних текстах значною є частка міжнародних скорочень та запозичень, пов’язаних з комп’ютерними технологіями або мікроелектронікою. У таких випадках переклад здійснюється шляхом транслітерації або частково адаптованого запозичення. Так, у вислові “The sensor uses a MEMS-based accelerometer” англійська абревіатура </w:t>
      </w:r>
      <w:r w:rsidRPr="00D6691F">
        <w:rPr>
          <w:rStyle w:val="a7"/>
          <w:sz w:val="28"/>
          <w:szCs w:val="28"/>
        </w:rPr>
        <w:t>MEMS</w:t>
      </w:r>
      <w:r w:rsidRPr="00D6691F">
        <w:rPr>
          <w:sz w:val="28"/>
          <w:szCs w:val="28"/>
        </w:rPr>
        <w:t xml:space="preserve"> передається в українській мові як «MEMS-технологія», оскільки ця одиниця має статус міжнародного терміна й не перекладається описово чи калькуванням [52]. Застосування транслітерації зумовлене прагненням зберегти коректність і впізнаваність терміна в глобальному технічному середовищі.</w:t>
      </w:r>
    </w:p>
    <w:p w14:paraId="609F7FF8" w14:textId="77777777" w:rsidR="00F749B0" w:rsidRPr="00D6691F" w:rsidRDefault="00F749B0" w:rsidP="00D6691F">
      <w:pPr>
        <w:pStyle w:val="a3"/>
        <w:spacing w:before="0" w:beforeAutospacing="0" w:after="0" w:afterAutospacing="0" w:line="360" w:lineRule="auto"/>
        <w:ind w:firstLine="709"/>
        <w:jc w:val="both"/>
        <w:rPr>
          <w:sz w:val="28"/>
          <w:szCs w:val="28"/>
        </w:rPr>
      </w:pPr>
      <w:r w:rsidRPr="00D6691F">
        <w:rPr>
          <w:sz w:val="28"/>
          <w:szCs w:val="28"/>
        </w:rPr>
        <w:t xml:space="preserve">Одним із викликів під час перекладу є наявність багатослівних термінів, де логіка побудови англійського словосполучення не збігається з українською нормою розташування атрибутивних компонентів. У таких випадках важливо зберегти ієрархію понять, одночасно перебудувавши структуру відповідно до законів української технічної мови. Так, у вислові “The high-pressure fuel pump ensures stable injection under variable load” англійський термін </w:t>
      </w:r>
      <w:r w:rsidRPr="00D6691F">
        <w:rPr>
          <w:rStyle w:val="a7"/>
          <w:sz w:val="28"/>
          <w:szCs w:val="28"/>
        </w:rPr>
        <w:t>high-pressure fuel pump</w:t>
      </w:r>
      <w:r w:rsidRPr="00D6691F">
        <w:rPr>
          <w:sz w:val="28"/>
          <w:szCs w:val="28"/>
        </w:rPr>
        <w:t xml:space="preserve"> перекладається як «паливний насос високого тиску» — зі зміною порядку слів, але зі збереженням точності [52]. Це типовий випадок, коли атрибутивні компоненти англійської терміносполуки перекладаються через зворот, характерний українській технічній мові.</w:t>
      </w:r>
    </w:p>
    <w:p w14:paraId="61FD2954" w14:textId="77777777" w:rsidR="00F749B0" w:rsidRPr="00D6691F" w:rsidRDefault="00F749B0" w:rsidP="00D6691F">
      <w:pPr>
        <w:pStyle w:val="a3"/>
        <w:spacing w:before="0" w:beforeAutospacing="0" w:after="0" w:afterAutospacing="0" w:line="360" w:lineRule="auto"/>
        <w:ind w:firstLine="709"/>
        <w:jc w:val="both"/>
        <w:rPr>
          <w:sz w:val="28"/>
          <w:szCs w:val="28"/>
        </w:rPr>
      </w:pPr>
      <w:r w:rsidRPr="00D6691F">
        <w:rPr>
          <w:sz w:val="28"/>
          <w:szCs w:val="28"/>
        </w:rPr>
        <w:t xml:space="preserve">Окрему проблему становлять «хибні друзі перекладача», коли терміни мають зовнішню формальну подібність до загальновживаних слів, але відрізняються за змістом. У реченні “The module must withstand mechanical loads” слово </w:t>
      </w:r>
      <w:r w:rsidRPr="00D6691F">
        <w:rPr>
          <w:rStyle w:val="a7"/>
          <w:sz w:val="28"/>
          <w:szCs w:val="28"/>
        </w:rPr>
        <w:t>load</w:t>
      </w:r>
      <w:r w:rsidRPr="00D6691F">
        <w:rPr>
          <w:sz w:val="28"/>
          <w:szCs w:val="28"/>
        </w:rPr>
        <w:t xml:space="preserve"> означає «навантаження», а не «вантаж», тоді як у вислові “The software features an embedded controller” термін </w:t>
      </w:r>
      <w:r w:rsidRPr="00D6691F">
        <w:rPr>
          <w:rStyle w:val="a7"/>
          <w:sz w:val="28"/>
          <w:szCs w:val="28"/>
        </w:rPr>
        <w:t>controller</w:t>
      </w:r>
      <w:r w:rsidRPr="00D6691F">
        <w:rPr>
          <w:sz w:val="28"/>
          <w:szCs w:val="28"/>
        </w:rPr>
        <w:t xml:space="preserve"> передає не «той, хто контролює», а електронний керувальний елемент — «вбудований контролер» [52]. Правильне розпізнавання таких термінів є критично важливим, адже семантична помилка може призвести до порушення інструкцій і некоректного відтворення функціональних характеристик пристрою.</w:t>
      </w:r>
    </w:p>
    <w:p w14:paraId="48276C5C" w14:textId="083E8A3D" w:rsidR="00F749B0" w:rsidRPr="00D6691F" w:rsidRDefault="00F749B0" w:rsidP="00D6691F">
      <w:pPr>
        <w:pStyle w:val="a3"/>
        <w:spacing w:before="0" w:beforeAutospacing="0" w:after="0" w:afterAutospacing="0" w:line="360" w:lineRule="auto"/>
        <w:ind w:firstLine="709"/>
        <w:jc w:val="both"/>
        <w:rPr>
          <w:sz w:val="28"/>
          <w:szCs w:val="28"/>
        </w:rPr>
      </w:pPr>
      <w:r w:rsidRPr="00D6691F">
        <w:rPr>
          <w:sz w:val="28"/>
          <w:szCs w:val="28"/>
        </w:rPr>
        <w:lastRenderedPageBreak/>
        <w:t xml:space="preserve">У комп’ютерно-технічних текстах терміни мають особливо високу ступінь контекстуальної залежності, що вимагає від перекладача не лише мовної, а й фахової компетентності. Так, у фразі “The system supports real-time data processing” термін </w:t>
      </w:r>
      <w:r w:rsidRPr="00D6691F">
        <w:rPr>
          <w:rStyle w:val="a7"/>
          <w:sz w:val="28"/>
          <w:szCs w:val="28"/>
        </w:rPr>
        <w:t>real-time</w:t>
      </w:r>
      <w:r w:rsidRPr="00D6691F">
        <w:rPr>
          <w:sz w:val="28"/>
          <w:szCs w:val="28"/>
        </w:rPr>
        <w:t xml:space="preserve"> не може бути перекладений буквально як «реальний час», оскільки в технічному контексті він означає роботу системи «в режимі реального часу»</w:t>
      </w:r>
      <w:r w:rsidR="00D6691F">
        <w:rPr>
          <w:sz w:val="28"/>
          <w:szCs w:val="28"/>
        </w:rPr>
        <w:t xml:space="preserve">, </w:t>
      </w:r>
      <w:r w:rsidRPr="00D6691F">
        <w:rPr>
          <w:sz w:val="28"/>
          <w:szCs w:val="28"/>
        </w:rPr>
        <w:t>саме така конструкція є коректною в українській мові [52]. Дотримання усталених відповідників забезпечує не лише лінгвістичну, а й функціональну точність технічної документації.</w:t>
      </w:r>
    </w:p>
    <w:p w14:paraId="2B74CE07" w14:textId="77777777" w:rsidR="00F749B0" w:rsidRPr="00D6691F" w:rsidRDefault="00F749B0" w:rsidP="00D6691F">
      <w:pPr>
        <w:pStyle w:val="a3"/>
        <w:spacing w:before="0" w:beforeAutospacing="0" w:after="0" w:afterAutospacing="0" w:line="360" w:lineRule="auto"/>
        <w:ind w:firstLine="709"/>
        <w:jc w:val="both"/>
        <w:rPr>
          <w:sz w:val="28"/>
          <w:szCs w:val="28"/>
        </w:rPr>
      </w:pPr>
      <w:r w:rsidRPr="00D6691F">
        <w:rPr>
          <w:sz w:val="28"/>
          <w:szCs w:val="28"/>
        </w:rPr>
        <w:t>У підсумку передавання термінологічної лексики вимагає системного підходу, що поєднує пряму відповідність, калькування, описовий переклад, транскодування та контекстуальну адаптацію. Технічні тексти демонструють, що жодна зі стратегій не є універсальною, а ефективність перекладу визначається здатністю перекладача правильно розпізнати термін, співвіднести його з відповідною поняттєвою системою та дотриматися українських галузевих норм. Саме адекватне відтворення термінології забезпечує функціональну точність, зрозумілість і практичну цінність перекладу науково-технічних текстів.</w:t>
      </w:r>
    </w:p>
    <w:p w14:paraId="4D6D57B1" w14:textId="77777777" w:rsidR="00D6691F" w:rsidRDefault="00D6691F" w:rsidP="00D6691F">
      <w:pPr>
        <w:pStyle w:val="1"/>
        <w:spacing w:before="0" w:line="360" w:lineRule="auto"/>
        <w:ind w:firstLine="709"/>
        <w:jc w:val="both"/>
        <w:rPr>
          <w:rStyle w:val="a4"/>
          <w:rFonts w:ascii="Times New Roman" w:hAnsi="Times New Roman" w:cs="Times New Roman"/>
          <w:color w:val="auto"/>
          <w:sz w:val="28"/>
          <w:szCs w:val="28"/>
        </w:rPr>
      </w:pPr>
    </w:p>
    <w:p w14:paraId="6984552F" w14:textId="624A09F8" w:rsidR="00D755D5" w:rsidRPr="00D6691F" w:rsidRDefault="00D755D5" w:rsidP="00D6691F">
      <w:pPr>
        <w:pStyle w:val="1"/>
        <w:spacing w:before="0" w:line="360" w:lineRule="auto"/>
        <w:ind w:firstLine="709"/>
        <w:jc w:val="both"/>
        <w:rPr>
          <w:rFonts w:ascii="Times New Roman" w:hAnsi="Times New Roman" w:cs="Times New Roman"/>
          <w:color w:val="auto"/>
          <w:kern w:val="36"/>
          <w:sz w:val="28"/>
          <w:szCs w:val="28"/>
          <w:lang w:val="uk-UA"/>
          <w14:ligatures w14:val="none"/>
        </w:rPr>
      </w:pPr>
      <w:r w:rsidRPr="00D6691F">
        <w:rPr>
          <w:rStyle w:val="a4"/>
          <w:rFonts w:ascii="Times New Roman" w:hAnsi="Times New Roman" w:cs="Times New Roman"/>
          <w:color w:val="auto"/>
          <w:sz w:val="28"/>
          <w:szCs w:val="28"/>
        </w:rPr>
        <w:t>2.3. Відтворення синтаксичних особливостей англомовних науково-технічних текстів</w:t>
      </w:r>
    </w:p>
    <w:p w14:paraId="14C4C937" w14:textId="77777777"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 xml:space="preserve">Синтаксис англомовних науково-технічних текстів становить одну з найскладніших зон перекладу, оскільки саме граматична організація висловлювання забезпечує точність, лаконічність і однозначність інженерної або наукової інформації. На відміну від художнього й публіцистичного стилів, де синтаксис може виконувати експресивну функцію, технічний дискурс тяжіє до максимальної формалізації, стандартизації й логічної впорядкованості. Це зумовлює появу низки структурних моделей, нетипових для української мови, що створює необхідність цілеспрямованих синтаксичних трансформацій при перекладі. До таких моделей належать розгорнуті пасивні конструкції, багатоступеневі атрибутивні ланцюги, номіналізація процесів, препозиційні </w:t>
      </w:r>
      <w:r w:rsidRPr="00D6691F">
        <w:rPr>
          <w:sz w:val="28"/>
          <w:szCs w:val="28"/>
        </w:rPr>
        <w:lastRenderedPageBreak/>
        <w:t>групи з іменниками, інфінітивні комплекси, герундіальні звороти та високо компактні синтаксичні структури, що передають значний обсяг інформації у мінімальному мовному просторі.</w:t>
      </w:r>
    </w:p>
    <w:p w14:paraId="5C67EDFD" w14:textId="77777777"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 xml:space="preserve">Одним із найпоказовіших синтаксичних явищ англомовних науково-технічних текстів є домінування пасивного стану, який дозволяє усунути агенса й зосередити увагу на процесі або результаті операції. У таких конструкціях важливо не суб’єктне, а предикатне ядро, що передає ключову дію або технічну функцію. У реченні “The components are assembled using automated welding equipment” синтаксична структура </w:t>
      </w:r>
      <w:r w:rsidRPr="00D6691F">
        <w:rPr>
          <w:rStyle w:val="a7"/>
          <w:sz w:val="28"/>
          <w:szCs w:val="28"/>
        </w:rPr>
        <w:t>are assembled</w:t>
      </w:r>
      <w:r w:rsidRPr="00D6691F">
        <w:rPr>
          <w:sz w:val="28"/>
          <w:szCs w:val="28"/>
        </w:rPr>
        <w:t xml:space="preserve"> виконує функцію формального центру опису технологічної операції, оскільки головним є факт складання компонентів певним способом, а не те, хто його виконує [52]. Переклад «Компоненти збираються з використанням автоматизованого зварювального обладнання» зберігає прагматичну функцію пасиву, адже український науково-технічний стиль також допускає нейтралізацію агенса, проте пасивні конструкції в українській мові не можуть використовуватися настільки часто, тому перекладач повинен забезпечувати природний баланс активних і пасивних структур.</w:t>
      </w:r>
    </w:p>
    <w:p w14:paraId="1A21E6CB" w14:textId="77777777"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 xml:space="preserve">Ще однією важливою рисою англійського науково-технічного синтаксису є інтенсивне використання багатокомпонентних препозиційних атрибутивних груп, у яких один іменник може мати кілька передпозиційних визначень, що створює компактні й водночас складні структури. Наприклад, у фразі “A high-precision temperature-controlled measurement system was installed” препозиційна група </w:t>
      </w:r>
      <w:r w:rsidRPr="00D6691F">
        <w:rPr>
          <w:rStyle w:val="a7"/>
          <w:sz w:val="28"/>
          <w:szCs w:val="28"/>
        </w:rPr>
        <w:t>high-precision temperature-controlled measurement</w:t>
      </w:r>
      <w:r w:rsidRPr="00D6691F">
        <w:rPr>
          <w:sz w:val="28"/>
          <w:szCs w:val="28"/>
        </w:rPr>
        <w:t xml:space="preserve"> охоплює декілька рівнів означення — точність, температурний режим і сферу вимірювання [52]. У перекладі «Було встановлено високоточну вимірювальну систему з температурним контролем» необхідно розгорнути препозиційний ланцюг, розмістивши означення після іменника або розділивши їх на логічні блоки. Така перебудова є обов’язковою, оскільки українська мова не допускає надмірного нагромадження препозитивних атрибутів і тяжіє до постпозиції </w:t>
      </w:r>
      <w:r w:rsidRPr="00D6691F">
        <w:rPr>
          <w:sz w:val="28"/>
          <w:szCs w:val="28"/>
        </w:rPr>
        <w:lastRenderedPageBreak/>
        <w:t>означень. Невміння правильно розгорнути англійський атрибутивний ланцюг призводить до граматичної неоковирності або навіть викривлення змісту.</w:t>
      </w:r>
    </w:p>
    <w:p w14:paraId="219FB218" w14:textId="77777777"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 xml:space="preserve">Показовою рисою технічного синтаксису є активне використання номіналізацій, які замінюють дієслівні конструкції на іменникові й передають процеси у вигляді абстрактних понять. Номіналізація підвищує ступінь формалізації тексту, але водночас створює структури, що потребують особливої уваги при перекладі. Наприклад, у вислові “The reduction of energy consumption is achieved through system optimization” два процеси — зменшення та оптимізація — представлені іменниками </w:t>
      </w:r>
      <w:r w:rsidRPr="00D6691F">
        <w:rPr>
          <w:rStyle w:val="a7"/>
          <w:sz w:val="28"/>
          <w:szCs w:val="28"/>
        </w:rPr>
        <w:t>reduction</w:t>
      </w:r>
      <w:r w:rsidRPr="00D6691F">
        <w:rPr>
          <w:sz w:val="28"/>
          <w:szCs w:val="28"/>
        </w:rPr>
        <w:t xml:space="preserve"> та </w:t>
      </w:r>
      <w:r w:rsidRPr="00D6691F">
        <w:rPr>
          <w:rStyle w:val="a7"/>
          <w:sz w:val="28"/>
          <w:szCs w:val="28"/>
        </w:rPr>
        <w:t>optimization</w:t>
      </w:r>
      <w:r w:rsidRPr="00D6691F">
        <w:rPr>
          <w:sz w:val="28"/>
          <w:szCs w:val="28"/>
        </w:rPr>
        <w:t xml:space="preserve"> [52]. Переклад «Зменшення споживання енергії досягається шляхом оптимізації системи» зберігає номінативний характер, оскільки в українському технічному стилі іменникові конструкції також є типовими. Проте надмірне перенесення англійських номіналізацій в український текст може спричинити його перевантаження, тому перекладач повинен уміти чергувати номінативні структури з дієслівними формами, зберігаючи природний темпоритм українського наукового викладу.</w:t>
      </w:r>
    </w:p>
    <w:p w14:paraId="06800CFA" w14:textId="77777777"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 xml:space="preserve">Окрему синтаксичну проблему становлять інфінітивні та герундіальні конструкції. В англійській мові інфінітив часто виконує функції обставини мети, причини, наслідку або умови, тоді як герундій позначає дію у вигляді поняття. У прикладі “To ensure stable operation, the device must be calibrated before use” конструкція </w:t>
      </w:r>
      <w:r w:rsidRPr="00D6691F">
        <w:rPr>
          <w:rStyle w:val="a7"/>
          <w:sz w:val="28"/>
          <w:szCs w:val="28"/>
        </w:rPr>
        <w:t>to ensure stable operation</w:t>
      </w:r>
      <w:r w:rsidRPr="00D6691F">
        <w:rPr>
          <w:sz w:val="28"/>
          <w:szCs w:val="28"/>
        </w:rPr>
        <w:t xml:space="preserve"> виступає формою вираження мети, а </w:t>
      </w:r>
      <w:r w:rsidRPr="00D6691F">
        <w:rPr>
          <w:rStyle w:val="a7"/>
          <w:sz w:val="28"/>
          <w:szCs w:val="28"/>
        </w:rPr>
        <w:t>before use</w:t>
      </w:r>
      <w:r w:rsidRPr="00D6691F">
        <w:rPr>
          <w:sz w:val="28"/>
          <w:szCs w:val="28"/>
        </w:rPr>
        <w:t xml:space="preserve"> — узагальненої часової обставини [52]. Український переклад «Щоб забезпечити стабільну роботу, пристрій необхідно відкалібрувати перед використанням» передає зміст через підрядні конструкції, що є типово українською синтаксичною моделлю. Герундіальні звороти, як у висловах </w:t>
      </w:r>
      <w:r w:rsidRPr="00D6691F">
        <w:rPr>
          <w:rStyle w:val="a7"/>
          <w:sz w:val="28"/>
          <w:szCs w:val="28"/>
        </w:rPr>
        <w:t>after completing the procedure</w:t>
      </w:r>
      <w:r w:rsidRPr="00D6691F">
        <w:rPr>
          <w:sz w:val="28"/>
          <w:szCs w:val="28"/>
        </w:rPr>
        <w:t xml:space="preserve"> або </w:t>
      </w:r>
      <w:r w:rsidRPr="00D6691F">
        <w:rPr>
          <w:rStyle w:val="a7"/>
          <w:sz w:val="28"/>
          <w:szCs w:val="28"/>
        </w:rPr>
        <w:t>during testing</w:t>
      </w:r>
      <w:r w:rsidRPr="00D6691F">
        <w:rPr>
          <w:sz w:val="28"/>
          <w:szCs w:val="28"/>
        </w:rPr>
        <w:t xml:space="preserve">, зазвичай перекладаються дієприслівниковими формами («після завершення процедури», «під час тестування») або підрядними реченнями, залежно від складності контексту. Адекватне відтворення цих структур надзвичайно </w:t>
      </w:r>
      <w:r w:rsidRPr="00D6691F">
        <w:rPr>
          <w:sz w:val="28"/>
          <w:szCs w:val="28"/>
        </w:rPr>
        <w:lastRenderedPageBreak/>
        <w:t>важливе, оскільки неправильна трансформація може вплинути на логіку викладу або порушити хронологію технологічних дій.</w:t>
      </w:r>
    </w:p>
    <w:p w14:paraId="797E8685" w14:textId="77777777"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 xml:space="preserve">Англомовний технічний синтаксис характеризується також розвиненою системою складнопідрядних речень, що формують чіткі причинно-наслідкові, умовні, часові й цільові зв’язки. Наприклад, у реченні “When the pressure exceeds the safety limit, the automatic shutdown system is activated” підрядна конструкція </w:t>
      </w:r>
      <w:r w:rsidRPr="00D6691F">
        <w:rPr>
          <w:rStyle w:val="a7"/>
          <w:sz w:val="28"/>
          <w:szCs w:val="28"/>
        </w:rPr>
        <w:t>when the pressure exceeds the safety limit</w:t>
      </w:r>
      <w:r w:rsidRPr="00D6691F">
        <w:rPr>
          <w:sz w:val="28"/>
          <w:szCs w:val="28"/>
        </w:rPr>
        <w:t xml:space="preserve"> визначає умову запуску системи [52]. Український переклад «Коли тиск перевищує допустиму межу, активується система автоматичного вимкнення» зберігає структуру, що відповідає українському технічному стилю. У таких конструкціях важливо забезпечити чіткість логічних зв’язків та уникнути двозначності, оскільки зміна граматичних зв’язків у перекладі може спричинити неправильне тлумачення інструкції або принципів роботи системи.</w:t>
      </w:r>
    </w:p>
    <w:p w14:paraId="05FB82E6" w14:textId="77777777"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Характерною рисою англомовного технічного синтаксису є прагнення до високого ступеня інформаційної компресії — здатності передавати великий обсяг даних у мінімальному синтаксичному просторі. Речення на кшталт “System performance depends on proper configuration and regular maintenance” здатне передати кілька ключових технічних параметрів у компактній формі [52]. Переклад «Продуктивність системи залежить від правильної конфігурації та регулярного технічного обслуговування» зберігає цю лаконічність, проте українська мова потребує чіткішого логічного членування, тому перекладач має забезпечити природність синтаксису без утрати інформативності. Компресія також досягається за допомогою інверсії, еліпсису, узагальнених підметових конструкцій (</w:t>
      </w:r>
      <w:r w:rsidRPr="00D6691F">
        <w:rPr>
          <w:rStyle w:val="a7"/>
          <w:sz w:val="28"/>
          <w:szCs w:val="28"/>
        </w:rPr>
        <w:t>it is required</w:t>
      </w:r>
      <w:r w:rsidRPr="00D6691F">
        <w:rPr>
          <w:sz w:val="28"/>
          <w:szCs w:val="28"/>
        </w:rPr>
        <w:t xml:space="preserve">, </w:t>
      </w:r>
      <w:r w:rsidRPr="00D6691F">
        <w:rPr>
          <w:rStyle w:val="a7"/>
          <w:sz w:val="28"/>
          <w:szCs w:val="28"/>
        </w:rPr>
        <w:t>it is recommended</w:t>
      </w:r>
      <w:r w:rsidRPr="00D6691F">
        <w:rPr>
          <w:sz w:val="28"/>
          <w:szCs w:val="28"/>
        </w:rPr>
        <w:t>), які передають нормативність і регулятивність технічних вимог.</w:t>
      </w:r>
    </w:p>
    <w:p w14:paraId="1CD9584C" w14:textId="77777777"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 xml:space="preserve">Для англомовних науково-технічних текстів характерним є також використання формальних синтаксичних структур із низьким рівнем персоналізації, що зумовлює об’єктивний, нейтральний і позбавлений оцінки стиль. Наприклад, конструкції </w:t>
      </w:r>
      <w:r w:rsidRPr="00D6691F">
        <w:rPr>
          <w:rStyle w:val="a7"/>
          <w:sz w:val="28"/>
          <w:szCs w:val="28"/>
        </w:rPr>
        <w:t>it should be noted that</w:t>
      </w:r>
      <w:r w:rsidRPr="00D6691F">
        <w:rPr>
          <w:sz w:val="28"/>
          <w:szCs w:val="28"/>
        </w:rPr>
        <w:t xml:space="preserve">, </w:t>
      </w:r>
      <w:r w:rsidRPr="00D6691F">
        <w:rPr>
          <w:rStyle w:val="a7"/>
          <w:sz w:val="28"/>
          <w:szCs w:val="28"/>
        </w:rPr>
        <w:t>it is assumed</w:t>
      </w:r>
      <w:r w:rsidRPr="00D6691F">
        <w:rPr>
          <w:sz w:val="28"/>
          <w:szCs w:val="28"/>
        </w:rPr>
        <w:t xml:space="preserve">, </w:t>
      </w:r>
      <w:r w:rsidRPr="00D6691F">
        <w:rPr>
          <w:rStyle w:val="a7"/>
          <w:sz w:val="28"/>
          <w:szCs w:val="28"/>
        </w:rPr>
        <w:t>it can be observed</w:t>
      </w:r>
      <w:r w:rsidRPr="00D6691F">
        <w:rPr>
          <w:sz w:val="28"/>
          <w:szCs w:val="28"/>
        </w:rPr>
        <w:t xml:space="preserve"> виконують функції маркерів логіко-структурної організації, </w:t>
      </w:r>
      <w:r w:rsidRPr="00D6691F">
        <w:rPr>
          <w:sz w:val="28"/>
          <w:szCs w:val="28"/>
        </w:rPr>
        <w:lastRenderedPageBreak/>
        <w:t>позначаючи перехід до аргументації, висновку або нового етапу опису процесу. У перекладі ці формули зазвичай перетворюються на безособові конструкції типу «слід зазначити, що…», «передбачається, що…», «можна спостерігати…». Такі синтаксичні кліше забезпечують структурованість українського тексту й відповідають нормам наукової української мови.</w:t>
      </w:r>
    </w:p>
    <w:p w14:paraId="591D0B90" w14:textId="1501185E" w:rsidR="00D755D5" w:rsidRPr="00D6691F" w:rsidRDefault="00D755D5" w:rsidP="00D6691F">
      <w:pPr>
        <w:pStyle w:val="a3"/>
        <w:spacing w:before="0" w:beforeAutospacing="0" w:after="0" w:afterAutospacing="0" w:line="360" w:lineRule="auto"/>
        <w:ind w:firstLine="709"/>
        <w:jc w:val="both"/>
        <w:rPr>
          <w:sz w:val="28"/>
          <w:szCs w:val="28"/>
        </w:rPr>
      </w:pPr>
      <w:r w:rsidRPr="00D6691F">
        <w:rPr>
          <w:sz w:val="28"/>
          <w:szCs w:val="28"/>
        </w:rPr>
        <w:t>Загалом відтворення синтаксичних особливостей англомовних науково-технічних текстів потребує від перекладача глибокого розуміння функцій англійських структур та вміння адаптувати їх до української мовної системи, зберігаючи баланс між формальною точністю та стилістичною природністю. Складні атрибутивні конструкції потребують логічного «розгортання», пасивні структури — граматичного переосмислення, інфінітиви й герундії — граматичних трансформацій, а номіналізації — стилістичного пом’якшення або уточнення. Успішність перекладу залежить від здатності зберегти логічну завершеність і технічну однозначність оригіналу, одночасно дотримуючись українських норм науково-технічного письма, що забезпечує адекватність, зрозумілість і функціональність перекладеного тексту.</w:t>
      </w:r>
    </w:p>
    <w:p w14:paraId="21C84E9E" w14:textId="77777777" w:rsidR="00D6691F" w:rsidRDefault="00D6691F" w:rsidP="00D6691F">
      <w:pPr>
        <w:pStyle w:val="1"/>
        <w:spacing w:before="0" w:line="360" w:lineRule="auto"/>
        <w:ind w:firstLine="709"/>
        <w:jc w:val="both"/>
        <w:rPr>
          <w:rStyle w:val="a4"/>
          <w:rFonts w:ascii="Times New Roman" w:hAnsi="Times New Roman" w:cs="Times New Roman"/>
          <w:color w:val="auto"/>
          <w:sz w:val="28"/>
          <w:szCs w:val="28"/>
        </w:rPr>
      </w:pPr>
    </w:p>
    <w:p w14:paraId="46B629E0" w14:textId="66107E40" w:rsidR="0034108E" w:rsidRPr="00D6691F" w:rsidRDefault="0034108E" w:rsidP="00D6691F">
      <w:pPr>
        <w:pStyle w:val="1"/>
        <w:spacing w:before="0" w:line="360" w:lineRule="auto"/>
        <w:ind w:firstLine="709"/>
        <w:jc w:val="both"/>
        <w:rPr>
          <w:rFonts w:ascii="Times New Roman" w:hAnsi="Times New Roman" w:cs="Times New Roman"/>
          <w:color w:val="auto"/>
          <w:kern w:val="36"/>
          <w:sz w:val="28"/>
          <w:szCs w:val="28"/>
          <w:lang w:val="uk-UA"/>
          <w14:ligatures w14:val="none"/>
        </w:rPr>
      </w:pPr>
      <w:r w:rsidRPr="00D6691F">
        <w:rPr>
          <w:rStyle w:val="a4"/>
          <w:rFonts w:ascii="Times New Roman" w:hAnsi="Times New Roman" w:cs="Times New Roman"/>
          <w:color w:val="auto"/>
          <w:sz w:val="28"/>
          <w:szCs w:val="28"/>
        </w:rPr>
        <w:t>2.4. Особливості перекладу інструктивних та експлуатаційних текстів</w:t>
      </w:r>
    </w:p>
    <w:p w14:paraId="55715349"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Інструктивні та експлуатаційні тексти становлять специфічний різновид технічного дискурсу, у якому мовне оформлення безпосередньо впливає на правильність виконання користувачем технологічних операцій, безпеку роботи обладнання та стабільність технічного процесу. На відміну від описових і пояснювальних науково-технічних текстів, інструкції є нормативними документами, що встановлюють чіткі вимоги до дій, обмежень, умов експлуатації, профілактичного обслуговування та реагування на нештатні ситуації. Тому переклад таких текстів потребує не лише точного відтворення змісту, а й урахування функціонального призначення документа, рівня компетентності цільового читача, вимог технічної безпеки, юридичної коректності та усталених галузевих стандартів.</w:t>
      </w:r>
    </w:p>
    <w:p w14:paraId="7794FA59"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lastRenderedPageBreak/>
        <w:t>Однією з фундаментальних синтаксичних рис англомовних інструкцій є переважання імперативних конструкцій, що задають алгоритм дій користувача. У вислові “Ensure that the device is properly grounded before operation” виражена категорична вимога, спрямована на запобігання аварійним режимам роботи [52]. Український варіант «Переконайтеся, що пристрій надійно заземлений перед початком роботи» зберігає наказовий характер конструкції, але вимагає граматичного уточнення, оскільки українська мова частіше використовує повну форму наказового способу й чіткі темпоральні маркери. Така адаптація зумовлена прагненням забезпечити однозначність інструкції: будь-яке пом’якшення або двозначність можуть бути розцінені як рекомендація, а не обов’язкова вимога.</w:t>
      </w:r>
    </w:p>
    <w:p w14:paraId="29551894"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Надзвичайно важливою для інструктивних текстів є модальність, оскільки модальні дієслова визначають ступінь обов’язковості дій. У текстах англійською мовою модальні дієслова </w:t>
      </w:r>
      <w:r w:rsidRPr="00D6691F">
        <w:rPr>
          <w:rStyle w:val="a7"/>
          <w:sz w:val="28"/>
          <w:szCs w:val="28"/>
        </w:rPr>
        <w:t>must</w:t>
      </w:r>
      <w:r w:rsidRPr="00D6691F">
        <w:rPr>
          <w:sz w:val="28"/>
          <w:szCs w:val="28"/>
        </w:rPr>
        <w:t xml:space="preserve">, </w:t>
      </w:r>
      <w:r w:rsidRPr="00D6691F">
        <w:rPr>
          <w:rStyle w:val="a7"/>
          <w:sz w:val="28"/>
          <w:szCs w:val="28"/>
        </w:rPr>
        <w:t>should</w:t>
      </w:r>
      <w:r w:rsidRPr="00D6691F">
        <w:rPr>
          <w:sz w:val="28"/>
          <w:szCs w:val="28"/>
        </w:rPr>
        <w:t xml:space="preserve">, </w:t>
      </w:r>
      <w:r w:rsidRPr="00D6691F">
        <w:rPr>
          <w:rStyle w:val="a7"/>
          <w:sz w:val="28"/>
          <w:szCs w:val="28"/>
        </w:rPr>
        <w:t>may</w:t>
      </w:r>
      <w:r w:rsidRPr="00D6691F">
        <w:rPr>
          <w:sz w:val="28"/>
          <w:szCs w:val="28"/>
        </w:rPr>
        <w:t xml:space="preserve">, </w:t>
      </w:r>
      <w:r w:rsidRPr="00D6691F">
        <w:rPr>
          <w:rStyle w:val="a7"/>
          <w:sz w:val="28"/>
          <w:szCs w:val="28"/>
        </w:rPr>
        <w:t>shall</w:t>
      </w:r>
      <w:r w:rsidRPr="00D6691F">
        <w:rPr>
          <w:sz w:val="28"/>
          <w:szCs w:val="28"/>
        </w:rPr>
        <w:t xml:space="preserve"> мають чітко розмежовані сфери вживання. Наприклад, у фразі “The operator must check the pressure gauge before each cycle” модальність </w:t>
      </w:r>
      <w:r w:rsidRPr="00D6691F">
        <w:rPr>
          <w:rStyle w:val="a7"/>
          <w:sz w:val="28"/>
          <w:szCs w:val="28"/>
        </w:rPr>
        <w:t>must</w:t>
      </w:r>
      <w:r w:rsidRPr="00D6691F">
        <w:rPr>
          <w:sz w:val="28"/>
          <w:szCs w:val="28"/>
        </w:rPr>
        <w:t xml:space="preserve"> позначає безальтернативну вимогу [52]. Український переклад «Оператор повинен перевіряти манометр перед кожним циклом» не допускає заміни на «має» чи «слід», адже це знижує ступінь обов’язковості. Натомість у реченні “The device should be stored in a dry environment” модальне </w:t>
      </w:r>
      <w:r w:rsidRPr="00D6691F">
        <w:rPr>
          <w:rStyle w:val="a7"/>
          <w:sz w:val="28"/>
          <w:szCs w:val="28"/>
        </w:rPr>
        <w:t>should</w:t>
      </w:r>
      <w:r w:rsidRPr="00D6691F">
        <w:rPr>
          <w:sz w:val="28"/>
          <w:szCs w:val="28"/>
        </w:rPr>
        <w:t xml:space="preserve"> позначає рекомендацію, тому переклад «Пристрій слід зберігати у сухому приміщенні» є цілком коректним [52]. Зміна модальності в перекладі фактично змінює юридичну силу документа, тому перекладач має розуміти нюанси адміністративно-технічної регуляції.</w:t>
      </w:r>
    </w:p>
    <w:p w14:paraId="409C9D23"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Інструктивні тексти також відзначаються активним використанням безособових і формально-нейтральних конструкцій, що забезпечують універсальність інструкції та незалежність від конкретного виконавця. У формулі “It is recommended to replace the filter every 500 hours of operation” саме безособова структура оформлює рекомендаційний характер вимоги [52]. Український варіант «Рекомендується замінювати фільтр кожні 500 годин роботи» зберігає безособовість, проте вимагає перебудови підметово-</w:t>
      </w:r>
      <w:r w:rsidRPr="00D6691F">
        <w:rPr>
          <w:sz w:val="28"/>
          <w:szCs w:val="28"/>
        </w:rPr>
        <w:lastRenderedPageBreak/>
        <w:t>присудкової структури. Безособові конструкції забезпечують стандартизованість інструкцій, що особливо важливо для обладнання, яке використовується у промислових або медичних контекстах, де дії не можуть бути прив’язані до конкретних суб’єктів.</w:t>
      </w:r>
    </w:p>
    <w:p w14:paraId="53452A78"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Окрему увагу перекладача потребує передавання попереджувальної інформації — ключової складової експлуатаційної документації, яка регламентує допустимі та небезпечні режими роботи. У вислові “Warning: Do not open the cover while the machine is running” використано формулу прямої заборони, що позначає потенційну загрозу життю або здоров’ю [52]. Український переклад «Попередження: Не відкривайте кришку під час роботи машини» повинен не лише передати семантику, а й зберегти типове розміщення сигнального слова </w:t>
      </w:r>
      <w:r w:rsidRPr="00D6691F">
        <w:rPr>
          <w:rStyle w:val="a7"/>
          <w:sz w:val="28"/>
          <w:szCs w:val="28"/>
        </w:rPr>
        <w:t>Warning</w:t>
      </w:r>
      <w:r w:rsidRPr="00D6691F">
        <w:rPr>
          <w:sz w:val="28"/>
          <w:szCs w:val="28"/>
        </w:rPr>
        <w:t xml:space="preserve"> на початку фрази. Інструкції чітко розрізняють </w:t>
      </w:r>
      <w:r w:rsidRPr="00D6691F">
        <w:rPr>
          <w:rStyle w:val="a7"/>
          <w:sz w:val="28"/>
          <w:szCs w:val="28"/>
        </w:rPr>
        <w:t>Warning</w:t>
      </w:r>
      <w:r w:rsidRPr="00D6691F">
        <w:rPr>
          <w:sz w:val="28"/>
          <w:szCs w:val="28"/>
        </w:rPr>
        <w:t xml:space="preserve"> (небезпека для життя), </w:t>
      </w:r>
      <w:r w:rsidRPr="00D6691F">
        <w:rPr>
          <w:rStyle w:val="a7"/>
          <w:sz w:val="28"/>
          <w:szCs w:val="28"/>
        </w:rPr>
        <w:t>Caution</w:t>
      </w:r>
      <w:r w:rsidRPr="00D6691F">
        <w:rPr>
          <w:sz w:val="28"/>
          <w:szCs w:val="28"/>
        </w:rPr>
        <w:t xml:space="preserve"> (ризик пошкодження обладнання), </w:t>
      </w:r>
      <w:r w:rsidRPr="00D6691F">
        <w:rPr>
          <w:rStyle w:val="a7"/>
          <w:sz w:val="28"/>
          <w:szCs w:val="28"/>
        </w:rPr>
        <w:t>Notice</w:t>
      </w:r>
      <w:r w:rsidRPr="00D6691F">
        <w:rPr>
          <w:sz w:val="28"/>
          <w:szCs w:val="28"/>
        </w:rPr>
        <w:t xml:space="preserve"> (важлива інформація). Наприклад, у реченні “Caution: Excessive vibration may damage the bearings” переклад має бути маркований як «Увага: Надмірна вібрація може пошкодити підшипники» [52]. Допустити неточність у цих категоріях означає змінити рівень ризику для користувача, що є неприпустимим у технічній документації.</w:t>
      </w:r>
    </w:p>
    <w:p w14:paraId="1F7B26DF"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Інструктивні тексти часто містять короткі, структурно компресовані фрази, які передають ключову інформацію у мінімальному синтаксичному обсязі. Наприклад, формула “Check connections before powering the system” складається лише з двох синтаксичних вузлів — інструкції й обставини часу [52]. У перекладі «Перевірте з’єднання перед увімкненням системи» необхідно зберегти лаконічність, але водночас забезпечити граматично повне висловлювання. Компактність є одним із найважливіших параметрів інструктивних текстів, оскільки вони часто читаються в умовах швидкого прийняття рішень (на виробництві, у лабораторії, на будівельному майданчику). Непотрібні пояснення або громіздкі конструкції можуть сповільнити сприйняття й збільшити ризик помилки.</w:t>
      </w:r>
    </w:p>
    <w:p w14:paraId="528EF45B"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lastRenderedPageBreak/>
        <w:t xml:space="preserve">Характерною особливістю експлуатаційних текстів є значне поширення багатокомпонентних термінологічних груп, що позначають елементи механізмів, технологічні процеси або компоненти системи. У реченні “Align the upper locking mechanism of the safety enclosure” атрибутивний комплекс </w:t>
      </w:r>
      <w:r w:rsidRPr="00D6691F">
        <w:rPr>
          <w:rStyle w:val="a7"/>
          <w:sz w:val="28"/>
          <w:szCs w:val="28"/>
        </w:rPr>
        <w:t>upper locking mechanism</w:t>
      </w:r>
      <w:r w:rsidRPr="00D6691F">
        <w:rPr>
          <w:sz w:val="28"/>
          <w:szCs w:val="28"/>
        </w:rPr>
        <w:t xml:space="preserve"> позначає конкретний механічний вузол [52]. Український варіант «Вирівняйте верхній фіксувальний механізм захисного кожуха» вимагає розгортання препозиційного означення, властивого англійській мові, у більш природний для української мови постпозиційний формат. Висока точність називання компонентів є обов’язковою умовою інструктивного перекладу, оскільки неправильне тлумачення технічного вузла може спричинити некоректне виконання операцій.</w:t>
      </w:r>
    </w:p>
    <w:p w14:paraId="51411B81"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Інструкції також містять велику кількість технічних термінів, які позначають умови експлуатації, наприклад: </w:t>
      </w:r>
      <w:r w:rsidRPr="00D6691F">
        <w:rPr>
          <w:rStyle w:val="a7"/>
          <w:sz w:val="28"/>
          <w:szCs w:val="28"/>
        </w:rPr>
        <w:t>initialization process</w:t>
      </w:r>
      <w:r w:rsidRPr="00D6691F">
        <w:rPr>
          <w:sz w:val="28"/>
          <w:szCs w:val="28"/>
        </w:rPr>
        <w:t xml:space="preserve">, </w:t>
      </w:r>
      <w:r w:rsidRPr="00D6691F">
        <w:rPr>
          <w:rStyle w:val="a7"/>
          <w:sz w:val="28"/>
          <w:szCs w:val="28"/>
        </w:rPr>
        <w:t>operating mode</w:t>
      </w:r>
      <w:r w:rsidRPr="00D6691F">
        <w:rPr>
          <w:sz w:val="28"/>
          <w:szCs w:val="28"/>
        </w:rPr>
        <w:t xml:space="preserve">, </w:t>
      </w:r>
      <w:r w:rsidRPr="00D6691F">
        <w:rPr>
          <w:rStyle w:val="a7"/>
          <w:sz w:val="28"/>
          <w:szCs w:val="28"/>
        </w:rPr>
        <w:t>standby state</w:t>
      </w:r>
      <w:r w:rsidRPr="00D6691F">
        <w:rPr>
          <w:sz w:val="28"/>
          <w:szCs w:val="28"/>
        </w:rPr>
        <w:t xml:space="preserve">, </w:t>
      </w:r>
      <w:r w:rsidRPr="00D6691F">
        <w:rPr>
          <w:rStyle w:val="a7"/>
          <w:sz w:val="28"/>
          <w:szCs w:val="28"/>
        </w:rPr>
        <w:t>emergency shutdown</w:t>
      </w:r>
      <w:r w:rsidRPr="00D6691F">
        <w:rPr>
          <w:sz w:val="28"/>
          <w:szCs w:val="28"/>
        </w:rPr>
        <w:t xml:space="preserve">, </w:t>
      </w:r>
      <w:r w:rsidRPr="00D6691F">
        <w:rPr>
          <w:rStyle w:val="a7"/>
          <w:sz w:val="28"/>
          <w:szCs w:val="28"/>
        </w:rPr>
        <w:t>load capacity</w:t>
      </w:r>
      <w:r w:rsidRPr="00D6691F">
        <w:rPr>
          <w:sz w:val="28"/>
          <w:szCs w:val="28"/>
        </w:rPr>
        <w:t xml:space="preserve">. У реченні “Allow the system to complete the initialization process before proceeding” термін </w:t>
      </w:r>
      <w:r w:rsidRPr="00D6691F">
        <w:rPr>
          <w:rStyle w:val="a7"/>
          <w:sz w:val="28"/>
          <w:szCs w:val="28"/>
        </w:rPr>
        <w:t>initialization process</w:t>
      </w:r>
      <w:r w:rsidRPr="00D6691F">
        <w:rPr>
          <w:sz w:val="28"/>
          <w:szCs w:val="28"/>
        </w:rPr>
        <w:t xml:space="preserve"> повинен передаватися як «процес ініціалізації», оскільки всі інші варіанти («попередній запуск», «процес підготовки») можуть викликати зміщення значення [52]. Оскільки інструкції передбачають повторюваність і циклічність дій, уніфікація термінів є критично важливою: один технічний процес має бути названий однаково в усіх розділах документа, щоб користувач не помилково ототожнив різні етапи роботи системи.</w:t>
      </w:r>
    </w:p>
    <w:p w14:paraId="49C8F28A"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Умовно-наслідкові конструкції також становлять важливий елемент інструктивного тексту. Наприклад, у реченні “If the indicator light flashes, stop the operation immediately” наявність маркера </w:t>
      </w:r>
      <w:r w:rsidRPr="00D6691F">
        <w:rPr>
          <w:rStyle w:val="a7"/>
          <w:sz w:val="28"/>
          <w:szCs w:val="28"/>
        </w:rPr>
        <w:t>immediately</w:t>
      </w:r>
      <w:r w:rsidRPr="00D6691F">
        <w:rPr>
          <w:sz w:val="28"/>
          <w:szCs w:val="28"/>
        </w:rPr>
        <w:t xml:space="preserve"> позначає ступінь терміновості реагування [52]. Переклад «Якщо індикаторний світлодіод починає блимати, негайно зупиніть роботу» повинен зберігати прислівник «негайно», адже його пропуск змінює критичність інструкції. У технічних документах часові та умовні конструкції є одним із найважливіших засобів структурування послідовності дій, тому їхнє точне відтворення визначає правильність усієї експлуатації.</w:t>
      </w:r>
    </w:p>
    <w:p w14:paraId="3D0D6755"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lastRenderedPageBreak/>
        <w:t>Додатковою особливістю перекладу інструкцій є необхідність урахування майбутньої візуальної структури документа. Навіть якщо в науковому дослідженні текст подається у вигляді лінійного викладу, перекладач повинен зберігати короткі синтаксичні одиниці, які в реальному мануалі функціонуватимуть як окремі кроки або марковані пункти. Наприклад, фраза “Secure all screws tightly” має бути перекладена як «Надійно затягніть усі гвинти» [52], щоб у фінальній інструкції вона могла бути використана як самостійний пункт, готовий до сприйняття без додаткового пояснення.</w:t>
      </w:r>
    </w:p>
    <w:p w14:paraId="4642017E" w14:textId="7A9BB37D" w:rsidR="0034108E" w:rsidRDefault="0034108E" w:rsidP="00D6691F">
      <w:pPr>
        <w:pStyle w:val="a3"/>
        <w:spacing w:before="0" w:beforeAutospacing="0" w:after="0" w:afterAutospacing="0" w:line="360" w:lineRule="auto"/>
        <w:ind w:firstLine="709"/>
        <w:jc w:val="both"/>
        <w:rPr>
          <w:sz w:val="28"/>
          <w:szCs w:val="28"/>
        </w:rPr>
      </w:pPr>
      <w:r w:rsidRPr="00D6691F">
        <w:rPr>
          <w:sz w:val="28"/>
          <w:szCs w:val="28"/>
        </w:rPr>
        <w:t>Таким чином, переклад інструктивних та експлуатаційних текстів передбачає роботу з надзвичайно відповідальним типом інформації, де кожна синтаксична, лексична чи модальна трансформація безпосередньо впливає на безпечну та ефективну експлуатацію обладнання. Успішність перекладу визначається точністю передавання імперативів, модальних значень, термінів, попереджувальних конструкцій, алгоритмів дій та структурних схем. Саме завдяки коректному перекладу інструкція зберігає свою нормативність, інформативність і здатність гарантувати безпеку користувача.</w:t>
      </w:r>
    </w:p>
    <w:p w14:paraId="4241A9BD" w14:textId="77777777" w:rsidR="00D6691F" w:rsidRPr="00D6691F" w:rsidRDefault="00D6691F" w:rsidP="00D6691F">
      <w:pPr>
        <w:pStyle w:val="a3"/>
        <w:spacing w:before="0" w:beforeAutospacing="0" w:after="0" w:afterAutospacing="0" w:line="360" w:lineRule="auto"/>
        <w:ind w:firstLine="709"/>
        <w:jc w:val="both"/>
        <w:rPr>
          <w:sz w:val="28"/>
          <w:szCs w:val="28"/>
        </w:rPr>
      </w:pPr>
    </w:p>
    <w:p w14:paraId="32F3CC78" w14:textId="77777777" w:rsidR="0034108E" w:rsidRPr="00D6691F" w:rsidRDefault="0034108E" w:rsidP="00D6691F">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D6691F">
        <w:rPr>
          <w:rStyle w:val="a4"/>
          <w:rFonts w:ascii="Times New Roman" w:hAnsi="Times New Roman" w:cs="Times New Roman"/>
          <w:color w:val="auto"/>
          <w:sz w:val="28"/>
          <w:szCs w:val="28"/>
        </w:rPr>
        <w:t>2.5. Стилістичні трансформації у медико-технічних документах</w:t>
      </w:r>
    </w:p>
    <w:p w14:paraId="4DF7E931"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Медико-технічні документи становлять один із найбільш регламентованих і чутливих різновидів технічного дискурсу, у якому синтаксична та стилістична форма безпосередньо впливає на безпеку, точність і коректність виконання технологічних та клінічних процедур. Для цього типу текстів характерне поєднання двох сфер — технічної та медичної, що зумовлює підвищені вимоги до перекладу, оскільки будь-яка нечіткість або неточність терміна, формулювання чи синтаксичної структури може призвести до помилок у застосуванні обладнання. Англійська мова медико-технічних інструкцій відзначається високим ступенем стандартизованості, номінативності та лаконічності, у той час як українська потребує більшої синтаксичної експлікації, розгортання атрибутивних ланцюгів і гармонізації з </w:t>
      </w:r>
      <w:r w:rsidRPr="00D6691F">
        <w:rPr>
          <w:sz w:val="28"/>
          <w:szCs w:val="28"/>
        </w:rPr>
        <w:lastRenderedPageBreak/>
        <w:t>професійною медичною термінологією. Саме тому під час перекладу виникає потреба у цілеспрямованих стилістичних трансформаціях, які забезпечують зрозумілість і нормативність тексту.</w:t>
      </w:r>
    </w:p>
    <w:p w14:paraId="3AB9CF39"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Однією з найпоширеніших трансформацій є деталізація, що передбачає розгортання надмірно стислих англомовних конструкцій. У реченні “Monitor patient status continuously during infusion” дієслово monitor виконує функцію імперативного позначення дії, але не має прямого однослівного відповідника українською. Тому переклад «Постійно контролюйте стан пацієнта під час інфузії» містить дієслово контролюйте, яке стилістично відповідає українській медичній практиці, тоді як кальковане моніторте не є нормативним [52]. Цей випадок демонструє, що англійська мова тяжіє до використання універсальних технічно забарвлених дієслів, тоді як українська потребує їхнього уточнення відповідно до усталених норм професійної мови.</w:t>
      </w:r>
    </w:p>
    <w:p w14:paraId="054F900F"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У низці випадків постає потреба в стилістичній нейтралізації, коли англійський медико-технічний термін має надмірно вузьку технічну конотацію, яка в українському перекладі порушила б природність викладу. Так, у реченні “The unit triggers an alert when abnormal oscillations are detected” дієслово triggers в медико-технічному контексті означає запуск сигналу тривоги, але має додаткове технічне забарвлення. Український варіант «Прилад подає сигнал тривоги у разі виявлення аномальних коливань» пропонує нейтральну форму подає сигнал, яка відповідає стандартам документів з експлуатації медичних систем [52]. Це приклад трансформації, яка забезпечує відповідність між технічним змістом і стилістичними нормами медичної комунікації.</w:t>
      </w:r>
    </w:p>
    <w:p w14:paraId="58563476"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Пасивні конструкції, які широко використовуються в англомовних медико-технічних текстах, нерідко потребують трансформації в активні або безособові українські форми, оскільки надмірне використання пасиву може знизити чіткість інструкції для медичного персоналу. Наприклад, у вислові “The medication is delivered through a peristaltic pump mechanism” англійський пасив is delivered є типовим для опису процесів у медичному обладнанні. </w:t>
      </w:r>
      <w:r w:rsidRPr="00D6691F">
        <w:rPr>
          <w:sz w:val="28"/>
          <w:szCs w:val="28"/>
        </w:rPr>
        <w:lastRenderedPageBreak/>
        <w:t>Український відповідник «Введення препарату здійснюється через перистальтичний насос» зберігає безособовий характер, але водночас уникає буквального перекладу, який би виглядав неприродно в українському професійному дискурсі [52]. У деяких випадках активна форма («Перистальтичний насос подає препарат») також є можливою, але в інструктивних текстах безособова форма є більш прийнятною.</w:t>
      </w:r>
    </w:p>
    <w:p w14:paraId="7E2788BA"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Стилістична редукція — ще один важливий інструмент перекладача, що використовується для усунення надмірно абстрактних англійських прикметників або розмитих формулювань, які можуть викликати неправильне тлумачення. У фразі “Apply adequate pressure to ensure sensor stability” прикметник adequate є семантично нечітким, тому його буквальний переклад не забезпечує інструктивної точності. Формулювання «Накладіть достатній тиск, щоб забезпечити стабільність датчика» містить конкретизацію, яка відповідає вимогам до клінічних інструкцій, оскільки дає змогу уникнути неоднозначності [52].</w:t>
      </w:r>
    </w:p>
    <w:p w14:paraId="4DB53D0F"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У медико-технічних документах часто трапляються комбіновані терміни, що поєднують технічну та медичну складові, і саме такі конструкції потребують найскладніших стилістичних трансформацій. У вислові “Assess the integrity of the catheter insertion site” англійське integrity у медичному контексті позначає відсутність пошкоджень або ознак інфікування, тоді як його прямий український відповідник цілісність не охоплює всього змісту [52]. Тому переклад «Оцініть стан ділянки введення катетера на предмет цілісності та можливих ушкоджень» пропонує розгорнуту конкретизацію. У цьому випадку трансформація є необхідною умовою для коректного відтворення медико-технічної інформації.</w:t>
      </w:r>
    </w:p>
    <w:p w14:paraId="3CF43B18"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Англійські медико-технічні документи часто містять складні номінативні конструкції, що поєднують кілька рівнів технічних і медичних понять. Наприклад, у вислові “Perform device calibration according to sterile-field protocol” технічне calibration і медичне sterile-field protocol об’єднані в одну синтаксичну структуру. Український переклад «Виконайте калібрування </w:t>
      </w:r>
      <w:r w:rsidRPr="00D6691F">
        <w:rPr>
          <w:sz w:val="28"/>
          <w:szCs w:val="28"/>
        </w:rPr>
        <w:lastRenderedPageBreak/>
        <w:t>приладу згідно з протоколом стерильного поля» потребує стилістичної гармонізації обох частин терміна, оскільки українська мова не допускає калькування англійських багатоярусних конструкцій без адаптації [52]. Цей приклад добре ілюструє взаємопроникнення технічних і медичних компонентів і необхідність чіткої їхньої координації в перекладі.</w:t>
      </w:r>
    </w:p>
    <w:p w14:paraId="008BEEF9"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Попереджувальні конструкції посідають особливо важливе місце в медико-технічних текстах, оскільки визначають рівень ризику для пацієнта. Англомовні маркери Warning, Caution, Attention, Notice мають усталені переклади, однак потребують стилістичної відповідності рівню загрози. У реченні “Warning: Incorrect tubing placement can cause air embolism” термін air embolism перекладається як газова емболія, а маркер Warning зберігається, оскільки позначає найвищий рівень небезпеки [52]. Український варіант «Попередження: Неправильне розміщення трубки може спричинити газову емболію» демонструє точну стилістичну відповідність, яка є принципово важливою для безпеки медичних процедур.</w:t>
      </w:r>
    </w:p>
    <w:p w14:paraId="135B857A"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Модальні конструкції в медико-технічних документах також потребують компенсаційних трансформацій. У реченні “The probe may not function properly if exposed to excessive moisture” словосполучення may not позначає можливість несправності, а не заборону. Переклад «Зонд може працювати некоректно при надмірному зволоженні» відображає саме ймовірність порушення функції, тоді як буквальне «не повинен працювати» спотворило б зміст і створило б помилкове уявлення про експлуатаційні обмеження [52]. У таких випадках компенсація спрямована на перенесення смислового акценту з форми висловлення на фактичну ситуаційну модальність.</w:t>
      </w:r>
    </w:p>
    <w:p w14:paraId="391C4395" w14:textId="6C197DB7" w:rsidR="0034108E"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Загалом стилістичні трансформації у медико-технічних документах охоплюють деталізацію, нейтралізацію, конкретизацію, гармонізацію подвійної термінології, перебудову пасивних конструкцій, компенсацію модальних і семантичних значень, редукцію надлишкової загальності та адаптацію попереджувальних формул. Усі ці трансформації спрямовані на </w:t>
      </w:r>
      <w:r w:rsidRPr="00D6691F">
        <w:rPr>
          <w:sz w:val="28"/>
          <w:szCs w:val="28"/>
        </w:rPr>
        <w:lastRenderedPageBreak/>
        <w:t>збереження максимальної точності, однозначності й відповідності українським нормативним вимогам. Саме вони забезпечують те, що перекладений документ залишається не просто лінгвістично правильним, а й придатним для практичного використання в умовах високої відповідальності медичних і технічних процесів.</w:t>
      </w:r>
    </w:p>
    <w:p w14:paraId="28F8CF51" w14:textId="77777777" w:rsidR="00D6691F" w:rsidRPr="00D6691F" w:rsidRDefault="00D6691F" w:rsidP="00D6691F">
      <w:pPr>
        <w:pStyle w:val="a3"/>
        <w:spacing w:before="0" w:beforeAutospacing="0" w:after="0" w:afterAutospacing="0" w:line="360" w:lineRule="auto"/>
        <w:ind w:firstLine="709"/>
        <w:jc w:val="both"/>
        <w:rPr>
          <w:sz w:val="28"/>
          <w:szCs w:val="28"/>
        </w:rPr>
      </w:pPr>
    </w:p>
    <w:p w14:paraId="70B5789F" w14:textId="77777777" w:rsidR="0034108E" w:rsidRPr="00D6691F" w:rsidRDefault="0034108E" w:rsidP="00D6691F">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D6691F">
        <w:rPr>
          <w:rStyle w:val="a4"/>
          <w:rFonts w:ascii="Times New Roman" w:hAnsi="Times New Roman" w:cs="Times New Roman"/>
          <w:color w:val="auto"/>
          <w:sz w:val="28"/>
          <w:szCs w:val="28"/>
        </w:rPr>
        <w:t>2.6. Відповідність перекладу нормативним вимогам українського науково-технічного дискурсу</w:t>
      </w:r>
    </w:p>
    <w:p w14:paraId="7CE15C13"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Проблема відповідності перекладу нормативним вимогам українського науково-технічного дискурсу є центральною в процесі трансляції англомовної технічної, інженерної та медико-технічної документації. Українська технічна мова функціонує в межах чітко встановлених стандартів, що визначають структуру документа, термінологічне оформлення, типові мовні формули, рівень формальності та синтаксичну організацію інструкцій, технічних описів і експлуатаційних мануалів. На відміну від англійської, де значна частина технічних текстів створюється на засадах корпоративних керівництв та внутрішніх стандартів виробників, український технічний дискурс значно більш формалізований та прив’язаний до державних стандартів, технічних регламентів, галузевих протоколів та вимог до маркування. Тому переклад має не лише відтворювати зміст, а й відповідати тим структурним, стилістичним та термінологічним нормам, які регулюють українську інженерну та медико-технічну практику.</w:t>
      </w:r>
    </w:p>
    <w:p w14:paraId="6C964FE4"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Однією з ключових вимог є термінологічна уніфікація. У перекладі технічних документів терміни повинні відповідати чинним державним стандартам (ДСТУ), а також нормативам професійної галузі. Наприклад, англійський термін pressure gauge у реальному фрагменті “The operator must check the pressure gauge before each cycle” не може бути перекладений варіантами «датчик тиску» або «манометричний сенсор», оскільки в українській технічній мові усталеним відповідником є манометр. Тому переклад «Оператор повинен перевіряти манометр перед кожним циклом» </w:t>
      </w:r>
      <w:r w:rsidRPr="00D6691F">
        <w:rPr>
          <w:sz w:val="28"/>
          <w:szCs w:val="28"/>
        </w:rPr>
        <w:lastRenderedPageBreak/>
        <w:t>відтворює саме нормативний термін, а не довільну інтерпретацію [52]. Будь-яке відхилення від уніфікованої термінології призводить до семантичної розмитості та порушення вимог технічної документації, що може вплинути на безпеку експлуатації.</w:t>
      </w:r>
    </w:p>
    <w:p w14:paraId="5D83DBEE"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Важливою складовою є відповідність перекладу нормативному стилю українського технічного письма, що передбачає уникнення зайвих емоційних, публіцистичних або розмовних елементів. Англомовні інструкції часто містять лаконічні, інколи навіть розмовні формули, наприклад “Make sure the cable fits tightly into the connector”. Український переклад повинен відповідати більш формальному стандарту: «Переконайтеся, що кабель щільно входить у роз’єм» [52]. Подібні трансформації не є стилістичним рішенням перекладача, а продиктовані вимогами до української технічної мови, у якій наказові формули повинні бути нейтральними, точними та безпосередньо спрямованими на дію.</w:t>
      </w:r>
    </w:p>
    <w:p w14:paraId="26992E47"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Нормативи українського технічного дискурсу також визначають вимоги до передачі попереджувальної інформації. Англомовні сигнальні слова Warning, Caution, Notice мають усталені українські відповідники, але структура речення часто потребує адаптації. Наприклад, у вислові “Warning: Do not open the housing while the device is in operation” маркер Warning зберігається, але переклад має дотримуватися формату офіційних інструкцій: «Попередження: Не відкривайте корпус під час роботи приладу» [52]. Нормативи забороняють використання форм на кшталт «Не відкривати корпус…», оскільки форма інфінітива не відповідає стандарту інструктивних текстів. Таким чином, переклад має враховувати не лише зміст, а й типові формули попереджень у технічній документації.</w:t>
      </w:r>
    </w:p>
    <w:p w14:paraId="5D911416"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Одним із важливих аспектів нормативності є дотримання логіко-синтаксичної послідовності. Англійські документи часто використовують надзвичайно компактні структури з еліпсисом, наприклад “Check battery level before operation” або “Replace filter as needed”. Українська мова технічних стандартів потребує повних синтаксичних конструкцій, тому переклад мусить </w:t>
      </w:r>
      <w:r w:rsidRPr="00D6691F">
        <w:rPr>
          <w:sz w:val="28"/>
          <w:szCs w:val="28"/>
        </w:rPr>
        <w:lastRenderedPageBreak/>
        <w:t>розгортати еліпсис до нормативної форми: «Перед початком роботи перевірте рівень заряду батареї»; «За потреби замініть фільтр» [52]. Таке розгортання є не стилістичним, а нормативним обов’язком перекладача.</w:t>
      </w:r>
    </w:p>
    <w:p w14:paraId="21BC75F9"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Додаткової уваги потребує відповідність перекладу вимогам щодо точності опису алгоритмів дій. Англомовні тексти допускають надзвичайно лаконічні інструкції, зокрема: “Secure all screws tightly”. Українські нормативи вимагають повної граматичної формули з чітким виділенням об’єкта та дії: «Надійно затягніть усі гвинти» [52]. У цьому випадку переклад не просто відтворює зміст, а й формально відповідає нормам побудови інструктивних текстів, де початок дії має виражатися наказовою формою дієслова.</w:t>
      </w:r>
    </w:p>
    <w:p w14:paraId="56068D19"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Окремий пласт нормативних вимог стосується відповідності тексту галузевим стандартам щодо технічних одиниць виміру, параметрів та фізичних характеристик. Наприклад, англійський термін flow rate у фразі “Check the flow rate during infusion” не може бути перекладений як швидкість протікання або об’ємна швидкість, хоча такі варіанти є семантично можливими. Український нормативний термін — швидкість потоку, що забезпечує однозначність і відповідає медичним протоколам. Тому переклад «Під час інфузії перевіряйте швидкість потоку» передає саме нормативний зміст [52].</w:t>
      </w:r>
    </w:p>
    <w:p w14:paraId="545FE866"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Одним із найважливіших нормативних аспектів є забезпечення однозначності інструкцій. Англійська мова дозволяє використовувати багатозначні модальні дієслова, наприклад may, які можуть виражати дозвіл, можливість або ймовірність. У реченні “The probe may not function properly if exposed to excessive moisture” модальність позначає потенційну ймовірність, тому переклад «Зонд може працювати некоректно при надмірному зволоженні» відповідає українським нормативам, які вимагають уникати двозначних конструкцій і точно відтворювати контекстуальну модальність [52]. Переклад «не повинен працювати» був би нормативно хибним, оскільки містив би імперативну заборону, якої в оригіналі немає.</w:t>
      </w:r>
    </w:p>
    <w:p w14:paraId="7E63759B"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lastRenderedPageBreak/>
        <w:t>Відповідність перекладу нормативним вимогам також передбачає гармонізацію технічної та медичної термінології. Наприклад, у вислові “Assess the integrity of the catheter insertion site” англійське integrity охоплює медичне значення «відсутність пошкоджень або ознак інфекції», у той час як прямий відповідник цілісність є недостатнім для нормативного медичного документа. Тому переклад «Оцініть стан ділянки введення катетера на предмет цілісності та можливих ушкоджень» забезпечує нормативну чіткість і відповідає українським стандартам клінічної документації [52]. Нормативність у цьому випадку полягає у повнішому розгортанні значення, що унеможливлює хибне тлумачення медичного стану.</w:t>
      </w:r>
    </w:p>
    <w:p w14:paraId="48A3B25F"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Таким чином, відповідність перекладу нормативним вимогам українського науково-технічного дискурсу охоплює термінологічну уніфікацію, стилістичну формалізацію, точне відтворення попереджувальних маркерів, розгортання еліптичних конструкцій, адаптацію логіко-синтаксичної послідовності, гармонізацію технічної й медичної термінології та забезпечення однозначності модальних і інструктивних формул. Усі ці аспекти є не додатковими перекладацькими стратегіями, а необхідними умовами для створення коректного, нормативно придатного, безпечного для користувача перекладу технічної та медико-технічної документації.</w:t>
      </w:r>
    </w:p>
    <w:p w14:paraId="3FCE193E" w14:textId="77777777" w:rsidR="0034108E" w:rsidRPr="00D6691F" w:rsidRDefault="0034108E" w:rsidP="00D6691F">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D6691F">
        <w:rPr>
          <w:rStyle w:val="a4"/>
          <w:rFonts w:ascii="Times New Roman" w:hAnsi="Times New Roman" w:cs="Times New Roman"/>
          <w:color w:val="auto"/>
          <w:sz w:val="28"/>
          <w:szCs w:val="28"/>
        </w:rPr>
        <w:t>Висновки до розділу 2</w:t>
      </w:r>
    </w:p>
    <w:p w14:paraId="60AB4161" w14:textId="77777777" w:rsidR="0034108E" w:rsidRPr="00D6691F" w:rsidRDefault="0034108E" w:rsidP="00D6691F">
      <w:pPr>
        <w:pStyle w:val="a3"/>
        <w:spacing w:before="0" w:beforeAutospacing="0" w:after="0" w:afterAutospacing="0" w:line="360" w:lineRule="auto"/>
        <w:ind w:firstLine="709"/>
        <w:jc w:val="both"/>
        <w:rPr>
          <w:sz w:val="28"/>
          <w:szCs w:val="28"/>
        </w:rPr>
      </w:pPr>
      <w:r w:rsidRPr="00D6691F">
        <w:rPr>
          <w:sz w:val="28"/>
          <w:szCs w:val="28"/>
        </w:rPr>
        <w:t xml:space="preserve">У другому розділі дослідження було здійснено комплексний стилістичний, термінологічний і синтаксичний аналіз перекладів англомовних науково-технічних, інструктивних та медико-технічних текстів, що дозволило встановити закономірності відтворення спеціалізованої інформації українською мовою та визначити ключові чинники, які впливають на якість технічного перекладу. Здійснений аналіз показав, що англомовний науково-технічний дискурс характеризується високим ступенем стандартизації, точністю лексики, лаконічністю синтаксису, а також широким використанням структурних моделей, не завжди характерних для української мови. У зв’язку з цим перекладацький процес передбачає застосування низки стилістичних </w:t>
      </w:r>
      <w:r w:rsidRPr="00D6691F">
        <w:rPr>
          <w:sz w:val="28"/>
          <w:szCs w:val="28"/>
        </w:rPr>
        <w:lastRenderedPageBreak/>
        <w:t>трансформацій, спрямованих на усунення потенційної двозначності, адаптацію конструкцій до норм українського технічного дискурсу, забезпечення термінологічної однозначності та відповідність фаховим стандартам.</w:t>
      </w:r>
    </w:p>
    <w:p w14:paraId="24F8089F" w14:textId="77777777" w:rsidR="0034108E" w:rsidRPr="00875ADD" w:rsidRDefault="0034108E" w:rsidP="00875ADD">
      <w:pPr>
        <w:pStyle w:val="a3"/>
        <w:spacing w:before="0" w:beforeAutospacing="0" w:after="0" w:afterAutospacing="0" w:line="360" w:lineRule="auto"/>
        <w:ind w:firstLine="709"/>
        <w:jc w:val="both"/>
        <w:rPr>
          <w:sz w:val="28"/>
          <w:szCs w:val="28"/>
        </w:rPr>
      </w:pPr>
      <w:r w:rsidRPr="00D6691F">
        <w:rPr>
          <w:sz w:val="28"/>
          <w:szCs w:val="28"/>
        </w:rPr>
        <w:t xml:space="preserve">У ході аналізу термінологічних особливостей встановлено, що ключовою умовою точності перекладу є уніфікація відповідників та застосування стратегії, найбільш придатної для конкретного типу терміна: прямої відповідності, калькування, описового перекладу або транслітерації. Важливою характеристикою англомовної технічної термінології є її системність і семантична прозорість, однак у багатьох випадках англійські терміни потребують контекстуального уточнення або стилістичного пом’якшення в перекладі. Було встановлено, що неправильний вибір термінологічного відповідника може призвести до порушення логіки технічної </w:t>
      </w:r>
      <w:r w:rsidRPr="00875ADD">
        <w:rPr>
          <w:sz w:val="28"/>
          <w:szCs w:val="28"/>
        </w:rPr>
        <w:t>документації, зміщення функціонального значення або помилок під час експлуатації обладнання.</w:t>
      </w:r>
    </w:p>
    <w:p w14:paraId="5E53D2A8"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 xml:space="preserve">Синтаксичний аналіз показав, що англомовні науково-технічні тексти тяжіють до використання множинних препозиційних атрибутів, пасивних конструкцій, номіналізації та інфінітивних або герундіальних комплексів, які забезпечують високу компактність і структурну економію викладу. Такі моделі дозволяють англійській мові передавати значний обсяг інформації в межах мінімальної синтаксичної форми, що відповідає її аналітичній природі. Разом із тим вони створюють суттєві труднощі для перекладу українською мовою, де надмірне скупчення препозиційних означень призводить до порушення милозвучності, логічної прозорості та природності сприйняття. Українська мова як синтетична система тяжіє до постпозиційних структур, потребує розгортання атрибутивних груп у вигляді окремих словосполучень або підрядних речень, а також часто замінює англомовний пасив безособовими формами, що більш органічно відповідають українській нормі. Трансформація англомовних синтаксичних моделей у перекладі є не винятком, а обов’язковою умовою забезпечення автентичності українського </w:t>
      </w:r>
      <w:r w:rsidRPr="00875ADD">
        <w:rPr>
          <w:rFonts w:ascii="Times New Roman" w:eastAsia="Times New Roman" w:hAnsi="Times New Roman" w:cs="Times New Roman"/>
          <w:kern w:val="0"/>
          <w:sz w:val="28"/>
          <w:szCs w:val="28"/>
          <w:lang w:val="uk-UA" w:eastAsia="uk-UA"/>
          <w14:ligatures w14:val="none"/>
        </w:rPr>
        <w:lastRenderedPageBreak/>
        <w:t>професійного тексту, збереження логічності викладу, чіткості інформаційних зв’язків і відповідності нормам українського науково-технічного стилю.</w:t>
      </w:r>
    </w:p>
    <w:p w14:paraId="50C570CA"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Особливу групу становлять інструктивні та експлуатаційні тексти, у яких точність, однозначність і імперативність висловлювання мають визначальне значення, оскільки вони виконують не описову, а регулятивну та операційну функцію. У таких текстах домінують наказові конструкції, чіткий розподіл модальних значень (обов’язковість, рекомендаційність, допустимість), структурна компресія, традиційні кліше технічного стилю та широке використання попереджувальної лексики, що сигналізує про рівень небезпеки. Переклад цих документів повинен не лише зберігати буквальний зміст, а й забезпечувати комунікативну силу англомовних інструкцій, передаючи ступінь категоричності або дозволу відповідно до норм українського технічного дискурсу. Надзвичайно важливо відтворити ієрархію попереджувальних сигналів, послідовність операцій та чітке структурування дій, оскільки будь-яка синтаксична або семантична неточність створює ризик неправильного виконання операцій і може безпосередньо вплинути на безпеку користувачів, ефективність експлуатації обладнання та відповідність нормативним вимогам.</w:t>
      </w:r>
    </w:p>
    <w:p w14:paraId="4184D597"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 xml:space="preserve">Особливої уваги потребують медико-технічні тексти, у яких поєднуються технічна та клінічна термінологія, а сама інформація має критично важливий характер, оскільки впливає на проведення медичних процедур, діагностику, експлуатацію обладнання або лікування пацієнтів. На відміну від загальнотехнічних інструкцій, медико-технічні документи характеризуються подвійною нормативністю: вони повинні одночасно відповідати технічним стандартам і медичним протоколам. Тому переклад таких текстів потребує адаптації термінів подвійної природи, розгортання семантично складних або потенційно багатозначних одиниць, усунення термінологічної омонімії та гармонізації технічних і медичних формулювань відповідно до української термінологічної системи. Крім того, особливо важливим є точне відтворення попереджувальних маркерів, які визначають </w:t>
      </w:r>
      <w:r w:rsidRPr="00875ADD">
        <w:rPr>
          <w:rFonts w:ascii="Times New Roman" w:eastAsia="Times New Roman" w:hAnsi="Times New Roman" w:cs="Times New Roman"/>
          <w:kern w:val="0"/>
          <w:sz w:val="28"/>
          <w:szCs w:val="28"/>
          <w:lang w:val="uk-UA" w:eastAsia="uk-UA"/>
          <w14:ligatures w14:val="none"/>
        </w:rPr>
        <w:lastRenderedPageBreak/>
        <w:t>ступінь ризику для здоров’я пацієнта або оператора обладнання. Доведено, що стилістичні трансформації — деталізація, конкретизація, редукція, нейтралізація та компенсація — відіграють ключову роль у забезпеченні повної відповідності перекладу українським нормативам і високим вимогам медичної галузі.</w:t>
      </w:r>
    </w:p>
    <w:p w14:paraId="2002E463"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Узагальнення аналізу показало, що переклад технічних і медико-технічних текстів повинен відповідати чинним українським нормативним документам, включаючи ДСТУ, технічні регламенти, стандарти безпеки, протоколи експлуатації обладнання, галузеві вимоги та міжнародні стандарти, адаптовані до українських умов. Нормативність охоплює не лише термінологічну складову, але й синтаксичні моделі, логіку структурного членування тексту, порядок викладу інструкцій, правила формулювання попереджувальних елементів і ступінь стандартизованості мовних формул. Відповідність перекладу нормативним вимогам забезпечує не лише лінгвістичну коректність, але й юридичну повноцінність документа, його придатність до практичного використання, ефективну комунікацію між фахівцями та безпечність експлуатації технічних або медичних систем. Порушення нормативності у перекладі часто призводить до помилок у роботі обладнання, неправильної інтерпретації інструкцій або небезпечних ситуацій, що особливо критично у медичних контекстах.</w:t>
      </w:r>
    </w:p>
    <w:p w14:paraId="2FC5C351" w14:textId="07D386C4" w:rsidR="006958DC" w:rsidRPr="00D6691F" w:rsidRDefault="00875ADD" w:rsidP="00875ADD">
      <w:pPr>
        <w:spacing w:after="0" w:line="360" w:lineRule="auto"/>
        <w:ind w:firstLine="709"/>
        <w:jc w:val="both"/>
        <w:rPr>
          <w:rFonts w:ascii="Times New Roman" w:hAnsi="Times New Roman" w:cs="Times New Roman"/>
          <w:b/>
          <w:bCs/>
          <w:caps/>
          <w:sz w:val="28"/>
          <w:szCs w:val="28"/>
          <w:lang w:val="uk-UA"/>
        </w:rPr>
      </w:pPr>
      <w:r w:rsidRPr="00875ADD">
        <w:rPr>
          <w:rFonts w:ascii="Times New Roman" w:eastAsia="Times New Roman" w:hAnsi="Times New Roman" w:cs="Times New Roman"/>
          <w:kern w:val="0"/>
          <w:sz w:val="28"/>
          <w:szCs w:val="28"/>
          <w:lang w:val="uk-UA" w:eastAsia="uk-UA"/>
          <w14:ligatures w14:val="none"/>
        </w:rPr>
        <w:t xml:space="preserve">Таким чином, доведено, що стилістичний аналіз перекладу науково-технічної та медико-технічної літератури є необхідним інструментом для визначення перекладознавчих стратегій і вироблення алгоритмів якісного перекладу, які враховують специфіку англомовної структури тексту, вимоги українського професійного дискурсу та нормативність документів різних типів. Основні завдання перекладача полягають у забезпеченні термінологічної точності, синтаксичної природності, комунікативної чіткості, структурної логічності, уніфікації термінів і конструкцій та повній відповідності перекладу чинним стандартам і вимогам галузі. </w:t>
      </w:r>
    </w:p>
    <w:p w14:paraId="29C4FD11" w14:textId="77777777" w:rsidR="006958DC" w:rsidRPr="00D6691F" w:rsidRDefault="006958DC" w:rsidP="00363246">
      <w:pPr>
        <w:spacing w:after="0" w:line="360" w:lineRule="auto"/>
        <w:ind w:firstLine="709"/>
        <w:jc w:val="center"/>
        <w:rPr>
          <w:rFonts w:ascii="Times New Roman" w:hAnsi="Times New Roman" w:cs="Times New Roman"/>
          <w:b/>
          <w:bCs/>
          <w:caps/>
          <w:sz w:val="28"/>
          <w:szCs w:val="28"/>
          <w:lang w:val="uk-UA"/>
        </w:rPr>
      </w:pPr>
    </w:p>
    <w:p w14:paraId="194ED215" w14:textId="50E2D9A9" w:rsidR="009E685D" w:rsidRPr="00D6691F" w:rsidRDefault="009E685D" w:rsidP="00363246">
      <w:pPr>
        <w:spacing w:after="0" w:line="360" w:lineRule="auto"/>
        <w:ind w:firstLine="709"/>
        <w:jc w:val="center"/>
        <w:rPr>
          <w:rFonts w:ascii="Times New Roman" w:hAnsi="Times New Roman" w:cs="Times New Roman"/>
          <w:b/>
          <w:bCs/>
          <w:caps/>
          <w:sz w:val="28"/>
          <w:szCs w:val="28"/>
          <w:lang w:val="uk-UA"/>
        </w:rPr>
      </w:pPr>
      <w:r w:rsidRPr="00D6691F">
        <w:rPr>
          <w:rFonts w:ascii="Times New Roman" w:hAnsi="Times New Roman" w:cs="Times New Roman"/>
          <w:b/>
          <w:bCs/>
          <w:caps/>
          <w:sz w:val="28"/>
          <w:szCs w:val="28"/>
          <w:lang w:val="uk-UA"/>
        </w:rPr>
        <w:lastRenderedPageBreak/>
        <w:t>ВИСНОВКИ</w:t>
      </w:r>
    </w:p>
    <w:p w14:paraId="67FD58AE" w14:textId="7D400AE3" w:rsidR="009C3796" w:rsidRPr="00875ADD" w:rsidRDefault="009C3796" w:rsidP="00875ADD">
      <w:pPr>
        <w:spacing w:after="0" w:line="360" w:lineRule="auto"/>
        <w:ind w:firstLine="709"/>
        <w:jc w:val="both"/>
        <w:rPr>
          <w:rFonts w:ascii="Times New Roman" w:hAnsi="Times New Roman" w:cs="Times New Roman"/>
          <w:caps/>
          <w:sz w:val="28"/>
          <w:szCs w:val="28"/>
          <w:lang w:val="uk-UA"/>
        </w:rPr>
      </w:pPr>
    </w:p>
    <w:p w14:paraId="3B17569B"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У кваліфікаційній роботі було здійснено комплексне, багатоаспектне дослідження закономірностей перекладу англомовної науково-технічної та медико-технічної літератури, що дало змогу виявити структурні, семантичні, прагматичні та нормативні особливості цього різновиду професійного дискурсу. Розгляд перекладу не лише як мовного, а й як когнітивно-прагматичного та регулятивного процесу дозволив встановити специфічні моделі текстотворення, визначити ключові труднощі перекладацької діяльності на рівні терміносистеми, синтаксису та функціональної організації тексту, а також окреслити найбільш ефективні стратегії їх подолання. У результаті узагальнення теоретичних положень і практичних спостережень було сформовано цілісне бачення специфіки технічного перекладу у сучасних умовах стрімкого розвитку технологій, стандартизації галузевих комунікативних практик і підвищення вимог до точності та безпеки технічної інформації. Розроблені у роботі підходи дають можливість оптимізувати процес перекладу та забезпечити високу нормативність і функціональну придатність перекладених текстів.</w:t>
      </w:r>
    </w:p>
    <w:p w14:paraId="0962408B"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 xml:space="preserve">На теоретичному рівні було встановлено, що науково-технічний дискурс становить високоформалізовану систему професійної комунікації, у якій домінують логічність, послідовність викладу, стандартизованість термінології та інформаційна щільність. Опис англомовного технічного стилю показав його природну орієнтацію на компактність і структурну економію, що проявляється у широкому використанні багатокомпонентних атрибутивних ланцюгів, пасивних конструкцій, номіналізацій, інфінітивних і герундіальних структур. Ці особливості, що є органічними для англійської мови, створюють численні труднощі для перекладу українською, адже українська технічна мова характеризується іншими механізмами синтаксичної організації: неприпустимістю накопичення препозитивних означень, потребою у синтаксичному розгортанні стислих структур, більшою експліцитністю </w:t>
      </w:r>
      <w:r w:rsidRPr="00875ADD">
        <w:rPr>
          <w:rFonts w:ascii="Times New Roman" w:eastAsia="Times New Roman" w:hAnsi="Times New Roman" w:cs="Times New Roman"/>
          <w:kern w:val="0"/>
          <w:sz w:val="28"/>
          <w:szCs w:val="28"/>
          <w:lang w:val="uk-UA" w:eastAsia="uk-UA"/>
          <w14:ligatures w14:val="none"/>
        </w:rPr>
        <w:lastRenderedPageBreak/>
        <w:t>логічних зв’язків і активним використанням безособових форм. Теоретичне опрацювання цих розбіжностей дозволило визначити базові закономірності трансформацій, які є необхідними для адекватного відтворення англомовних технічних текстів українською.</w:t>
      </w:r>
    </w:p>
    <w:p w14:paraId="1952CBDF"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Здійснений аналіз термінологічних особливостей англомовних технічних текстів засвідчив, що термінологія виконує не лише номінативну, а й когнітивну й інтегративну функції, будучи центральним механізмом організації науково-технічної інформації. У процесі дослідження було встановлено, що точність, уніфікованість і системність термінології є критичними параметрами, оскільки від них залежить коректність інструкцій, технічних алгоритмів і попереджувальних повідомлень. Було доведено, що переклад технічних термінів неможливий без дотримання галузевих стандартів, відповідності ДСТУ, аналізу контекстної функції терміна й урахування семантичної прозорості структури. Дослідження підкреслило, що перекладач має володіти здатністю перемикатися між кількома стратегіями передачі термінології — від калькування та використання усталених відповідників до описового перекладу та цілеспрямованої адаптації, — залежно від структурної складності, когнітивного статусу та прагматичної функції терміна. Неточність навіть однієї термінологічної одиниці потенційно здатна призвести до порушення технологічного алгоритму чи неправильної інтерпретації технічної ситуації.</w:t>
      </w:r>
    </w:p>
    <w:p w14:paraId="1863E668"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 xml:space="preserve">Синтаксичний аналіз виявив істотні розбіжності між англійською та українською моделями організації технічного висловлювання. Англійська технічна мова активно використовує компактні синтаксичні форми, що згортають інформацію, тоді як українська потребує структурного розгортання й деталізації. Було встановлено, що переклад потребує регулярного застосування трансформацій: розгортання складних атрибутивних структур, зміни порядку членів речення, перебудови пасивних форм на безособові або активні моделі, експлікації імпліцитних зв’язків, введення додаткових логічних компонентів, що забезпечують читабельність і нормативність </w:t>
      </w:r>
      <w:r w:rsidRPr="00875ADD">
        <w:rPr>
          <w:rFonts w:ascii="Times New Roman" w:eastAsia="Times New Roman" w:hAnsi="Times New Roman" w:cs="Times New Roman"/>
          <w:kern w:val="0"/>
          <w:sz w:val="28"/>
          <w:szCs w:val="28"/>
          <w:lang w:val="uk-UA" w:eastAsia="uk-UA"/>
          <w14:ligatures w14:val="none"/>
        </w:rPr>
        <w:lastRenderedPageBreak/>
        <w:t>українського тексту. Ці висновки стали підґрунтям для формування загальної моделі синтаксичної адаптації науково-технічних текстів.</w:t>
      </w:r>
    </w:p>
    <w:p w14:paraId="4B8AE6B1"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Значущим результатом дослідження став поглиблений аналіз перекладу інструктивних і експлуатаційних текстів, які являють собою найвищий рівень прагматичного навантаження в технічному дискурсі. Установлено, що ці тексти не лише містять технологічні алгоритми, але й несуть безпосередню відповідальність за безпеку користувачів та коректність експлуатації обладнання. Дослідження засвідчило, що українська інструктивна традиція передбачає вищий рівень формальності та стандартизованості, ніж англомовна, а тому перекладач повинен забезпечити чіткість імперативних форм, точність модальності, логічну послідовність етапів, коректне розміщення попереджувальних маркерів і відповідність комунікативному призначенню кожного інструктивного елемента. З’ясовано, що будь-які відхилення у формулюванні можуть спричинити неправильне виконання дій і створити загрозу для користувача.</w:t>
      </w:r>
    </w:p>
    <w:p w14:paraId="2AC0F602"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Особливої уваги у роботі надано перекладу медико-технічних текстів, у яких поєднуються інженерні, технічні та клінічні елементи. Було встановлено, що подвійна природа таких текстів вимагає не лише високої термінологічної компетентності, але й глибокого розуміння медичних протоколів, клінічної логіки та специфіки оформлення медичної документації. Доведено, що перекладач повинен забезпечувати максимальну семантичну однозначність, уникаючи багатозначних або нечітких формулювань, розгортати складні терміни, гармонізувати технічні та медичні компоненти висловлювання, а також відтворювати попереджувальну інформацію відповідно до нормативних вимог. У рамках дослідження було підтверджено, що помилка в медико-технічному перекладі може мати критичні наслідки, тому переклад цієї категорії текстів має здійснюватися з максимальною точністю та застосуванням стилістичних трансформацій найвищого рівня.</w:t>
      </w:r>
    </w:p>
    <w:p w14:paraId="47AA7F2C"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 xml:space="preserve">Узагальнення результатів теоретичної та практичної частин дало можливість сформулювати висновок про те, що ключовою умовою якісного </w:t>
      </w:r>
      <w:r w:rsidRPr="00875ADD">
        <w:rPr>
          <w:rFonts w:ascii="Times New Roman" w:eastAsia="Times New Roman" w:hAnsi="Times New Roman" w:cs="Times New Roman"/>
          <w:kern w:val="0"/>
          <w:sz w:val="28"/>
          <w:szCs w:val="28"/>
          <w:lang w:val="uk-UA" w:eastAsia="uk-UA"/>
          <w14:ligatures w14:val="none"/>
        </w:rPr>
        <w:lastRenderedPageBreak/>
        <w:t>перекладу є відповідність нормативним вимогам українського науково-технічного й медико-технічного дискурсу. Дотримання національних стандартів, технічних регламентів, галузевих протоколів і вимог ДСТУ забезпечує юридичну коректність документації, її професійну прийнятність та практичну придатність. Переклад у цій сфері не може бути буквальним: він повинен інтегруватись у систему української технічної комунікації, а отже — відповідати усталеним структурним та лексико-семантичним нормам.</w:t>
      </w:r>
    </w:p>
    <w:p w14:paraId="72DD89A8" w14:textId="77777777" w:rsidR="00875ADD" w:rsidRPr="00875ADD" w:rsidRDefault="00875ADD" w:rsidP="00875AD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75ADD">
        <w:rPr>
          <w:rFonts w:ascii="Times New Roman" w:eastAsia="Times New Roman" w:hAnsi="Times New Roman" w:cs="Times New Roman"/>
          <w:kern w:val="0"/>
          <w:sz w:val="28"/>
          <w:szCs w:val="28"/>
          <w:lang w:val="uk-UA" w:eastAsia="uk-UA"/>
          <w14:ligatures w14:val="none"/>
        </w:rPr>
        <w:t>Узагальнюючи всі отримані результати, можна стверджувати, що переклад англомовної науково-технічної та медико-технічної літератури є складним і багаторівневим процесом, який вимагає поєднання лінгвістичної, термінологічної, синтаксичної, галузевої, когнітивної та нормативної компетентності. Застосування стилістичних трансформацій, системний аналіз термінів, адаптація синтаксису та розуміння нормативних вимог є необхідними умовами успішного перекладу.</w:t>
      </w:r>
    </w:p>
    <w:p w14:paraId="1AA2F320" w14:textId="5AA705E0" w:rsidR="009C3796" w:rsidRDefault="009C3796" w:rsidP="009E685D">
      <w:pPr>
        <w:spacing w:after="0" w:line="360" w:lineRule="auto"/>
        <w:ind w:firstLine="709"/>
        <w:jc w:val="both"/>
        <w:rPr>
          <w:rFonts w:ascii="Times New Roman" w:hAnsi="Times New Roman" w:cs="Times New Roman"/>
          <w:caps/>
          <w:sz w:val="28"/>
          <w:szCs w:val="28"/>
          <w:lang w:val="uk-UA"/>
        </w:rPr>
      </w:pPr>
    </w:p>
    <w:p w14:paraId="54994F65" w14:textId="1887BA8C" w:rsidR="00875ADD" w:rsidRDefault="00875ADD" w:rsidP="009E685D">
      <w:pPr>
        <w:spacing w:after="0" w:line="360" w:lineRule="auto"/>
        <w:ind w:firstLine="709"/>
        <w:jc w:val="both"/>
        <w:rPr>
          <w:rFonts w:ascii="Times New Roman" w:hAnsi="Times New Roman" w:cs="Times New Roman"/>
          <w:caps/>
          <w:sz w:val="28"/>
          <w:szCs w:val="28"/>
          <w:lang w:val="uk-UA"/>
        </w:rPr>
      </w:pPr>
    </w:p>
    <w:p w14:paraId="2A0C5312" w14:textId="35DB9495" w:rsidR="00875ADD" w:rsidRDefault="00875ADD" w:rsidP="009E685D">
      <w:pPr>
        <w:spacing w:after="0" w:line="360" w:lineRule="auto"/>
        <w:ind w:firstLine="709"/>
        <w:jc w:val="both"/>
        <w:rPr>
          <w:rFonts w:ascii="Times New Roman" w:hAnsi="Times New Roman" w:cs="Times New Roman"/>
          <w:caps/>
          <w:sz w:val="28"/>
          <w:szCs w:val="28"/>
          <w:lang w:val="uk-UA"/>
        </w:rPr>
      </w:pPr>
    </w:p>
    <w:p w14:paraId="43DFF710" w14:textId="0215FFFA" w:rsidR="00875ADD" w:rsidRDefault="00875ADD" w:rsidP="009E685D">
      <w:pPr>
        <w:spacing w:after="0" w:line="360" w:lineRule="auto"/>
        <w:ind w:firstLine="709"/>
        <w:jc w:val="both"/>
        <w:rPr>
          <w:rFonts w:ascii="Times New Roman" w:hAnsi="Times New Roman" w:cs="Times New Roman"/>
          <w:caps/>
          <w:sz w:val="28"/>
          <w:szCs w:val="28"/>
          <w:lang w:val="uk-UA"/>
        </w:rPr>
      </w:pPr>
    </w:p>
    <w:p w14:paraId="2109C129" w14:textId="0E44033D" w:rsidR="00875ADD" w:rsidRDefault="00875ADD" w:rsidP="009E685D">
      <w:pPr>
        <w:spacing w:after="0" w:line="360" w:lineRule="auto"/>
        <w:ind w:firstLine="709"/>
        <w:jc w:val="both"/>
        <w:rPr>
          <w:rFonts w:ascii="Times New Roman" w:hAnsi="Times New Roman" w:cs="Times New Roman"/>
          <w:caps/>
          <w:sz w:val="28"/>
          <w:szCs w:val="28"/>
          <w:lang w:val="uk-UA"/>
        </w:rPr>
      </w:pPr>
    </w:p>
    <w:p w14:paraId="623CEE42" w14:textId="568D5588" w:rsidR="00875ADD" w:rsidRDefault="00875ADD" w:rsidP="009E685D">
      <w:pPr>
        <w:spacing w:after="0" w:line="360" w:lineRule="auto"/>
        <w:ind w:firstLine="709"/>
        <w:jc w:val="both"/>
        <w:rPr>
          <w:rFonts w:ascii="Times New Roman" w:hAnsi="Times New Roman" w:cs="Times New Roman"/>
          <w:caps/>
          <w:sz w:val="28"/>
          <w:szCs w:val="28"/>
          <w:lang w:val="uk-UA"/>
        </w:rPr>
      </w:pPr>
    </w:p>
    <w:p w14:paraId="07173068" w14:textId="1FA8ABC6" w:rsidR="00875ADD" w:rsidRDefault="00875ADD" w:rsidP="009E685D">
      <w:pPr>
        <w:spacing w:after="0" w:line="360" w:lineRule="auto"/>
        <w:ind w:firstLine="709"/>
        <w:jc w:val="both"/>
        <w:rPr>
          <w:rFonts w:ascii="Times New Roman" w:hAnsi="Times New Roman" w:cs="Times New Roman"/>
          <w:caps/>
          <w:sz w:val="28"/>
          <w:szCs w:val="28"/>
          <w:lang w:val="uk-UA"/>
        </w:rPr>
      </w:pPr>
    </w:p>
    <w:p w14:paraId="24D281EE" w14:textId="3ACF4760" w:rsidR="00875ADD" w:rsidRDefault="00875ADD" w:rsidP="009E685D">
      <w:pPr>
        <w:spacing w:after="0" w:line="360" w:lineRule="auto"/>
        <w:ind w:firstLine="709"/>
        <w:jc w:val="both"/>
        <w:rPr>
          <w:rFonts w:ascii="Times New Roman" w:hAnsi="Times New Roman" w:cs="Times New Roman"/>
          <w:caps/>
          <w:sz w:val="28"/>
          <w:szCs w:val="28"/>
          <w:lang w:val="uk-UA"/>
        </w:rPr>
      </w:pPr>
    </w:p>
    <w:p w14:paraId="3CF20564" w14:textId="2BC5AD2A" w:rsidR="00875ADD" w:rsidRDefault="00875ADD" w:rsidP="009E685D">
      <w:pPr>
        <w:spacing w:after="0" w:line="360" w:lineRule="auto"/>
        <w:ind w:firstLine="709"/>
        <w:jc w:val="both"/>
        <w:rPr>
          <w:rFonts w:ascii="Times New Roman" w:hAnsi="Times New Roman" w:cs="Times New Roman"/>
          <w:caps/>
          <w:sz w:val="28"/>
          <w:szCs w:val="28"/>
          <w:lang w:val="uk-UA"/>
        </w:rPr>
      </w:pPr>
    </w:p>
    <w:p w14:paraId="5990E3F2" w14:textId="2685A3E4" w:rsidR="00875ADD" w:rsidRDefault="00875ADD" w:rsidP="009E685D">
      <w:pPr>
        <w:spacing w:after="0" w:line="360" w:lineRule="auto"/>
        <w:ind w:firstLine="709"/>
        <w:jc w:val="both"/>
        <w:rPr>
          <w:rFonts w:ascii="Times New Roman" w:hAnsi="Times New Roman" w:cs="Times New Roman"/>
          <w:caps/>
          <w:sz w:val="28"/>
          <w:szCs w:val="28"/>
          <w:lang w:val="uk-UA"/>
        </w:rPr>
      </w:pPr>
    </w:p>
    <w:p w14:paraId="6FED27A9" w14:textId="78176352" w:rsidR="00875ADD" w:rsidRDefault="00875ADD" w:rsidP="009E685D">
      <w:pPr>
        <w:spacing w:after="0" w:line="360" w:lineRule="auto"/>
        <w:ind w:firstLine="709"/>
        <w:jc w:val="both"/>
        <w:rPr>
          <w:rFonts w:ascii="Times New Roman" w:hAnsi="Times New Roman" w:cs="Times New Roman"/>
          <w:caps/>
          <w:sz w:val="28"/>
          <w:szCs w:val="28"/>
          <w:lang w:val="uk-UA"/>
        </w:rPr>
      </w:pPr>
    </w:p>
    <w:p w14:paraId="344A3468" w14:textId="1DC937C0" w:rsidR="00875ADD" w:rsidRDefault="00875ADD" w:rsidP="009E685D">
      <w:pPr>
        <w:spacing w:after="0" w:line="360" w:lineRule="auto"/>
        <w:ind w:firstLine="709"/>
        <w:jc w:val="both"/>
        <w:rPr>
          <w:rFonts w:ascii="Times New Roman" w:hAnsi="Times New Roman" w:cs="Times New Roman"/>
          <w:caps/>
          <w:sz w:val="28"/>
          <w:szCs w:val="28"/>
          <w:lang w:val="uk-UA"/>
        </w:rPr>
      </w:pPr>
    </w:p>
    <w:p w14:paraId="4B6C7C8B" w14:textId="1BF2B864" w:rsidR="00875ADD" w:rsidRDefault="00875ADD" w:rsidP="009E685D">
      <w:pPr>
        <w:spacing w:after="0" w:line="360" w:lineRule="auto"/>
        <w:ind w:firstLine="709"/>
        <w:jc w:val="both"/>
        <w:rPr>
          <w:rFonts w:ascii="Times New Roman" w:hAnsi="Times New Roman" w:cs="Times New Roman"/>
          <w:caps/>
          <w:sz w:val="28"/>
          <w:szCs w:val="28"/>
          <w:lang w:val="uk-UA"/>
        </w:rPr>
      </w:pPr>
    </w:p>
    <w:p w14:paraId="49988A47" w14:textId="7BFD973D" w:rsidR="00875ADD" w:rsidRDefault="00875ADD" w:rsidP="009E685D">
      <w:pPr>
        <w:spacing w:after="0" w:line="360" w:lineRule="auto"/>
        <w:ind w:firstLine="709"/>
        <w:jc w:val="both"/>
        <w:rPr>
          <w:rFonts w:ascii="Times New Roman" w:hAnsi="Times New Roman" w:cs="Times New Roman"/>
          <w:caps/>
          <w:sz w:val="28"/>
          <w:szCs w:val="28"/>
          <w:lang w:val="uk-UA"/>
        </w:rPr>
      </w:pPr>
    </w:p>
    <w:p w14:paraId="4A9FEA02" w14:textId="73E12976" w:rsidR="00875ADD" w:rsidRDefault="00875ADD" w:rsidP="009E685D">
      <w:pPr>
        <w:spacing w:after="0" w:line="360" w:lineRule="auto"/>
        <w:ind w:firstLine="709"/>
        <w:jc w:val="both"/>
        <w:rPr>
          <w:rFonts w:ascii="Times New Roman" w:hAnsi="Times New Roman" w:cs="Times New Roman"/>
          <w:caps/>
          <w:sz w:val="28"/>
          <w:szCs w:val="28"/>
          <w:lang w:val="uk-UA"/>
        </w:rPr>
      </w:pPr>
    </w:p>
    <w:p w14:paraId="200092CC" w14:textId="510C6A8F" w:rsidR="00875ADD" w:rsidRDefault="00875ADD" w:rsidP="009E685D">
      <w:pPr>
        <w:spacing w:after="0" w:line="360" w:lineRule="auto"/>
        <w:ind w:firstLine="709"/>
        <w:jc w:val="both"/>
        <w:rPr>
          <w:rFonts w:ascii="Times New Roman" w:hAnsi="Times New Roman" w:cs="Times New Roman"/>
          <w:caps/>
          <w:sz w:val="28"/>
          <w:szCs w:val="28"/>
          <w:lang w:val="uk-UA"/>
        </w:rPr>
      </w:pPr>
    </w:p>
    <w:p w14:paraId="70F8AA97" w14:textId="7FDE3263" w:rsidR="00052AC8" w:rsidRPr="00D6691F" w:rsidRDefault="00052AC8" w:rsidP="00363246">
      <w:pPr>
        <w:spacing w:after="0" w:line="360" w:lineRule="auto"/>
        <w:ind w:firstLine="709"/>
        <w:jc w:val="center"/>
        <w:rPr>
          <w:rFonts w:ascii="Times New Roman" w:hAnsi="Times New Roman" w:cs="Times New Roman"/>
          <w:b/>
          <w:bCs/>
          <w:caps/>
          <w:sz w:val="28"/>
          <w:szCs w:val="28"/>
          <w:lang w:val="uk-UA"/>
        </w:rPr>
      </w:pPr>
      <w:r w:rsidRPr="00D6691F">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D6691F" w:rsidRDefault="003E332A" w:rsidP="003339B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79935C9" w14:textId="50A98BDF" w:rsidR="00681DAC" w:rsidRPr="00D6691F" w:rsidRDefault="00681DAC" w:rsidP="00F051CF">
      <w:pPr>
        <w:numPr>
          <w:ilvl w:val="0"/>
          <w:numId w:val="2"/>
        </w:numPr>
        <w:spacing w:after="0" w:line="360" w:lineRule="auto"/>
        <w:jc w:val="both"/>
        <w:rPr>
          <w:rFonts w:ascii="Times New Roman" w:eastAsia="Times New Roman" w:hAnsi="Times New Roman" w:cs="Times New Roman"/>
          <w:sz w:val="28"/>
          <w:szCs w:val="28"/>
          <w:lang w:eastAsia="ru-RU"/>
        </w:rPr>
      </w:pPr>
      <w:r w:rsidRPr="00D6691F">
        <w:rPr>
          <w:rFonts w:ascii="Times New Roman" w:hAnsi="Times New Roman" w:cs="Times New Roman"/>
          <w:sz w:val="28"/>
          <w:szCs w:val="28"/>
        </w:rPr>
        <w:t>Андрієнко Т.П. Стратегії і тактики перекладу: когнітивно-дискурсивний аспект (на матеріалі художнього перекладу з англійської мови на українську) : монографія / за ред. В.І. Карабан. Київ : Видавничий дім Дмитра Бураго, 2016. 339 с.</w:t>
      </w:r>
    </w:p>
    <w:p w14:paraId="6AE09867" w14:textId="0F8BA3FA" w:rsidR="001D70F8" w:rsidRPr="00D6691F" w:rsidRDefault="001D70F8" w:rsidP="00F051CF">
      <w:pPr>
        <w:numPr>
          <w:ilvl w:val="0"/>
          <w:numId w:val="2"/>
        </w:numPr>
        <w:spacing w:after="0" w:line="360" w:lineRule="auto"/>
        <w:jc w:val="both"/>
        <w:rPr>
          <w:rFonts w:ascii="Times New Roman" w:eastAsia="Times New Roman" w:hAnsi="Times New Roman" w:cs="Times New Roman"/>
          <w:sz w:val="28"/>
          <w:szCs w:val="28"/>
          <w:lang w:eastAsia="ru-RU"/>
        </w:rPr>
      </w:pPr>
      <w:r w:rsidRPr="00D6691F">
        <w:rPr>
          <w:rFonts w:ascii="Times New Roman" w:hAnsi="Times New Roman" w:cs="Times New Roman"/>
          <w:sz w:val="28"/>
          <w:szCs w:val="28"/>
        </w:rPr>
        <w:t xml:space="preserve">Андрієвська Е. Щодо проблеми адекватності автоматичного перекладу юридичних текстів. </w:t>
      </w:r>
      <w:r w:rsidRPr="00D6691F">
        <w:rPr>
          <w:rStyle w:val="a7"/>
          <w:rFonts w:ascii="Times New Roman" w:hAnsi="Times New Roman" w:cs="Times New Roman"/>
          <w:sz w:val="28"/>
          <w:szCs w:val="28"/>
        </w:rPr>
        <w:t>Мовні і концептуальні картини світу</w:t>
      </w:r>
      <w:r w:rsidRPr="00D6691F">
        <w:rPr>
          <w:rFonts w:ascii="Times New Roman" w:hAnsi="Times New Roman" w:cs="Times New Roman"/>
          <w:sz w:val="28"/>
          <w:szCs w:val="28"/>
        </w:rPr>
        <w:t>. 2013. Вип. 2 (44). С. 41–48.</w:t>
      </w:r>
    </w:p>
    <w:p w14:paraId="5905C114" w14:textId="77777777"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Бялик В., Дідик Л., Боднарчук А. Множинність перекладу як герменевтична проблема. </w:t>
      </w:r>
      <w:r w:rsidRPr="00D6691F">
        <w:rPr>
          <w:rFonts w:ascii="Times New Roman" w:hAnsi="Times New Roman" w:cs="Times New Roman"/>
          <w:i/>
          <w:iCs/>
          <w:sz w:val="28"/>
          <w:szCs w:val="28"/>
        </w:rPr>
        <w:t>Науковий вісник Чернівецького національного університету імені Юрія Федьковича. Серія: Германська філологія</w:t>
      </w:r>
      <w:r w:rsidRPr="00D6691F">
        <w:rPr>
          <w:rFonts w:ascii="Times New Roman" w:hAnsi="Times New Roman" w:cs="Times New Roman"/>
          <w:sz w:val="28"/>
          <w:szCs w:val="28"/>
        </w:rPr>
        <w:t xml:space="preserve">. 2023. № 846. С. 23-34. DOI: </w:t>
      </w:r>
      <w:hyperlink r:id="rId7" w:history="1">
        <w:r w:rsidRPr="00D6691F">
          <w:rPr>
            <w:rStyle w:val="a6"/>
            <w:rFonts w:ascii="Times New Roman" w:hAnsi="Times New Roman" w:cs="Times New Roman"/>
            <w:color w:val="auto"/>
            <w:sz w:val="28"/>
            <w:szCs w:val="28"/>
          </w:rPr>
          <w:t>https://doi.org/10.31861/gph2023.846.23-34</w:t>
        </w:r>
      </w:hyperlink>
      <w:r w:rsidRPr="00D6691F">
        <w:rPr>
          <w:rFonts w:ascii="Times New Roman" w:hAnsi="Times New Roman" w:cs="Times New Roman"/>
          <w:sz w:val="28"/>
          <w:szCs w:val="28"/>
        </w:rPr>
        <w:t xml:space="preserve"> </w:t>
      </w:r>
    </w:p>
    <w:p w14:paraId="1EAD89AB" w14:textId="0157E14D" w:rsidR="00A756A3" w:rsidRPr="00D6691F" w:rsidRDefault="00A756A3" w:rsidP="00F051CF">
      <w:pPr>
        <w:numPr>
          <w:ilvl w:val="0"/>
          <w:numId w:val="2"/>
        </w:numPr>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Верба Л.Г. Порівняльна лексикологія англійської та української мов. Вінниця: Нова Книга, 2003. 160 с.</w:t>
      </w:r>
    </w:p>
    <w:p w14:paraId="0287366C" w14:textId="69F323CE" w:rsidR="00A756A3" w:rsidRPr="00D6691F" w:rsidRDefault="00A756A3" w:rsidP="00F051CF">
      <w:pPr>
        <w:numPr>
          <w:ilvl w:val="0"/>
          <w:numId w:val="2"/>
        </w:numPr>
        <w:autoSpaceDE w:val="0"/>
        <w:autoSpaceDN w:val="0"/>
        <w:adjustRightInd w:val="0"/>
        <w:spacing w:after="0" w:line="360" w:lineRule="auto"/>
        <w:contextualSpacing/>
        <w:jc w:val="both"/>
        <w:rPr>
          <w:rFonts w:ascii="Times New Roman" w:hAnsi="Times New Roman" w:cs="Times New Roman"/>
          <w:sz w:val="28"/>
          <w:szCs w:val="28"/>
        </w:rPr>
      </w:pPr>
      <w:r w:rsidRPr="00D6691F">
        <w:rPr>
          <w:rFonts w:ascii="Times New Roman" w:hAnsi="Times New Roman" w:cs="Times New Roman"/>
          <w:sz w:val="28"/>
          <w:szCs w:val="28"/>
        </w:rPr>
        <w:t>Вороніна К.В. Основи перекладацького анотування та реферування текстів різних типів і жанрів : навчальний посібник. Х. : ХНУ імені В.Н. Каразіна, 2013. 120 с.</w:t>
      </w:r>
    </w:p>
    <w:p w14:paraId="2FB18F39" w14:textId="013C1A3A" w:rsidR="00C31B1F" w:rsidRPr="00D6691F" w:rsidRDefault="00C31B1F" w:rsidP="00F051CF">
      <w:pPr>
        <w:numPr>
          <w:ilvl w:val="0"/>
          <w:numId w:val="2"/>
        </w:numPr>
        <w:autoSpaceDE w:val="0"/>
        <w:autoSpaceDN w:val="0"/>
        <w:adjustRightInd w:val="0"/>
        <w:spacing w:after="0" w:line="360" w:lineRule="auto"/>
        <w:contextualSpacing/>
        <w:jc w:val="both"/>
        <w:rPr>
          <w:rFonts w:ascii="Times New Roman" w:hAnsi="Times New Roman" w:cs="Times New Roman"/>
          <w:sz w:val="28"/>
          <w:szCs w:val="28"/>
        </w:rPr>
      </w:pPr>
      <w:r w:rsidRPr="00D6691F">
        <w:rPr>
          <w:rFonts w:ascii="Times New Roman" w:hAnsi="Times New Roman" w:cs="Times New Roman"/>
          <w:sz w:val="28"/>
          <w:szCs w:val="28"/>
        </w:rPr>
        <w:t xml:space="preserve">Галян О., Мартинюк О., Хірочинська О. Формування та систематизація французької наукової лексики. </w:t>
      </w:r>
      <w:r w:rsidRPr="00D6691F">
        <w:rPr>
          <w:rStyle w:val="a7"/>
          <w:rFonts w:ascii="Times New Roman" w:hAnsi="Times New Roman" w:cs="Times New Roman"/>
          <w:sz w:val="28"/>
          <w:szCs w:val="28"/>
        </w:rPr>
        <w:t>Актуальні питання іноземної філології</w:t>
      </w:r>
      <w:r w:rsidRPr="00D6691F">
        <w:rPr>
          <w:rFonts w:ascii="Times New Roman" w:hAnsi="Times New Roman" w:cs="Times New Roman"/>
          <w:sz w:val="28"/>
          <w:szCs w:val="28"/>
        </w:rPr>
        <w:t xml:space="preserve">. 2022. № 16. С. 3–9. DOI: </w:t>
      </w:r>
      <w:hyperlink r:id="rId8" w:tgtFrame="_new" w:history="1">
        <w:r w:rsidRPr="00D6691F">
          <w:rPr>
            <w:rStyle w:val="a6"/>
            <w:rFonts w:ascii="Times New Roman" w:hAnsi="Times New Roman" w:cs="Times New Roman"/>
            <w:color w:val="auto"/>
            <w:sz w:val="28"/>
            <w:szCs w:val="28"/>
          </w:rPr>
          <w:t>http://dx.doi.org/10.32782/2410-0927-2022-16-1</w:t>
        </w:r>
      </w:hyperlink>
    </w:p>
    <w:p w14:paraId="183F83C9" w14:textId="417770CF" w:rsidR="00A756A3" w:rsidRPr="00D6691F" w:rsidRDefault="00A756A3" w:rsidP="00F051CF">
      <w:pPr>
        <w:numPr>
          <w:ilvl w:val="0"/>
          <w:numId w:val="2"/>
        </w:numPr>
        <w:spacing w:after="0" w:line="360" w:lineRule="auto"/>
        <w:contextualSpacing/>
        <w:jc w:val="both"/>
        <w:rPr>
          <w:rFonts w:ascii="Times New Roman" w:hAnsi="Times New Roman" w:cs="Times New Roman"/>
          <w:sz w:val="28"/>
          <w:szCs w:val="28"/>
        </w:rPr>
      </w:pPr>
      <w:r w:rsidRPr="00D6691F">
        <w:rPr>
          <w:rFonts w:ascii="Times New Roman" w:hAnsi="Times New Roman" w:cs="Times New Roman"/>
          <w:sz w:val="28"/>
          <w:szCs w:val="28"/>
        </w:rPr>
        <w:t xml:space="preserve">Гудманян А.Г., Сітко А.В., Єнчева Г.Г. Основи перекладознавства: навчальний посібник. Вінниця: Нова Книга, 2020. 352 с. </w:t>
      </w:r>
    </w:p>
    <w:p w14:paraId="22D9D56F" w14:textId="77777777"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Данкевич Т. Переклад авторських неологізмів в англійській мові. </w:t>
      </w:r>
      <w:r w:rsidRPr="00D6691F">
        <w:rPr>
          <w:rFonts w:ascii="Times New Roman" w:hAnsi="Times New Roman" w:cs="Times New Roman"/>
          <w:i/>
          <w:iCs/>
          <w:sz w:val="28"/>
          <w:szCs w:val="28"/>
        </w:rPr>
        <w:t>Мова і культура</w:t>
      </w:r>
      <w:r w:rsidRPr="00D6691F">
        <w:rPr>
          <w:rFonts w:ascii="Times New Roman" w:hAnsi="Times New Roman" w:cs="Times New Roman"/>
          <w:sz w:val="28"/>
          <w:szCs w:val="28"/>
        </w:rPr>
        <w:t xml:space="preserve">. 2014. Вип. 17, т. 3. С. 341-346. </w:t>
      </w:r>
    </w:p>
    <w:p w14:paraId="2341896A" w14:textId="7E4ABC81" w:rsidR="001465C7" w:rsidRPr="00D6691F" w:rsidRDefault="001465C7" w:rsidP="00F051CF">
      <w:pPr>
        <w:numPr>
          <w:ilvl w:val="0"/>
          <w:numId w:val="2"/>
        </w:numPr>
        <w:spacing w:after="0" w:line="360" w:lineRule="auto"/>
        <w:contextualSpacing/>
        <w:jc w:val="both"/>
        <w:rPr>
          <w:rFonts w:ascii="Times New Roman" w:hAnsi="Times New Roman" w:cs="Times New Roman"/>
          <w:sz w:val="28"/>
          <w:szCs w:val="28"/>
        </w:rPr>
      </w:pPr>
      <w:r w:rsidRPr="00D6691F">
        <w:rPr>
          <w:rFonts w:ascii="Times New Roman" w:hAnsi="Times New Roman" w:cs="Times New Roman"/>
          <w:sz w:val="28"/>
          <w:szCs w:val="28"/>
        </w:rPr>
        <w:t xml:space="preserve">Дем’янчук Ю. І. Корпусно-прикладне перекладознавство: основні напрями досліджень. </w:t>
      </w:r>
      <w:r w:rsidRPr="00D6691F">
        <w:rPr>
          <w:rStyle w:val="a7"/>
          <w:rFonts w:ascii="Times New Roman" w:hAnsi="Times New Roman" w:cs="Times New Roman"/>
          <w:sz w:val="28"/>
          <w:szCs w:val="28"/>
        </w:rPr>
        <w:t>Nova fìlologìâ</w:t>
      </w:r>
      <w:r w:rsidRPr="00D6691F">
        <w:rPr>
          <w:rFonts w:ascii="Times New Roman" w:hAnsi="Times New Roman" w:cs="Times New Roman"/>
          <w:sz w:val="28"/>
          <w:szCs w:val="28"/>
        </w:rPr>
        <w:t>. 2023. № 90. С. 32–39. DOI: 10.26661/2414-1135-2023-90-5.</w:t>
      </w:r>
    </w:p>
    <w:p w14:paraId="4156E9F2" w14:textId="189C1EFB" w:rsidR="00CF12BA" w:rsidRPr="00D6691F" w:rsidRDefault="00CF12BA" w:rsidP="00F051CF">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lastRenderedPageBreak/>
        <w:t xml:space="preserve">Дерік І.М. Теорія та практика перекладу. Аспекти перекладу. Одеса: Університет Ушинського, 2022. 246 с. </w:t>
      </w:r>
    </w:p>
    <w:p w14:paraId="6A62EA70" w14:textId="77777777"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Драбов Н. До питання перекладу англійських неологізмів. </w:t>
      </w:r>
      <w:r w:rsidRPr="00D6691F">
        <w:rPr>
          <w:rFonts w:ascii="Times New Roman" w:hAnsi="Times New Roman" w:cs="Times New Roman"/>
          <w:i/>
          <w:iCs/>
          <w:sz w:val="28"/>
          <w:szCs w:val="28"/>
        </w:rPr>
        <w:t>Актуальні питання гуманітарних наук</w:t>
      </w:r>
      <w:r w:rsidRPr="00D6691F">
        <w:rPr>
          <w:rFonts w:ascii="Times New Roman" w:hAnsi="Times New Roman" w:cs="Times New Roman"/>
          <w:sz w:val="28"/>
          <w:szCs w:val="28"/>
        </w:rPr>
        <w:t xml:space="preserve">. 2015. Вип. 13. С. 176-181. </w:t>
      </w:r>
    </w:p>
    <w:p w14:paraId="57AF727D" w14:textId="0095019D" w:rsidR="00A756A3" w:rsidRPr="00D6691F" w:rsidRDefault="00A756A3" w:rsidP="00F051CF">
      <w:pPr>
        <w:numPr>
          <w:ilvl w:val="0"/>
          <w:numId w:val="2"/>
        </w:numPr>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 xml:space="preserve">Дубенко О. Порівняльна стилістика англійської та української мов. 2-е вид. Вінниця: Нова Книга. 2014. 224 с. </w:t>
      </w:r>
    </w:p>
    <w:p w14:paraId="6F6B8261" w14:textId="7B67072D" w:rsidR="00CF12BA" w:rsidRPr="00D6691F" w:rsidRDefault="00CF12BA" w:rsidP="00F051CF">
      <w:pPr>
        <w:numPr>
          <w:ilvl w:val="0"/>
          <w:numId w:val="2"/>
        </w:numPr>
        <w:spacing w:after="0" w:line="360" w:lineRule="auto"/>
        <w:jc w:val="both"/>
        <w:rPr>
          <w:rFonts w:ascii="Times New Roman" w:eastAsia="Times New Roman" w:hAnsi="Times New Roman" w:cs="Times New Roman"/>
          <w:sz w:val="28"/>
          <w:szCs w:val="28"/>
          <w:lang w:eastAsia="ru-RU"/>
        </w:rPr>
      </w:pPr>
      <w:r w:rsidRPr="00D6691F">
        <w:rPr>
          <w:rFonts w:ascii="Times New Roman" w:hAnsi="Times New Roman" w:cs="Times New Roman"/>
          <w:sz w:val="28"/>
          <w:szCs w:val="28"/>
        </w:rPr>
        <w:t xml:space="preserve">Єрьоменко С.В. Юридичний переклад: лексичний аспект. </w:t>
      </w:r>
      <w:r w:rsidRPr="00D6691F">
        <w:rPr>
          <w:rFonts w:ascii="Times New Roman" w:hAnsi="Times New Roman" w:cs="Times New Roman"/>
          <w:i/>
          <w:sz w:val="28"/>
          <w:szCs w:val="28"/>
        </w:rPr>
        <w:t>Науковий вісник Міжнародного гуманітарного університету. Серія Філологія</w:t>
      </w:r>
      <w:r w:rsidRPr="00D6691F">
        <w:rPr>
          <w:rFonts w:ascii="Times New Roman" w:hAnsi="Times New Roman" w:cs="Times New Roman"/>
          <w:sz w:val="28"/>
          <w:szCs w:val="28"/>
        </w:rPr>
        <w:t>. 2023. Випуск 63. Т.1. С. 77-83.</w:t>
      </w:r>
    </w:p>
    <w:p w14:paraId="0989666E" w14:textId="7A7AAF9F" w:rsidR="00CF12BA" w:rsidRPr="00D6691F" w:rsidRDefault="00CF12BA" w:rsidP="00F051CF">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Єрьоменко С.В., Томчаковська Ю.О., Томчаковський О.Г., Строченко Л.В. Переклад юридичних текстів. Одеса, 2023. 72 с.  </w:t>
      </w:r>
    </w:p>
    <w:p w14:paraId="0FD56F68" w14:textId="10434B5C" w:rsidR="00BA16AF" w:rsidRPr="00D6691F" w:rsidRDefault="00BA16AF" w:rsidP="00F051CF">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Зелена Ю. Особливості перекладу оперативно-тактичних термінів у військових документах – складових процесу прийняття військового рішення ППВР (французька, англійська та українська мови). </w:t>
      </w:r>
      <w:r w:rsidRPr="00D6691F">
        <w:rPr>
          <w:rStyle w:val="a7"/>
          <w:rFonts w:ascii="Times New Roman" w:hAnsi="Times New Roman" w:cs="Times New Roman"/>
          <w:sz w:val="28"/>
          <w:szCs w:val="28"/>
        </w:rPr>
        <w:t>Актуальні питання іноземної філології</w:t>
      </w:r>
      <w:r w:rsidRPr="00D6691F">
        <w:rPr>
          <w:rFonts w:ascii="Times New Roman" w:hAnsi="Times New Roman" w:cs="Times New Roman"/>
          <w:sz w:val="28"/>
          <w:szCs w:val="28"/>
        </w:rPr>
        <w:t>. 2024. № 21. С. 44–51. DOI: 10.32782/2410-0927-2024-21-7.</w:t>
      </w:r>
    </w:p>
    <w:p w14:paraId="00C8064C" w14:textId="77777777" w:rsidR="00A756A3" w:rsidRPr="00D6691F" w:rsidRDefault="00A756A3" w:rsidP="00F051CF">
      <w:pPr>
        <w:numPr>
          <w:ilvl w:val="0"/>
          <w:numId w:val="2"/>
        </w:numPr>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Зорівчак Р.П. Реалія і переклад (на матеріалі англомовних перекладів української прози). Львів: Вид-во при Львів. ун-ті, 1989. 216 с.</w:t>
      </w:r>
    </w:p>
    <w:p w14:paraId="14A63FC5" w14:textId="77777777" w:rsidR="00A756A3" w:rsidRPr="00D6691F" w:rsidRDefault="00A756A3" w:rsidP="00F051CF">
      <w:pPr>
        <w:numPr>
          <w:ilvl w:val="0"/>
          <w:numId w:val="2"/>
        </w:numPr>
        <w:spacing w:after="0" w:line="360" w:lineRule="auto"/>
        <w:contextualSpacing/>
        <w:jc w:val="both"/>
        <w:rPr>
          <w:rFonts w:ascii="Times New Roman" w:hAnsi="Times New Roman" w:cs="Times New Roman"/>
          <w:b/>
          <w:sz w:val="28"/>
          <w:szCs w:val="28"/>
        </w:rPr>
      </w:pPr>
      <w:r w:rsidRPr="00D6691F">
        <w:rPr>
          <w:rFonts w:ascii="Times New Roman" w:hAnsi="Times New Roman" w:cs="Times New Roman"/>
          <w:sz w:val="28"/>
          <w:szCs w:val="28"/>
        </w:rPr>
        <w:t>Кальниченко О. А. Історія перекладу та думок про переклад у текстах та коментарях : навч. посіб : Ч. 1.Харків : Вид-во НУА, 2005. 132 с.</w:t>
      </w:r>
    </w:p>
    <w:p w14:paraId="48E917D9" w14:textId="77777777" w:rsidR="00A756A3" w:rsidRPr="00D6691F" w:rsidRDefault="00A756A3" w:rsidP="00F051CF">
      <w:pPr>
        <w:numPr>
          <w:ilvl w:val="0"/>
          <w:numId w:val="2"/>
        </w:numPr>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Карабан В.І. Попередження інтерференції мови оригіналу у перекладі (граматичні та лексичні проблеми перекладу з української мови на англійську). Вінниця: Нова Книга, 2001. 405 с.</w:t>
      </w:r>
    </w:p>
    <w:p w14:paraId="3144B66A" w14:textId="77777777" w:rsidR="00A756A3" w:rsidRPr="00D6691F" w:rsidRDefault="00A756A3"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 xml:space="preserve">Карабан В.І. Мейс Дж. Переклад з української мови на англійську: Навчальний посібник.  Вінниця: Нова Книга, 2003. 608 с. </w:t>
      </w:r>
    </w:p>
    <w:p w14:paraId="3416C2BF" w14:textId="111EE498" w:rsidR="00A756A3" w:rsidRPr="00D6691F" w:rsidRDefault="00A756A3"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 xml:space="preserve">Карабан В.І. Переклад англійської наукової і технічної літератури. Граматичні труднощі, лексичні, термінологічні та жанрово-стилістичні проблеми. Вінниця: Нова Книга, 2004. 576 с.  </w:t>
      </w:r>
    </w:p>
    <w:p w14:paraId="693447E0" w14:textId="13C59D71" w:rsidR="000F445C" w:rsidRPr="00D6691F" w:rsidRDefault="000F445C"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hAnsi="Times New Roman" w:cs="Times New Roman"/>
          <w:sz w:val="28"/>
          <w:szCs w:val="28"/>
        </w:rPr>
        <w:t xml:space="preserve">Кваліфікаційна робота з філології: структура, зміст, вимоги : методичні рекомендації для здобувачів вищої освіти другого (магістерського) </w:t>
      </w:r>
      <w:r w:rsidRPr="00D6691F">
        <w:rPr>
          <w:rFonts w:ascii="Times New Roman" w:hAnsi="Times New Roman" w:cs="Times New Roman"/>
          <w:sz w:val="28"/>
          <w:szCs w:val="28"/>
        </w:rPr>
        <w:lastRenderedPageBreak/>
        <w:t>рівня вищої освіти галузі знань В «Культура, мистецтво та гуманітарні науки» спеціальності В11 «Філологія» / уклад. Ю. О. Томчаковська, Л. В. Строченко, О. Г. Томчаковський; Національний університет «Одеська юридична академія».  Суми : Університетська книга, 2025. 30 с.</w:t>
      </w:r>
    </w:p>
    <w:p w14:paraId="0FBC6632" w14:textId="686584D0" w:rsidR="00A756A3" w:rsidRPr="00D6691F" w:rsidRDefault="00A756A3" w:rsidP="00F051CF">
      <w:pPr>
        <w:numPr>
          <w:ilvl w:val="0"/>
          <w:numId w:val="2"/>
        </w:numPr>
        <w:tabs>
          <w:tab w:val="center" w:pos="4819"/>
          <w:tab w:val="right" w:pos="9639"/>
        </w:tabs>
        <w:spacing w:after="0" w:line="360" w:lineRule="auto"/>
        <w:jc w:val="both"/>
        <w:rPr>
          <w:rFonts w:ascii="Times New Roman" w:hAnsi="Times New Roman" w:cs="Times New Roman"/>
          <w:sz w:val="28"/>
          <w:szCs w:val="28"/>
        </w:rPr>
      </w:pPr>
      <w:bookmarkStart w:id="0" w:name="_Hlk155312017"/>
      <w:r w:rsidRPr="00D6691F">
        <w:rPr>
          <w:rFonts w:ascii="Times New Roman" w:hAnsi="Times New Roman" w:cs="Times New Roman"/>
          <w:sz w:val="28"/>
          <w:szCs w:val="28"/>
        </w:rPr>
        <w:t>Коваленко А.Я. Загальний курс науково-технічного перекладу.  Київ: «Фірма «ІНКОС», 2002.  320с.</w:t>
      </w:r>
    </w:p>
    <w:p w14:paraId="19A5131B" w14:textId="750E739D" w:rsidR="00C31B1F" w:rsidRPr="00D6691F" w:rsidRDefault="00C31B1F" w:rsidP="00F051CF">
      <w:pPr>
        <w:numPr>
          <w:ilvl w:val="0"/>
          <w:numId w:val="2"/>
        </w:numPr>
        <w:tabs>
          <w:tab w:val="center" w:pos="4819"/>
          <w:tab w:val="right" w:pos="9639"/>
        </w:tabs>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Коваленко А., Гібаленко О., Бочарова О., Годун Т. Лінгвістичні дослідження термінологічних систем англійських технічних термінів у галузі будівництва та архітектури. </w:t>
      </w:r>
      <w:r w:rsidRPr="00D6691F">
        <w:rPr>
          <w:rStyle w:val="a7"/>
          <w:rFonts w:ascii="Times New Roman" w:hAnsi="Times New Roman" w:cs="Times New Roman"/>
          <w:sz w:val="28"/>
          <w:szCs w:val="28"/>
        </w:rPr>
        <w:t>Наука та виробництво</w:t>
      </w:r>
      <w:r w:rsidRPr="00D6691F">
        <w:rPr>
          <w:rFonts w:ascii="Times New Roman" w:hAnsi="Times New Roman" w:cs="Times New Roman"/>
          <w:sz w:val="28"/>
          <w:szCs w:val="28"/>
        </w:rPr>
        <w:t xml:space="preserve">. 2021. № 23. С. 149–157. DOI: </w:t>
      </w:r>
      <w:hyperlink r:id="rId9" w:tgtFrame="_new" w:history="1">
        <w:r w:rsidRPr="00D6691F">
          <w:rPr>
            <w:rStyle w:val="a6"/>
            <w:rFonts w:ascii="Times New Roman" w:hAnsi="Times New Roman" w:cs="Times New Roman"/>
            <w:color w:val="auto"/>
            <w:sz w:val="28"/>
            <w:szCs w:val="28"/>
          </w:rPr>
          <w:t>https://doi.org/10.31498/2522-9990232020240732</w:t>
        </w:r>
      </w:hyperlink>
    </w:p>
    <w:p w14:paraId="46764ED6" w14:textId="6C16F32B" w:rsidR="00C31B1F" w:rsidRPr="00D6691F" w:rsidRDefault="00C31B1F" w:rsidP="00F051CF">
      <w:pPr>
        <w:numPr>
          <w:ilvl w:val="0"/>
          <w:numId w:val="2"/>
        </w:numPr>
        <w:tabs>
          <w:tab w:val="center" w:pos="4819"/>
          <w:tab w:val="right" w:pos="9639"/>
        </w:tabs>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Козак Л. В. Переклад як вид мовленнєвої діяльності. </w:t>
      </w:r>
      <w:r w:rsidRPr="00D6691F">
        <w:rPr>
          <w:rStyle w:val="a7"/>
          <w:rFonts w:ascii="Times New Roman" w:hAnsi="Times New Roman" w:cs="Times New Roman"/>
          <w:sz w:val="28"/>
          <w:szCs w:val="28"/>
        </w:rPr>
        <w:t>Філологічні студії: Науковий вісник Криворізького державного педагогічного університету</w:t>
      </w:r>
      <w:r w:rsidRPr="00D6691F">
        <w:rPr>
          <w:rFonts w:ascii="Times New Roman" w:hAnsi="Times New Roman" w:cs="Times New Roman"/>
          <w:sz w:val="28"/>
          <w:szCs w:val="28"/>
        </w:rPr>
        <w:t xml:space="preserve">. 2018. Вип. 17. С. 239–248. DOI: </w:t>
      </w:r>
      <w:hyperlink r:id="rId10" w:tgtFrame="_new" w:history="1">
        <w:r w:rsidRPr="00D6691F">
          <w:rPr>
            <w:rStyle w:val="a6"/>
            <w:rFonts w:ascii="Times New Roman" w:hAnsi="Times New Roman" w:cs="Times New Roman"/>
            <w:color w:val="auto"/>
            <w:sz w:val="28"/>
            <w:szCs w:val="28"/>
          </w:rPr>
          <w:t>http://dx.doi.org/10.31812/filstd.v17i0.191</w:t>
        </w:r>
      </w:hyperlink>
    </w:p>
    <w:p w14:paraId="38D0F085" w14:textId="77777777"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Козаченко І.В. Особливості перекладу неологізмів англійської мови. </w:t>
      </w:r>
      <w:r w:rsidRPr="00D6691F">
        <w:rPr>
          <w:rFonts w:ascii="Times New Roman" w:hAnsi="Times New Roman" w:cs="Times New Roman"/>
          <w:i/>
          <w:iCs/>
          <w:sz w:val="28"/>
          <w:szCs w:val="28"/>
        </w:rPr>
        <w:t>Науковий вісник Міжнародного гуманітарного університету. Сер.: Філологія</w:t>
      </w:r>
      <w:r w:rsidRPr="00D6691F">
        <w:rPr>
          <w:rFonts w:ascii="Times New Roman" w:hAnsi="Times New Roman" w:cs="Times New Roman"/>
          <w:sz w:val="28"/>
          <w:szCs w:val="28"/>
        </w:rPr>
        <w:t>. 2014. № 25. Том 2. С. 166-168.</w:t>
      </w:r>
    </w:p>
    <w:bookmarkEnd w:id="0"/>
    <w:p w14:paraId="49A95777" w14:textId="77777777" w:rsidR="00A756A3" w:rsidRPr="00D6691F" w:rsidRDefault="00A756A3"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 xml:space="preserve">Коптілов В. Теорія і практика перекладу: Навчальний посібник.  К.: Юніверс, 2002. 280 с. </w:t>
      </w:r>
    </w:p>
    <w:p w14:paraId="008D5F21" w14:textId="77777777" w:rsidR="00A756A3" w:rsidRPr="00D6691F" w:rsidRDefault="00A756A3"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 xml:space="preserve">Корунець І.В. Порівняльна типологія англійської та української мов.  Вінниця: Нова Книга, 2004. 235 с.  </w:t>
      </w:r>
    </w:p>
    <w:p w14:paraId="4A8721DF" w14:textId="4DB914AB" w:rsidR="00A756A3" w:rsidRPr="00D6691F" w:rsidRDefault="00A756A3"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Корунець І.В. Теорія і практика перекладу (аспектний переклад): Підручник.  Вінниця: Нова Книга, 2003. 448 с.</w:t>
      </w:r>
    </w:p>
    <w:p w14:paraId="505AB4D1" w14:textId="4DC43E51" w:rsidR="00C31B1F" w:rsidRPr="00D6691F" w:rsidRDefault="00C31B1F"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hAnsi="Times New Roman" w:cs="Times New Roman"/>
          <w:sz w:val="28"/>
          <w:szCs w:val="28"/>
        </w:rPr>
        <w:t xml:space="preserve">Ланова І. В. Науково-технічний переклад як складова фундаментальної підготовки. </w:t>
      </w:r>
      <w:r w:rsidRPr="00D6691F">
        <w:rPr>
          <w:rStyle w:val="a7"/>
          <w:rFonts w:ascii="Times New Roman" w:hAnsi="Times New Roman" w:cs="Times New Roman"/>
          <w:sz w:val="28"/>
          <w:szCs w:val="28"/>
        </w:rPr>
        <w:t>Theory and methods of e-learning</w:t>
      </w:r>
      <w:r w:rsidRPr="00D6691F">
        <w:rPr>
          <w:rFonts w:ascii="Times New Roman" w:hAnsi="Times New Roman" w:cs="Times New Roman"/>
          <w:sz w:val="28"/>
          <w:szCs w:val="28"/>
        </w:rPr>
        <w:t xml:space="preserve">. 2014. Вип. 2. С. 93–97. DOI: </w:t>
      </w:r>
      <w:hyperlink r:id="rId11" w:tgtFrame="_new" w:history="1">
        <w:r w:rsidRPr="00D6691F">
          <w:rPr>
            <w:rStyle w:val="a6"/>
            <w:rFonts w:ascii="Times New Roman" w:hAnsi="Times New Roman" w:cs="Times New Roman"/>
            <w:color w:val="auto"/>
            <w:sz w:val="28"/>
            <w:szCs w:val="28"/>
          </w:rPr>
          <w:t>http://dx.doi.org/10.55056/e-learn.v2i1.256</w:t>
        </w:r>
      </w:hyperlink>
    </w:p>
    <w:p w14:paraId="5DCCBFC4" w14:textId="57221829"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Лесінська О., Балан Т. Способи перекладу англійського молодіжного сленгу з використанням перекладацьких трансформацій (на матеріалах американського драматично-комедійного телесеріалу “Джинні й </w:t>
      </w:r>
      <w:r w:rsidRPr="00D6691F">
        <w:rPr>
          <w:rFonts w:ascii="Times New Roman" w:hAnsi="Times New Roman" w:cs="Times New Roman"/>
          <w:sz w:val="28"/>
          <w:szCs w:val="28"/>
        </w:rPr>
        <w:lastRenderedPageBreak/>
        <w:t xml:space="preserve">Джорджія”). </w:t>
      </w:r>
      <w:r w:rsidRPr="00D6691F">
        <w:rPr>
          <w:rFonts w:ascii="Times New Roman" w:hAnsi="Times New Roman" w:cs="Times New Roman"/>
          <w:i/>
          <w:iCs/>
          <w:sz w:val="28"/>
          <w:szCs w:val="28"/>
        </w:rPr>
        <w:t>Науковий вісник Чернівецького національного університету імені Юрія Федьковича. Серія: Германська філологія</w:t>
      </w:r>
      <w:r w:rsidRPr="00D6691F">
        <w:rPr>
          <w:rFonts w:ascii="Times New Roman" w:hAnsi="Times New Roman" w:cs="Times New Roman"/>
          <w:sz w:val="28"/>
          <w:szCs w:val="28"/>
        </w:rPr>
        <w:t xml:space="preserve">. 2024.№ 850-851. С. 99-105. DOI: </w:t>
      </w:r>
      <w:hyperlink r:id="rId12" w:history="1">
        <w:r w:rsidRPr="00D6691F">
          <w:rPr>
            <w:rStyle w:val="a6"/>
            <w:rFonts w:ascii="Times New Roman" w:hAnsi="Times New Roman" w:cs="Times New Roman"/>
            <w:color w:val="auto"/>
            <w:sz w:val="28"/>
            <w:szCs w:val="28"/>
          </w:rPr>
          <w:t>https://doi.org/10.31861/gph2024.850-851.99-105</w:t>
        </w:r>
      </w:hyperlink>
      <w:r w:rsidRPr="00D6691F">
        <w:rPr>
          <w:rFonts w:ascii="Times New Roman" w:hAnsi="Times New Roman" w:cs="Times New Roman"/>
          <w:sz w:val="28"/>
          <w:szCs w:val="28"/>
        </w:rPr>
        <w:t xml:space="preserve"> </w:t>
      </w:r>
    </w:p>
    <w:p w14:paraId="40FDD36F" w14:textId="77777777"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Лисичкіна І. О., Лисичкіна О. О. Особливості англо-українського перекладу неологізмів пандемії COVID-19. </w:t>
      </w:r>
      <w:r w:rsidRPr="00D6691F">
        <w:rPr>
          <w:rFonts w:ascii="Times New Roman" w:hAnsi="Times New Roman" w:cs="Times New Roman"/>
          <w:i/>
          <w:iCs/>
          <w:sz w:val="28"/>
          <w:szCs w:val="28"/>
        </w:rPr>
        <w:t>Закарпатські філологічні студії</w:t>
      </w:r>
      <w:r w:rsidRPr="00D6691F">
        <w:rPr>
          <w:rFonts w:ascii="Times New Roman" w:hAnsi="Times New Roman" w:cs="Times New Roman"/>
          <w:sz w:val="28"/>
          <w:szCs w:val="28"/>
        </w:rPr>
        <w:t xml:space="preserve">. 2021. Вип. 19, т. 2. С. 116–120. DOI: </w:t>
      </w:r>
      <w:hyperlink r:id="rId13" w:tgtFrame="_new" w:history="1">
        <w:r w:rsidRPr="00D6691F">
          <w:rPr>
            <w:rStyle w:val="a6"/>
            <w:rFonts w:ascii="Times New Roman" w:hAnsi="Times New Roman" w:cs="Times New Roman"/>
            <w:color w:val="auto"/>
            <w:sz w:val="28"/>
            <w:szCs w:val="28"/>
          </w:rPr>
          <w:t>https://doi.org/10.32782/tps2663-4880/2021.19.2.23</w:t>
        </w:r>
      </w:hyperlink>
    </w:p>
    <w:p w14:paraId="47DA0E75" w14:textId="733664A4" w:rsidR="00C31B1F" w:rsidRPr="00D6691F" w:rsidRDefault="00C31B1F"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hAnsi="Times New Roman" w:cs="Times New Roman"/>
          <w:sz w:val="28"/>
          <w:szCs w:val="28"/>
        </w:rPr>
        <w:t xml:space="preserve">Лобанова С. І., Губіна А. М., Мартинюк А. П. Роль перекладу технічної термінології у формуванні комунікативних компетенцій студентів немовних спеціальностей технічних ЗВО. </w:t>
      </w:r>
      <w:r w:rsidRPr="00D6691F">
        <w:rPr>
          <w:rStyle w:val="a7"/>
          <w:rFonts w:ascii="Times New Roman" w:hAnsi="Times New Roman" w:cs="Times New Roman"/>
          <w:sz w:val="28"/>
          <w:szCs w:val="28"/>
        </w:rPr>
        <w:t>Академічні студії. Серія «Педагогіка»</w:t>
      </w:r>
      <w:r w:rsidRPr="00D6691F">
        <w:rPr>
          <w:rFonts w:ascii="Times New Roman" w:hAnsi="Times New Roman" w:cs="Times New Roman"/>
          <w:sz w:val="28"/>
          <w:szCs w:val="28"/>
        </w:rPr>
        <w:t xml:space="preserve">. 2024. № 1. С. 31–38. DOI: </w:t>
      </w:r>
      <w:hyperlink r:id="rId14" w:tgtFrame="_new" w:history="1">
        <w:r w:rsidRPr="00D6691F">
          <w:rPr>
            <w:rStyle w:val="a6"/>
            <w:rFonts w:ascii="Times New Roman" w:hAnsi="Times New Roman" w:cs="Times New Roman"/>
            <w:color w:val="auto"/>
            <w:sz w:val="28"/>
            <w:szCs w:val="28"/>
          </w:rPr>
          <w:t>http://dx.doi.org/10.52726/as.pedagogy/2024.1.5</w:t>
        </w:r>
      </w:hyperlink>
    </w:p>
    <w:p w14:paraId="3D2B3A49" w14:textId="6EBFFD3D" w:rsidR="00A756A3" w:rsidRPr="00D6691F" w:rsidRDefault="00A756A3"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bookmarkStart w:id="1" w:name="_Hlk155312101"/>
      <w:r w:rsidRPr="00D6691F">
        <w:rPr>
          <w:rFonts w:ascii="Times New Roman" w:eastAsia="Times New Roman" w:hAnsi="Times New Roman" w:cs="Times New Roman"/>
          <w:sz w:val="28"/>
          <w:szCs w:val="28"/>
          <w:lang w:eastAsia="ru-RU"/>
        </w:rPr>
        <w:t xml:space="preserve">Максімов С.Є. Усний двосторонній переклад (англійська та українська мови). К.: Ленвіт. 416 с.  </w:t>
      </w:r>
    </w:p>
    <w:p w14:paraId="2B9F1AB8" w14:textId="77777777"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Панченко О. І. До питання про переклад неологізмів. </w:t>
      </w:r>
      <w:r w:rsidRPr="00D6691F">
        <w:rPr>
          <w:rFonts w:ascii="Times New Roman" w:hAnsi="Times New Roman" w:cs="Times New Roman"/>
          <w:i/>
          <w:iCs/>
          <w:sz w:val="28"/>
          <w:szCs w:val="28"/>
        </w:rPr>
        <w:t>Вчені записки ТНУ імені В. І. Вернадського. Серія: Філологія. Соціальні комунікації</w:t>
      </w:r>
      <w:r w:rsidRPr="00D6691F">
        <w:rPr>
          <w:rFonts w:ascii="Times New Roman" w:hAnsi="Times New Roman" w:cs="Times New Roman"/>
          <w:sz w:val="28"/>
          <w:szCs w:val="28"/>
        </w:rPr>
        <w:t xml:space="preserve">. 2020. Т. 31 (70), № 4, ч. 2. С. 154–158. – DOI: </w:t>
      </w:r>
      <w:hyperlink r:id="rId15" w:tgtFrame="_new" w:history="1">
        <w:r w:rsidRPr="00D6691F">
          <w:rPr>
            <w:rStyle w:val="a6"/>
            <w:rFonts w:ascii="Times New Roman" w:hAnsi="Times New Roman" w:cs="Times New Roman"/>
            <w:color w:val="auto"/>
            <w:sz w:val="28"/>
            <w:szCs w:val="28"/>
          </w:rPr>
          <w:t>https://doi.org/10.32838/2663-6069/2020.4-2/27</w:t>
        </w:r>
      </w:hyperlink>
    </w:p>
    <w:p w14:paraId="11D0CF40" w14:textId="0BD4C7A2"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Погоріла А. І., Тимчук О. Т. Особливості перекладу неологізмів англійської мови. </w:t>
      </w:r>
      <w:r w:rsidRPr="00D6691F">
        <w:rPr>
          <w:rFonts w:ascii="Times New Roman" w:hAnsi="Times New Roman" w:cs="Times New Roman"/>
          <w:i/>
          <w:iCs/>
          <w:sz w:val="28"/>
          <w:szCs w:val="28"/>
        </w:rPr>
        <w:t>Молодий вчений</w:t>
      </w:r>
      <w:r w:rsidRPr="00D6691F">
        <w:rPr>
          <w:rFonts w:ascii="Times New Roman" w:hAnsi="Times New Roman" w:cs="Times New Roman"/>
          <w:sz w:val="28"/>
          <w:szCs w:val="28"/>
        </w:rPr>
        <w:t xml:space="preserve">. 2018. № 3.1 (55.1) С. 143-146. </w:t>
      </w:r>
    </w:p>
    <w:bookmarkEnd w:id="1"/>
    <w:p w14:paraId="2FFF384C" w14:textId="4F1A3A5D" w:rsidR="00A756A3" w:rsidRPr="00D6691F" w:rsidRDefault="00A756A3"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 xml:space="preserve">Ребрій О.В. Вступ до перекладознавства. Конспект лекцій. Харків, 2016. 116 с. </w:t>
      </w:r>
    </w:p>
    <w:p w14:paraId="2F8EF339" w14:textId="77777777" w:rsidR="001465C7" w:rsidRPr="00D6691F" w:rsidRDefault="001465C7"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eastAsia="Times New Roman" w:hAnsi="Times New Roman" w:cs="Times New Roman"/>
          <w:sz w:val="28"/>
          <w:szCs w:val="28"/>
          <w:lang w:eastAsia="ru-RU"/>
        </w:rPr>
        <w:t xml:space="preserve">Ребрій О.В. Сучасні концепції творчості у перекладі: монографія. Харків, 2012. 376 с.  </w:t>
      </w:r>
    </w:p>
    <w:p w14:paraId="4841F585" w14:textId="198EB12C" w:rsidR="001465C7" w:rsidRPr="00D6691F" w:rsidRDefault="001465C7" w:rsidP="00F051CF">
      <w:pPr>
        <w:numPr>
          <w:ilvl w:val="0"/>
          <w:numId w:val="2"/>
        </w:numPr>
        <w:snapToGrid w:val="0"/>
        <w:spacing w:after="0" w:line="360" w:lineRule="auto"/>
        <w:jc w:val="both"/>
        <w:rPr>
          <w:rFonts w:ascii="Times New Roman" w:eastAsia="Times New Roman" w:hAnsi="Times New Roman" w:cs="Times New Roman"/>
          <w:sz w:val="28"/>
          <w:szCs w:val="28"/>
          <w:lang w:eastAsia="ru-RU"/>
        </w:rPr>
      </w:pPr>
      <w:r w:rsidRPr="00D6691F">
        <w:rPr>
          <w:rFonts w:ascii="Times New Roman" w:hAnsi="Times New Roman" w:cs="Times New Roman"/>
          <w:sz w:val="28"/>
          <w:szCs w:val="28"/>
        </w:rPr>
        <w:t xml:space="preserve">Романишин Н., Роман С. Застосування корпусних технологій у дослідженні аудіовізуального перекладу. </w:t>
      </w:r>
      <w:r w:rsidRPr="00D6691F">
        <w:rPr>
          <w:rStyle w:val="a7"/>
          <w:rFonts w:ascii="Times New Roman" w:hAnsi="Times New Roman" w:cs="Times New Roman"/>
          <w:sz w:val="28"/>
          <w:szCs w:val="28"/>
        </w:rPr>
        <w:t>Молодий вчений</w:t>
      </w:r>
      <w:r w:rsidRPr="00D6691F">
        <w:rPr>
          <w:rFonts w:ascii="Times New Roman" w:hAnsi="Times New Roman" w:cs="Times New Roman"/>
          <w:sz w:val="28"/>
          <w:szCs w:val="28"/>
        </w:rPr>
        <w:t>. 2022. № 10 (110). С. 132–136. DOI: 10.32839/2304-5809/2022-10-110-26.</w:t>
      </w:r>
    </w:p>
    <w:p w14:paraId="6B8ABE6D" w14:textId="28063163" w:rsidR="00A756A3" w:rsidRPr="00D6691F" w:rsidRDefault="00A756A3" w:rsidP="00F051CF">
      <w:pPr>
        <w:numPr>
          <w:ilvl w:val="0"/>
          <w:numId w:val="2"/>
        </w:numPr>
        <w:spacing w:after="0" w:line="360" w:lineRule="auto"/>
        <w:contextualSpacing/>
        <w:jc w:val="both"/>
        <w:rPr>
          <w:rFonts w:ascii="Times New Roman" w:eastAsia="Times New Roman" w:hAnsi="Times New Roman" w:cs="Times New Roman"/>
          <w:sz w:val="28"/>
          <w:szCs w:val="28"/>
        </w:rPr>
      </w:pPr>
      <w:r w:rsidRPr="00D6691F">
        <w:rPr>
          <w:rFonts w:ascii="Times New Roman" w:eastAsia="Times New Roman" w:hAnsi="Times New Roman" w:cs="Times New Roman"/>
          <w:sz w:val="28"/>
          <w:szCs w:val="28"/>
        </w:rPr>
        <w:t>Селіванова О.О. Сучасна лінгвістика: термінологічна енциклопедія.  Полтава: Довкілля - К., 2006.  716 с.</w:t>
      </w:r>
    </w:p>
    <w:p w14:paraId="10A16EB8" w14:textId="0E7909E4" w:rsidR="00C31B1F" w:rsidRPr="00D6691F" w:rsidRDefault="00C31B1F" w:rsidP="00F051CF">
      <w:pPr>
        <w:numPr>
          <w:ilvl w:val="0"/>
          <w:numId w:val="2"/>
        </w:numPr>
        <w:spacing w:after="0" w:line="360" w:lineRule="auto"/>
        <w:contextualSpacing/>
        <w:jc w:val="both"/>
        <w:rPr>
          <w:rFonts w:ascii="Times New Roman" w:eastAsia="Times New Roman" w:hAnsi="Times New Roman" w:cs="Times New Roman"/>
          <w:sz w:val="28"/>
          <w:szCs w:val="28"/>
        </w:rPr>
      </w:pPr>
      <w:r w:rsidRPr="00D6691F">
        <w:rPr>
          <w:rFonts w:ascii="Times New Roman" w:hAnsi="Times New Roman" w:cs="Times New Roman"/>
          <w:sz w:val="28"/>
          <w:szCs w:val="28"/>
        </w:rPr>
        <w:lastRenderedPageBreak/>
        <w:t xml:space="preserve">Скакун А. Особливості перекладу англійських термінів українською мовою (на основі статті «Cognitive Approaches» Фабіо Альвеса та Ампаро Уртадо Альбіра). </w:t>
      </w:r>
      <w:r w:rsidRPr="00D6691F">
        <w:rPr>
          <w:rStyle w:val="a7"/>
          <w:rFonts w:ascii="Times New Roman" w:hAnsi="Times New Roman" w:cs="Times New Roman"/>
          <w:sz w:val="28"/>
          <w:szCs w:val="28"/>
        </w:rPr>
        <w:t>Молодий вчений</w:t>
      </w:r>
      <w:r w:rsidRPr="00D6691F">
        <w:rPr>
          <w:rFonts w:ascii="Times New Roman" w:hAnsi="Times New Roman" w:cs="Times New Roman"/>
          <w:sz w:val="28"/>
          <w:szCs w:val="28"/>
        </w:rPr>
        <w:t xml:space="preserve">. 2021. № 10 (98). С. 88–92. DOI: </w:t>
      </w:r>
      <w:hyperlink r:id="rId16" w:tgtFrame="_new" w:history="1">
        <w:r w:rsidRPr="00D6691F">
          <w:rPr>
            <w:rStyle w:val="a6"/>
            <w:rFonts w:ascii="Times New Roman" w:hAnsi="Times New Roman" w:cs="Times New Roman"/>
            <w:color w:val="auto"/>
            <w:sz w:val="28"/>
            <w:szCs w:val="28"/>
          </w:rPr>
          <w:t>http://dx.doi.org/10.32839/2304-5809/2021-10-98-22</w:t>
        </w:r>
      </w:hyperlink>
    </w:p>
    <w:p w14:paraId="547D2B52" w14:textId="6AA66B93" w:rsidR="00C31B1F" w:rsidRPr="00D6691F" w:rsidRDefault="00C31B1F" w:rsidP="00F051CF">
      <w:pPr>
        <w:numPr>
          <w:ilvl w:val="0"/>
          <w:numId w:val="2"/>
        </w:numPr>
        <w:spacing w:after="0" w:line="360" w:lineRule="auto"/>
        <w:contextualSpacing/>
        <w:jc w:val="both"/>
        <w:rPr>
          <w:rFonts w:ascii="Times New Roman" w:eastAsia="Times New Roman" w:hAnsi="Times New Roman" w:cs="Times New Roman"/>
          <w:sz w:val="28"/>
          <w:szCs w:val="28"/>
        </w:rPr>
      </w:pPr>
      <w:r w:rsidRPr="00D6691F">
        <w:rPr>
          <w:rFonts w:ascii="Times New Roman" w:hAnsi="Times New Roman" w:cs="Times New Roman"/>
          <w:sz w:val="28"/>
          <w:szCs w:val="28"/>
        </w:rPr>
        <w:t xml:space="preserve">Тимощук Н. М. Англійські неологізми у сфері інформаційних технологій: словотвірний аспект. </w:t>
      </w:r>
      <w:r w:rsidRPr="00D6691F">
        <w:rPr>
          <w:rStyle w:val="a7"/>
          <w:rFonts w:ascii="Times New Roman" w:hAnsi="Times New Roman" w:cs="Times New Roman"/>
          <w:sz w:val="28"/>
          <w:szCs w:val="28"/>
        </w:rPr>
        <w:t>Nova filolohiia</w:t>
      </w:r>
      <w:r w:rsidRPr="00D6691F">
        <w:rPr>
          <w:rFonts w:ascii="Times New Roman" w:hAnsi="Times New Roman" w:cs="Times New Roman"/>
          <w:sz w:val="28"/>
          <w:szCs w:val="28"/>
        </w:rPr>
        <w:t xml:space="preserve">. 2023. № 89. С. 228–233. DOI: </w:t>
      </w:r>
      <w:hyperlink r:id="rId17" w:tgtFrame="_new" w:history="1">
        <w:r w:rsidRPr="00D6691F">
          <w:rPr>
            <w:rStyle w:val="a6"/>
            <w:rFonts w:ascii="Times New Roman" w:hAnsi="Times New Roman" w:cs="Times New Roman"/>
            <w:color w:val="auto"/>
            <w:sz w:val="28"/>
            <w:szCs w:val="28"/>
          </w:rPr>
          <w:t>http://dx.doi.org/10.26661/2414-1135-2023-89-33</w:t>
        </w:r>
      </w:hyperlink>
    </w:p>
    <w:p w14:paraId="6D7111AA" w14:textId="5F6E36CC" w:rsidR="00BA16AF" w:rsidRPr="00D6691F" w:rsidRDefault="00BA16AF" w:rsidP="00F051CF">
      <w:pPr>
        <w:numPr>
          <w:ilvl w:val="0"/>
          <w:numId w:val="2"/>
        </w:numPr>
        <w:spacing w:after="0" w:line="360" w:lineRule="auto"/>
        <w:contextualSpacing/>
        <w:jc w:val="both"/>
        <w:rPr>
          <w:rFonts w:ascii="Times New Roman" w:eastAsia="Times New Roman" w:hAnsi="Times New Roman" w:cs="Times New Roman"/>
          <w:sz w:val="28"/>
          <w:szCs w:val="28"/>
        </w:rPr>
      </w:pPr>
      <w:r w:rsidRPr="00D6691F">
        <w:rPr>
          <w:rFonts w:ascii="Times New Roman" w:hAnsi="Times New Roman" w:cs="Times New Roman"/>
          <w:sz w:val="28"/>
          <w:szCs w:val="28"/>
        </w:rPr>
        <w:t xml:space="preserve">Требик О., Полторацька А., Капітон А. CAT-інструменти та їх місце у структурі підготовки майбутніх перекладачів. </w:t>
      </w:r>
      <w:r w:rsidRPr="00D6691F">
        <w:rPr>
          <w:rStyle w:val="a7"/>
          <w:rFonts w:ascii="Times New Roman" w:hAnsi="Times New Roman" w:cs="Times New Roman"/>
          <w:sz w:val="28"/>
          <w:szCs w:val="28"/>
        </w:rPr>
        <w:t>Наукові праці Міжрегіональної Академії управління персоналом. Філологія</w:t>
      </w:r>
      <w:r w:rsidRPr="00D6691F">
        <w:rPr>
          <w:rFonts w:ascii="Times New Roman" w:hAnsi="Times New Roman" w:cs="Times New Roman"/>
          <w:sz w:val="28"/>
          <w:szCs w:val="28"/>
        </w:rPr>
        <w:t>. 2023. № 1. С. 57–63. DOI: 10.32689/maup.philol.2023.1.9.</w:t>
      </w:r>
    </w:p>
    <w:p w14:paraId="22392839" w14:textId="0B5C84AB" w:rsidR="00BA16AF" w:rsidRPr="00D6691F" w:rsidRDefault="00BA16AF" w:rsidP="00F051CF">
      <w:pPr>
        <w:numPr>
          <w:ilvl w:val="0"/>
          <w:numId w:val="2"/>
        </w:numPr>
        <w:spacing w:after="0" w:line="360" w:lineRule="auto"/>
        <w:contextualSpacing/>
        <w:jc w:val="both"/>
        <w:rPr>
          <w:rFonts w:ascii="Times New Roman" w:eastAsia="Times New Roman" w:hAnsi="Times New Roman" w:cs="Times New Roman"/>
          <w:sz w:val="28"/>
          <w:szCs w:val="28"/>
        </w:rPr>
      </w:pPr>
      <w:r w:rsidRPr="00D6691F">
        <w:rPr>
          <w:rFonts w:ascii="Times New Roman" w:hAnsi="Times New Roman" w:cs="Times New Roman"/>
          <w:sz w:val="28"/>
          <w:szCs w:val="28"/>
        </w:rPr>
        <w:t xml:space="preserve">Харицька С., Колісниченко А., Конопляник Л. Національна складова стандартизації перекладних словників у процесі формування національної термінології і галузевих наукових тезаурусів. </w:t>
      </w:r>
      <w:r w:rsidRPr="00D6691F">
        <w:rPr>
          <w:rStyle w:val="a7"/>
          <w:rFonts w:ascii="Times New Roman" w:hAnsi="Times New Roman" w:cs="Times New Roman"/>
          <w:sz w:val="28"/>
          <w:szCs w:val="28"/>
        </w:rPr>
        <w:t>Науковий вісник Вінницької академії безперервної освіти. Серія «Педагогіка. Психологія»</w:t>
      </w:r>
      <w:r w:rsidRPr="00D6691F">
        <w:rPr>
          <w:rFonts w:ascii="Times New Roman" w:hAnsi="Times New Roman" w:cs="Times New Roman"/>
          <w:sz w:val="28"/>
          <w:szCs w:val="28"/>
        </w:rPr>
        <w:t>. 2025. № 7. С. 246–253. DOI: 10.32782/academ-ped.psyh-2025-1.33.</w:t>
      </w:r>
    </w:p>
    <w:p w14:paraId="775A3815" w14:textId="6B42542F" w:rsidR="00C31B1F" w:rsidRPr="00D6691F" w:rsidRDefault="00C31B1F" w:rsidP="00F051CF">
      <w:pPr>
        <w:numPr>
          <w:ilvl w:val="0"/>
          <w:numId w:val="2"/>
        </w:numPr>
        <w:spacing w:after="0" w:line="360" w:lineRule="auto"/>
        <w:contextualSpacing/>
        <w:jc w:val="both"/>
        <w:rPr>
          <w:rFonts w:ascii="Times New Roman" w:eastAsia="Times New Roman" w:hAnsi="Times New Roman" w:cs="Times New Roman"/>
          <w:sz w:val="28"/>
          <w:szCs w:val="28"/>
        </w:rPr>
      </w:pPr>
      <w:r w:rsidRPr="00D6691F">
        <w:rPr>
          <w:rFonts w:ascii="Times New Roman" w:hAnsi="Times New Roman" w:cs="Times New Roman"/>
          <w:sz w:val="28"/>
          <w:szCs w:val="28"/>
        </w:rPr>
        <w:t xml:space="preserve">Ходєєв Н. П., Овчинников М. О. Анотвання і реферування наукових текстів. 2021. DOI: </w:t>
      </w:r>
      <w:hyperlink r:id="rId18" w:tgtFrame="_new" w:history="1">
        <w:r w:rsidRPr="00D6691F">
          <w:rPr>
            <w:rStyle w:val="a6"/>
            <w:rFonts w:ascii="Times New Roman" w:hAnsi="Times New Roman" w:cs="Times New Roman"/>
            <w:color w:val="auto"/>
            <w:sz w:val="28"/>
            <w:szCs w:val="28"/>
          </w:rPr>
          <w:t>https://doi.org/10.5281/zenodo.4763152</w:t>
        </w:r>
      </w:hyperlink>
    </w:p>
    <w:p w14:paraId="566E12C0" w14:textId="3B519C95" w:rsidR="0081513D" w:rsidRPr="00D6691F" w:rsidRDefault="0081513D" w:rsidP="00F051CF">
      <w:pPr>
        <w:pStyle w:val="a3"/>
        <w:numPr>
          <w:ilvl w:val="0"/>
          <w:numId w:val="2"/>
        </w:numPr>
        <w:spacing w:before="0" w:beforeAutospacing="0" w:after="0" w:afterAutospacing="0" w:line="360" w:lineRule="auto"/>
        <w:jc w:val="both"/>
        <w:rPr>
          <w:sz w:val="28"/>
          <w:szCs w:val="28"/>
        </w:rPr>
      </w:pPr>
      <w:r w:rsidRPr="00D6691F">
        <w:rPr>
          <w:sz w:val="28"/>
          <w:szCs w:val="28"/>
        </w:rPr>
        <w:t>Циткіна Ф. О. Термінологія й переклад. Львів : ВЛІ, 1988. 35 с.</w:t>
      </w:r>
    </w:p>
    <w:p w14:paraId="44F0C331" w14:textId="35A9F0A5" w:rsidR="00C31B1F" w:rsidRPr="00D6691F" w:rsidRDefault="00C31B1F" w:rsidP="00F051CF">
      <w:pPr>
        <w:pStyle w:val="a3"/>
        <w:numPr>
          <w:ilvl w:val="0"/>
          <w:numId w:val="2"/>
        </w:numPr>
        <w:spacing w:before="0" w:beforeAutospacing="0" w:after="0" w:afterAutospacing="0" w:line="360" w:lineRule="auto"/>
        <w:jc w:val="both"/>
        <w:rPr>
          <w:sz w:val="28"/>
          <w:szCs w:val="28"/>
        </w:rPr>
      </w:pPr>
      <w:r w:rsidRPr="00D6691F">
        <w:rPr>
          <w:sz w:val="28"/>
          <w:szCs w:val="28"/>
        </w:rPr>
        <w:t xml:space="preserve">Bondarchuk O., Lysetska N., Pasyk L. Translation as cultural transfer (artistic, scientific, technical and media discourse). </w:t>
      </w:r>
      <w:r w:rsidRPr="00D6691F">
        <w:rPr>
          <w:rStyle w:val="a7"/>
          <w:sz w:val="28"/>
          <w:szCs w:val="28"/>
        </w:rPr>
        <w:t>Naukovì zapiski Nacìonalʹnogo unìversitetu «Ostrozʹka akademìâ». Serìâ «Fìlologìâ»</w:t>
      </w:r>
      <w:r w:rsidRPr="00D6691F">
        <w:rPr>
          <w:sz w:val="28"/>
          <w:szCs w:val="28"/>
        </w:rPr>
        <w:t xml:space="preserve">. 2021. № 12(80). С. 126–130. DOI: </w:t>
      </w:r>
      <w:hyperlink r:id="rId19" w:tgtFrame="_new" w:history="1">
        <w:r w:rsidRPr="00D6691F">
          <w:rPr>
            <w:rStyle w:val="a6"/>
            <w:color w:val="auto"/>
            <w:sz w:val="28"/>
            <w:szCs w:val="28"/>
          </w:rPr>
          <w:t>http://dx.doi.org/10.25264/2519-2558-2021-12(80)-126-130</w:t>
        </w:r>
      </w:hyperlink>
    </w:p>
    <w:p w14:paraId="5381AD87" w14:textId="76FB01D6" w:rsidR="00930C0A" w:rsidRPr="00D6691F" w:rsidRDefault="00930C0A" w:rsidP="00F051CF">
      <w:pPr>
        <w:pStyle w:val="a3"/>
        <w:numPr>
          <w:ilvl w:val="0"/>
          <w:numId w:val="2"/>
        </w:numPr>
        <w:spacing w:before="0" w:beforeAutospacing="0" w:after="0" w:afterAutospacing="0" w:line="360" w:lineRule="auto"/>
        <w:jc w:val="both"/>
        <w:rPr>
          <w:sz w:val="28"/>
          <w:szCs w:val="28"/>
        </w:rPr>
      </w:pPr>
      <w:r w:rsidRPr="00D6691F">
        <w:rPr>
          <w:sz w:val="28"/>
          <w:szCs w:val="28"/>
        </w:rPr>
        <w:t xml:space="preserve">Strochenko L.V., Tomchakovska Yu.O., Yeryomenko S.V., Shvelidze L.D. Specifics of translating police reports and witness statements. Вісник науки та освіти (Серія «Філологія). 2025. № 10(40). С. 140-150 </w:t>
      </w:r>
      <w:hyperlink r:id="rId20" w:history="1">
        <w:r w:rsidRPr="00D6691F">
          <w:rPr>
            <w:rStyle w:val="a6"/>
            <w:color w:val="auto"/>
            <w:sz w:val="28"/>
            <w:szCs w:val="28"/>
          </w:rPr>
          <w:t>https://doi.org/10.52058/2786-6165-2025-10(40)-140-150</w:t>
        </w:r>
      </w:hyperlink>
      <w:r w:rsidRPr="00D6691F">
        <w:rPr>
          <w:sz w:val="28"/>
          <w:szCs w:val="28"/>
        </w:rPr>
        <w:t> </w:t>
      </w:r>
    </w:p>
    <w:p w14:paraId="24B62DF0" w14:textId="77777777" w:rsidR="000B301B" w:rsidRPr="00D6691F" w:rsidRDefault="000B301B" w:rsidP="00F051CF">
      <w:pPr>
        <w:pStyle w:val="a5"/>
        <w:numPr>
          <w:ilvl w:val="0"/>
          <w:numId w:val="2"/>
        </w:numPr>
        <w:spacing w:line="360" w:lineRule="auto"/>
        <w:jc w:val="both"/>
        <w:outlineLvl w:val="0"/>
        <w:rPr>
          <w:rFonts w:ascii="Times New Roman" w:hAnsi="Times New Roman" w:cs="Times New Roman"/>
          <w:sz w:val="28"/>
          <w:szCs w:val="28"/>
        </w:rPr>
      </w:pPr>
      <w:r w:rsidRPr="00D6691F">
        <w:rPr>
          <w:rFonts w:ascii="Times New Roman" w:hAnsi="Times New Roman" w:cs="Times New Roman"/>
          <w:sz w:val="28"/>
          <w:szCs w:val="28"/>
          <w:lang w:val="en-US"/>
        </w:rPr>
        <w:lastRenderedPageBreak/>
        <w:t>Strochenko</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en-US"/>
        </w:rPr>
        <w:t>L</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en-US"/>
        </w:rPr>
        <w:t>Methodology</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en-US"/>
        </w:rPr>
        <w:t>of</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en-US"/>
        </w:rPr>
        <w:t>philological</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en-US"/>
        </w:rPr>
        <w:t>research</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en-US"/>
        </w:rPr>
        <w:t>trends</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en-US"/>
        </w:rPr>
        <w:t>and</w:t>
      </w:r>
      <w:r w:rsidRPr="00D6691F">
        <w:rPr>
          <w:rFonts w:ascii="Times New Roman" w:hAnsi="Times New Roman" w:cs="Times New Roman"/>
          <w:sz w:val="28"/>
          <w:szCs w:val="28"/>
        </w:rPr>
        <w:t xml:space="preserve"> </w:t>
      </w:r>
      <w:r w:rsidRPr="00D6691F">
        <w:rPr>
          <w:rFonts w:ascii="Times New Roman" w:hAnsi="Times New Roman" w:cs="Times New Roman"/>
          <w:sz w:val="28"/>
          <w:szCs w:val="28"/>
          <w:lang w:val="en-US"/>
        </w:rPr>
        <w:t xml:space="preserve">perspectives. </w:t>
      </w:r>
      <w:r w:rsidRPr="00D6691F">
        <w:rPr>
          <w:rFonts w:ascii="Times New Roman" w:hAnsi="Times New Roman" w:cs="Times New Roman"/>
          <w:i/>
          <w:iCs/>
          <w:sz w:val="28"/>
          <w:szCs w:val="28"/>
        </w:rPr>
        <w:t>Академічні студії з філології : матеріали ІІI Міжнародної науково-практичної конференції (27 листопада 2024 р.)</w:t>
      </w:r>
      <w:r w:rsidRPr="00D6691F">
        <w:rPr>
          <w:rFonts w:ascii="Times New Roman" w:hAnsi="Times New Roman" w:cs="Times New Roman"/>
          <w:sz w:val="28"/>
          <w:szCs w:val="28"/>
        </w:rPr>
        <w:t xml:space="preserve"> / за загальною редакцією к. філол. н., доц. Ю. О. Томчаковської; Національний університет «Одеська юридична академія». Університетська книга, 2025. С. 101-103.  </w:t>
      </w:r>
    </w:p>
    <w:p w14:paraId="4C7E84A6" w14:textId="3BD14FD2" w:rsidR="00C31B1F" w:rsidRPr="00D6691F" w:rsidRDefault="00C31B1F" w:rsidP="00F051CF">
      <w:pPr>
        <w:pStyle w:val="a3"/>
        <w:numPr>
          <w:ilvl w:val="0"/>
          <w:numId w:val="2"/>
        </w:numPr>
        <w:spacing w:before="0" w:beforeAutospacing="0" w:after="0" w:afterAutospacing="0" w:line="360" w:lineRule="auto"/>
        <w:jc w:val="both"/>
        <w:rPr>
          <w:sz w:val="28"/>
          <w:szCs w:val="28"/>
        </w:rPr>
      </w:pPr>
      <w:r w:rsidRPr="00D6691F">
        <w:rPr>
          <w:sz w:val="28"/>
          <w:szCs w:val="28"/>
        </w:rPr>
        <w:t xml:space="preserve">Vasylyeva N. V. “Scientific and technological progress” in the 1920–30’s Ukrainian literary translations (based on the abridged and free translations by E. Zbars’ka). </w:t>
      </w:r>
      <w:r w:rsidRPr="00D6691F">
        <w:rPr>
          <w:rStyle w:val="a7"/>
          <w:sz w:val="28"/>
          <w:szCs w:val="28"/>
        </w:rPr>
        <w:t>Science and Education a New Dimension</w:t>
      </w:r>
      <w:r w:rsidRPr="00D6691F">
        <w:rPr>
          <w:sz w:val="28"/>
          <w:szCs w:val="28"/>
        </w:rPr>
        <w:t xml:space="preserve">. 2018. Т. VI(167), № 50. С. 56–60. DOI: </w:t>
      </w:r>
      <w:hyperlink r:id="rId21" w:tgtFrame="_new" w:history="1">
        <w:r w:rsidRPr="00D6691F">
          <w:rPr>
            <w:rStyle w:val="a6"/>
            <w:color w:val="auto"/>
            <w:sz w:val="28"/>
            <w:szCs w:val="28"/>
          </w:rPr>
          <w:t>http://dx.doi.org/10.31174/send-ph2018-167vi50-14</w:t>
        </w:r>
      </w:hyperlink>
    </w:p>
    <w:p w14:paraId="74B440AC" w14:textId="77777777" w:rsidR="00910904" w:rsidRPr="00D6691F" w:rsidRDefault="00910904" w:rsidP="00F051CF">
      <w:pPr>
        <w:spacing w:after="0" w:line="360" w:lineRule="auto"/>
        <w:ind w:left="924"/>
        <w:contextualSpacing/>
        <w:jc w:val="both"/>
        <w:rPr>
          <w:rFonts w:ascii="Times New Roman" w:hAnsi="Times New Roman" w:cs="Times New Roman"/>
          <w:b/>
          <w:bCs/>
          <w:sz w:val="28"/>
          <w:szCs w:val="28"/>
          <w:lang w:val="uk-UA"/>
        </w:rPr>
      </w:pPr>
    </w:p>
    <w:p w14:paraId="0DC939E1" w14:textId="58C76681" w:rsidR="00910904" w:rsidRPr="00D6691F" w:rsidRDefault="00910904" w:rsidP="00F051CF">
      <w:pPr>
        <w:spacing w:after="0" w:line="360" w:lineRule="auto"/>
        <w:ind w:left="924"/>
        <w:contextualSpacing/>
        <w:jc w:val="both"/>
        <w:rPr>
          <w:rFonts w:ascii="Times New Roman" w:eastAsia="Times New Roman" w:hAnsi="Times New Roman" w:cs="Times New Roman"/>
          <w:b/>
          <w:bCs/>
          <w:sz w:val="28"/>
          <w:szCs w:val="28"/>
          <w:lang w:val="uk-UA"/>
        </w:rPr>
      </w:pPr>
      <w:r w:rsidRPr="00D6691F">
        <w:rPr>
          <w:rFonts w:ascii="Times New Roman" w:hAnsi="Times New Roman" w:cs="Times New Roman"/>
          <w:b/>
          <w:bCs/>
          <w:sz w:val="28"/>
          <w:szCs w:val="28"/>
          <w:lang w:val="uk-UA"/>
        </w:rPr>
        <w:t>Довідкові джерела</w:t>
      </w:r>
    </w:p>
    <w:p w14:paraId="541F7E3E" w14:textId="6F893B11" w:rsidR="00FD07D1" w:rsidRPr="00D6691F" w:rsidRDefault="00FD07D1"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Великий англо-український словник / за редакцією М.В. Адамчика. Київ : Вища школа, 1999. 1597 с. </w:t>
      </w:r>
    </w:p>
    <w:p w14:paraId="7EABF8D4" w14:textId="1D0D9805" w:rsidR="00C31B1F" w:rsidRPr="00D6691F" w:rsidRDefault="00C31B1F" w:rsidP="00F051CF">
      <w:pPr>
        <w:pStyle w:val="a5"/>
        <w:numPr>
          <w:ilvl w:val="0"/>
          <w:numId w:val="2"/>
        </w:numPr>
        <w:spacing w:after="0" w:line="360" w:lineRule="auto"/>
        <w:jc w:val="both"/>
        <w:rPr>
          <w:rFonts w:ascii="Times New Roman" w:hAnsi="Times New Roman" w:cs="Times New Roman"/>
          <w:sz w:val="28"/>
          <w:szCs w:val="28"/>
        </w:rPr>
      </w:pPr>
      <w:r w:rsidRPr="00D6691F">
        <w:rPr>
          <w:rFonts w:ascii="Times New Roman" w:hAnsi="Times New Roman" w:cs="Times New Roman"/>
          <w:sz w:val="28"/>
          <w:szCs w:val="28"/>
        </w:rPr>
        <w:t xml:space="preserve">Крамар Н. А. </w:t>
      </w:r>
      <w:r w:rsidRPr="00D6691F">
        <w:rPr>
          <w:rStyle w:val="a7"/>
          <w:rFonts w:ascii="Times New Roman" w:hAnsi="Times New Roman" w:cs="Times New Roman"/>
          <w:sz w:val="28"/>
          <w:szCs w:val="28"/>
        </w:rPr>
        <w:t>Словник англомовних неологізмів XXI століття.</w:t>
      </w:r>
      <w:r w:rsidRPr="00D6691F">
        <w:rPr>
          <w:rFonts w:ascii="Times New Roman" w:hAnsi="Times New Roman" w:cs="Times New Roman"/>
          <w:sz w:val="28"/>
          <w:szCs w:val="28"/>
        </w:rPr>
        <w:t xml:space="preserve"> НАН України, Центр наукових досліджень та викладання іноземних мов. Київ : Інтерсервіс, 2022. 240 с. </w:t>
      </w:r>
    </w:p>
    <w:p w14:paraId="66641FDB" w14:textId="19AC21EC" w:rsidR="006F4F6A" w:rsidRPr="00D6691F" w:rsidRDefault="006F4F6A" w:rsidP="00F051CF">
      <w:pPr>
        <w:spacing w:after="0" w:line="360" w:lineRule="auto"/>
        <w:ind w:firstLine="709"/>
        <w:jc w:val="both"/>
        <w:rPr>
          <w:rFonts w:ascii="Times New Roman" w:hAnsi="Times New Roman" w:cs="Times New Roman"/>
          <w:b/>
          <w:bCs/>
          <w:sz w:val="28"/>
          <w:szCs w:val="28"/>
          <w:lang w:val="uk-UA"/>
        </w:rPr>
      </w:pPr>
      <w:r w:rsidRPr="00D6691F">
        <w:rPr>
          <w:rFonts w:ascii="Times New Roman" w:hAnsi="Times New Roman" w:cs="Times New Roman"/>
          <w:b/>
          <w:bCs/>
          <w:sz w:val="28"/>
          <w:szCs w:val="28"/>
          <w:lang w:val="uk-UA"/>
        </w:rPr>
        <w:t>Матеріал дослідження</w:t>
      </w:r>
    </w:p>
    <w:p w14:paraId="7B9E0956" w14:textId="178C60AC" w:rsidR="00884CEE" w:rsidRPr="00D6691F" w:rsidRDefault="00884CEE" w:rsidP="00F051CF">
      <w:pPr>
        <w:pStyle w:val="a5"/>
        <w:numPr>
          <w:ilvl w:val="0"/>
          <w:numId w:val="2"/>
        </w:numPr>
        <w:spacing w:after="0" w:line="360" w:lineRule="auto"/>
        <w:jc w:val="both"/>
        <w:rPr>
          <w:rFonts w:ascii="Times New Roman" w:hAnsi="Times New Roman" w:cs="Times New Roman"/>
          <w:b/>
          <w:bCs/>
          <w:sz w:val="28"/>
          <w:szCs w:val="28"/>
          <w:lang w:val="uk-UA"/>
        </w:rPr>
      </w:pPr>
      <w:r w:rsidRPr="00D6691F">
        <w:rPr>
          <w:rStyle w:val="a4"/>
          <w:rFonts w:ascii="Times New Roman" w:hAnsi="Times New Roman" w:cs="Times New Roman"/>
          <w:b w:val="0"/>
          <w:bCs w:val="0"/>
          <w:sz w:val="28"/>
          <w:szCs w:val="28"/>
        </w:rPr>
        <w:t>Multilingual English, French, Polish to Ukrainian Parallel Corpus</w:t>
      </w:r>
      <w:r w:rsidRPr="00D6691F">
        <w:rPr>
          <w:rFonts w:ascii="Times New Roman" w:hAnsi="Times New Roman" w:cs="Times New Roman"/>
          <w:sz w:val="28"/>
          <w:szCs w:val="28"/>
        </w:rPr>
        <w:t xml:space="preserve"> : паралельний корпус англійських, французьких, польських та українських </w:t>
      </w:r>
      <w:r w:rsidRPr="00D6691F">
        <w:rPr>
          <w:rFonts w:ascii="Times New Roman" w:hAnsi="Times New Roman" w:cs="Times New Roman"/>
          <w:sz w:val="28"/>
          <w:szCs w:val="28"/>
          <w:lang w:val="uk-UA"/>
        </w:rPr>
        <w:t xml:space="preserve">науково-технічних </w:t>
      </w:r>
      <w:r w:rsidRPr="00D6691F">
        <w:rPr>
          <w:rFonts w:ascii="Times New Roman" w:hAnsi="Times New Roman" w:cs="Times New Roman"/>
          <w:sz w:val="28"/>
          <w:szCs w:val="28"/>
        </w:rPr>
        <w:t xml:space="preserve">текстів. European Language Grid; UkrNLP. URL: </w:t>
      </w:r>
      <w:hyperlink r:id="rId22" w:tgtFrame="_new" w:history="1">
        <w:r w:rsidRPr="00D6691F">
          <w:rPr>
            <w:rStyle w:val="a6"/>
            <w:rFonts w:ascii="Times New Roman" w:hAnsi="Times New Roman" w:cs="Times New Roman"/>
            <w:color w:val="auto"/>
            <w:sz w:val="28"/>
            <w:szCs w:val="28"/>
          </w:rPr>
          <w:t>https://live.european-language-grid.eu/</w:t>
        </w:r>
      </w:hyperlink>
      <w:r w:rsidRPr="00D6691F">
        <w:rPr>
          <w:rFonts w:ascii="Times New Roman" w:hAnsi="Times New Roman" w:cs="Times New Roman"/>
          <w:sz w:val="28"/>
          <w:szCs w:val="28"/>
        </w:rPr>
        <w:t xml:space="preserve"> (дата звернення: 26.</w:t>
      </w:r>
      <w:r w:rsidRPr="00D6691F">
        <w:rPr>
          <w:rFonts w:ascii="Times New Roman" w:hAnsi="Times New Roman" w:cs="Times New Roman"/>
          <w:sz w:val="28"/>
          <w:szCs w:val="28"/>
          <w:lang w:val="uk-UA"/>
        </w:rPr>
        <w:t>09</w:t>
      </w:r>
      <w:r w:rsidRPr="00D6691F">
        <w:rPr>
          <w:rFonts w:ascii="Times New Roman" w:hAnsi="Times New Roman" w:cs="Times New Roman"/>
          <w:sz w:val="28"/>
          <w:szCs w:val="28"/>
        </w:rPr>
        <w:t>.2025).</w:t>
      </w:r>
    </w:p>
    <w:p w14:paraId="0E2C2A5A" w14:textId="4ABACEA0" w:rsidR="00FD07D1" w:rsidRPr="00D6691F" w:rsidRDefault="00FD07D1" w:rsidP="00FD07D1">
      <w:pPr>
        <w:pStyle w:val="a5"/>
        <w:spacing w:after="0" w:line="360" w:lineRule="auto"/>
        <w:ind w:left="924"/>
        <w:jc w:val="both"/>
        <w:rPr>
          <w:rFonts w:ascii="Times New Roman" w:hAnsi="Times New Roman" w:cs="Times New Roman"/>
          <w:sz w:val="28"/>
          <w:szCs w:val="28"/>
        </w:rPr>
      </w:pPr>
    </w:p>
    <w:p w14:paraId="339E906F" w14:textId="7F42EF68" w:rsidR="005F6E9D" w:rsidRPr="00D6691F" w:rsidRDefault="005F6E9D" w:rsidP="00EF7E52">
      <w:pPr>
        <w:pStyle w:val="11"/>
        <w:snapToGrid/>
        <w:spacing w:line="360" w:lineRule="auto"/>
        <w:ind w:left="0" w:firstLine="0"/>
        <w:jc w:val="both"/>
        <w:rPr>
          <w:sz w:val="28"/>
          <w:szCs w:val="28"/>
          <w:lang w:val="uk-UA"/>
        </w:rPr>
      </w:pPr>
    </w:p>
    <w:p w14:paraId="29FEBEA1" w14:textId="77777777" w:rsidR="003E332A" w:rsidRPr="00D6691F"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24B3C5" w14:textId="77777777" w:rsidR="003E332A" w:rsidRPr="00D6691F"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4A948E9" w14:textId="77777777" w:rsidR="003E332A" w:rsidRPr="00D6691F"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89D983" w14:textId="3331BEEB" w:rsidR="00A031A7" w:rsidRPr="00D6691F" w:rsidRDefault="00C61025" w:rsidP="00A1167A">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D6691F">
        <w:rPr>
          <w:rFonts w:ascii="Times New Roman" w:eastAsia="Times New Roman" w:hAnsi="Times New Roman" w:cs="Times New Roman"/>
          <w:b/>
          <w:bCs/>
          <w:kern w:val="0"/>
          <w:sz w:val="28"/>
          <w:szCs w:val="28"/>
          <w:lang w:val="uk-UA" w:eastAsia="uk-UA"/>
          <w14:ligatures w14:val="none"/>
        </w:rPr>
        <w:lastRenderedPageBreak/>
        <w:t>Анотація</w:t>
      </w:r>
    </w:p>
    <w:p w14:paraId="45B75EA0" w14:textId="77777777" w:rsidR="00A1167A" w:rsidRPr="00D6691F" w:rsidRDefault="00A1167A"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D0035C5" w14:textId="77777777" w:rsidR="00875ADD" w:rsidRPr="00875ADD" w:rsidRDefault="00875ADD" w:rsidP="00875ADD">
      <w:pPr>
        <w:pStyle w:val="a3"/>
        <w:spacing w:before="0" w:beforeAutospacing="0" w:after="0" w:afterAutospacing="0" w:line="360" w:lineRule="auto"/>
        <w:ind w:firstLine="709"/>
        <w:jc w:val="both"/>
        <w:rPr>
          <w:sz w:val="28"/>
          <w:szCs w:val="28"/>
        </w:rPr>
      </w:pPr>
      <w:r w:rsidRPr="00875ADD">
        <w:rPr>
          <w:sz w:val="28"/>
          <w:szCs w:val="28"/>
        </w:rPr>
        <w:t>Кваліфікаційна робота присвячена комплексному аналізу перекладу англомовної науково-технічної та медико-технічної документації українською мовою з урахуванням стилістичних, синтаксичних, термінологічних та нормативних особливостей цього типу дискурсу. В роботі узагальнено теоретичні засади науково-технічного стилю англійської мови, охарактеризовано специфіку формування технічної термінології, особливості синтаксичних моделей та жанрово-комунікативні параметри інструктивних, експлуатаційних і медико-технічних текстів. Здійснено детальний стилістичний аналіз реальних англомовних фрагментів, що дало змогу виявити закономірності використання багатокомпонентних атрибутивних ланцюгів, пасивних конструкцій, номіналізацій та імперативних структур, а також визначити їхню роль у створенні точного й стандартизованого науково-технічного викладу.</w:t>
      </w:r>
    </w:p>
    <w:p w14:paraId="6C1B9F0E" w14:textId="77777777" w:rsidR="00875ADD" w:rsidRPr="00875ADD" w:rsidRDefault="00875ADD" w:rsidP="00875ADD">
      <w:pPr>
        <w:pStyle w:val="a3"/>
        <w:spacing w:before="0" w:beforeAutospacing="0" w:after="0" w:afterAutospacing="0" w:line="360" w:lineRule="auto"/>
        <w:ind w:firstLine="709"/>
        <w:jc w:val="both"/>
        <w:rPr>
          <w:sz w:val="28"/>
          <w:szCs w:val="28"/>
        </w:rPr>
      </w:pPr>
      <w:r w:rsidRPr="00875ADD">
        <w:rPr>
          <w:sz w:val="28"/>
          <w:szCs w:val="28"/>
        </w:rPr>
        <w:t>У практичній частині дослідження проаналізовано способи відтворення термінологічної лексики, синтаксичних моделей та інструктивних формулювань українською мовою. Встановлено, що переклад технічної й медико-технічної документації потребує системних стилістичних трансформацій, серед яких деталізація, конкретизація, редукція, нейтралізація, компенсація, перебудова структури речення та гармонізація подвійної термінології. Значне місце у дослідженні відведено проблемі відповідності перекладу нормативним вимогам українського науково-технічного дискурсу, що передбачає уніфікацію термінів згідно з ДСТУ, коректне відтворення попереджувальних маркерів, адаптацію імперативних конструкцій та дотримання структурно-комунікативних стандартів технічної документації.</w:t>
      </w:r>
    </w:p>
    <w:p w14:paraId="7AB1C9C7" w14:textId="77777777" w:rsidR="00875ADD" w:rsidRPr="00875ADD" w:rsidRDefault="00875ADD" w:rsidP="00875ADD">
      <w:pPr>
        <w:pStyle w:val="a3"/>
        <w:spacing w:before="0" w:beforeAutospacing="0" w:after="0" w:afterAutospacing="0" w:line="360" w:lineRule="auto"/>
        <w:ind w:firstLine="709"/>
        <w:jc w:val="both"/>
        <w:rPr>
          <w:sz w:val="28"/>
          <w:szCs w:val="28"/>
        </w:rPr>
      </w:pPr>
      <w:r w:rsidRPr="00875ADD">
        <w:rPr>
          <w:sz w:val="28"/>
          <w:szCs w:val="28"/>
        </w:rPr>
        <w:t xml:space="preserve">Результати роботи узагальнено у вигляді системи критеріїв і стратегій, необхідних для забезпечення точності, однозначності та інструктивної цінності перекладу. Доведено, що ефективний переклад науково-технічних і медико-технічних текстів можливий лише за умови поєднання лінгвістичної, </w:t>
      </w:r>
      <w:r w:rsidRPr="00875ADD">
        <w:rPr>
          <w:sz w:val="28"/>
          <w:szCs w:val="28"/>
        </w:rPr>
        <w:lastRenderedPageBreak/>
        <w:t>професійної та нормативної компетентності перекладача. Отримані висновки можуть бути використані в професійній перекладацькій практиці, у процесі підготовки майбутніх фахівців з технічного перекладу, а також як методологічне підґрунтя для подальших досліджень у галузі технічної комунікації та перекладознавства.</w:t>
      </w:r>
    </w:p>
    <w:p w14:paraId="0A1FD6D6" w14:textId="2FD404AC" w:rsidR="00875ADD" w:rsidRPr="00875ADD" w:rsidRDefault="00875ADD" w:rsidP="00875ADD">
      <w:pPr>
        <w:pStyle w:val="1"/>
        <w:spacing w:before="0" w:line="360" w:lineRule="auto"/>
        <w:ind w:firstLine="709"/>
        <w:jc w:val="both"/>
        <w:rPr>
          <w:rFonts w:ascii="Times New Roman" w:hAnsi="Times New Roman" w:cs="Times New Roman"/>
          <w:color w:val="auto"/>
          <w:sz w:val="28"/>
          <w:szCs w:val="28"/>
        </w:rPr>
      </w:pPr>
      <w:r w:rsidRPr="00875ADD">
        <w:rPr>
          <w:rStyle w:val="a4"/>
          <w:rFonts w:ascii="Times New Roman" w:hAnsi="Times New Roman" w:cs="Times New Roman"/>
          <w:b w:val="0"/>
          <w:bCs w:val="0"/>
          <w:color w:val="auto"/>
          <w:sz w:val="28"/>
          <w:szCs w:val="28"/>
        </w:rPr>
        <w:t>Ключові слова</w:t>
      </w:r>
      <w:r w:rsidRPr="00875ADD">
        <w:rPr>
          <w:rStyle w:val="a4"/>
          <w:rFonts w:ascii="Times New Roman" w:hAnsi="Times New Roman" w:cs="Times New Roman"/>
          <w:b w:val="0"/>
          <w:bCs w:val="0"/>
          <w:color w:val="auto"/>
          <w:sz w:val="28"/>
          <w:szCs w:val="28"/>
          <w:lang w:val="uk-UA"/>
        </w:rPr>
        <w:t xml:space="preserve">: </w:t>
      </w:r>
      <w:r w:rsidRPr="00875ADD">
        <w:rPr>
          <w:rFonts w:ascii="Times New Roman" w:hAnsi="Times New Roman" w:cs="Times New Roman"/>
          <w:color w:val="auto"/>
          <w:sz w:val="28"/>
          <w:szCs w:val="28"/>
        </w:rPr>
        <w:t>науково-технічний дискурс, технічний переклад, медико-технічні тексти, термінологія, стилістичні трансформації, синтаксична адаптація, інструктивні конструкції, нормативність перекладу, технічна документація.</w:t>
      </w:r>
    </w:p>
    <w:p w14:paraId="2C68FFBE" w14:textId="52264F64" w:rsidR="00A1167A" w:rsidRDefault="00A1167A"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2C08F77" w14:textId="504C7D6E"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174BD74" w14:textId="1694D27A"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65B42CC" w14:textId="561E79F4"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A396A6B" w14:textId="37B4707A"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04BB77D" w14:textId="13CAEE9C"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3092FD" w14:textId="4183D637"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9BDE1CE" w14:textId="048C9646"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06DA76A" w14:textId="29BC58E3"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9AACBF7" w14:textId="685F91DA"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56B5135" w14:textId="71171F24"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F128D75" w14:textId="25C99234"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0FAA06B" w14:textId="69E9064E"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BA3CB95" w14:textId="45C5E686"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42982E3" w14:textId="578F20FF"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8F1AB02" w14:textId="5A3A336F"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5D3FCA6" w14:textId="30901F2F"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4090E5D" w14:textId="0A78D9C9"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94798E2" w14:textId="2AC0FE07"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8DE29E9" w14:textId="0DFAA18B"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314196D" w14:textId="152052D3" w:rsidR="00875ADD" w:rsidRDefault="00875ADD"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FDFCD48" w14:textId="77777777" w:rsidR="00875ADD" w:rsidRPr="00875ADD" w:rsidRDefault="00875ADD" w:rsidP="00875ADD">
      <w:pPr>
        <w:pStyle w:val="1"/>
        <w:spacing w:before="0" w:line="360" w:lineRule="auto"/>
        <w:ind w:firstLine="709"/>
        <w:jc w:val="center"/>
        <w:rPr>
          <w:rFonts w:ascii="Times New Roman" w:hAnsi="Times New Roman" w:cs="Times New Roman"/>
          <w:color w:val="auto"/>
          <w:kern w:val="36"/>
          <w:sz w:val="28"/>
          <w:szCs w:val="28"/>
          <w:lang w:val="uk-UA"/>
          <w14:ligatures w14:val="none"/>
        </w:rPr>
      </w:pPr>
      <w:r w:rsidRPr="00875ADD">
        <w:rPr>
          <w:rStyle w:val="a4"/>
          <w:rFonts w:ascii="Times New Roman" w:hAnsi="Times New Roman" w:cs="Times New Roman"/>
          <w:color w:val="auto"/>
          <w:sz w:val="28"/>
          <w:szCs w:val="28"/>
        </w:rPr>
        <w:lastRenderedPageBreak/>
        <w:t>Abstract</w:t>
      </w:r>
    </w:p>
    <w:p w14:paraId="16D238B9" w14:textId="77777777" w:rsidR="00875ADD" w:rsidRDefault="00875ADD" w:rsidP="00875ADD">
      <w:pPr>
        <w:pStyle w:val="a3"/>
        <w:spacing w:before="0" w:beforeAutospacing="0" w:after="0" w:afterAutospacing="0" w:line="360" w:lineRule="auto"/>
        <w:ind w:firstLine="709"/>
        <w:jc w:val="both"/>
        <w:rPr>
          <w:sz w:val="28"/>
          <w:szCs w:val="28"/>
        </w:rPr>
      </w:pPr>
    </w:p>
    <w:p w14:paraId="17D30938" w14:textId="331063D2" w:rsidR="00875ADD" w:rsidRPr="00875ADD" w:rsidRDefault="00875ADD" w:rsidP="00875ADD">
      <w:pPr>
        <w:pStyle w:val="a3"/>
        <w:spacing w:before="0" w:beforeAutospacing="0" w:after="0" w:afterAutospacing="0" w:line="360" w:lineRule="auto"/>
        <w:ind w:firstLine="709"/>
        <w:jc w:val="both"/>
        <w:rPr>
          <w:sz w:val="28"/>
          <w:szCs w:val="28"/>
        </w:rPr>
      </w:pPr>
      <w:r w:rsidRPr="00875ADD">
        <w:rPr>
          <w:sz w:val="28"/>
          <w:szCs w:val="28"/>
        </w:rPr>
        <w:t>The qualification paper provides a comprehensive analysis of the translation of English scientific-technical and medico-technical documentation into Ukrainian, with particular attention to stylistic, syntactic, terminological, and regulatory features of this discourse type. The study summarizes the theoretical foundations of the English scientific-technical style, outlines the principles of technical terminology formation, and examines the syntactic models and genre-communicative characteristics of instructional, operational, and medico-technical texts. A detailed stylistic analysis of authentic English fragments made it possible to identify the functional patterns of multicomponent attributive structures, passive constructions, nominalisations, and imperative forms, as well as their role in ensuring accuracy and standardisation within scientific-technical communication.</w:t>
      </w:r>
    </w:p>
    <w:p w14:paraId="16155674" w14:textId="77777777" w:rsidR="00875ADD" w:rsidRPr="00875ADD" w:rsidRDefault="00875ADD" w:rsidP="00875ADD">
      <w:pPr>
        <w:pStyle w:val="a3"/>
        <w:spacing w:before="0" w:beforeAutospacing="0" w:after="0" w:afterAutospacing="0" w:line="360" w:lineRule="auto"/>
        <w:ind w:firstLine="709"/>
        <w:jc w:val="both"/>
        <w:rPr>
          <w:sz w:val="28"/>
          <w:szCs w:val="28"/>
        </w:rPr>
      </w:pPr>
      <w:r w:rsidRPr="00875ADD">
        <w:rPr>
          <w:sz w:val="28"/>
          <w:szCs w:val="28"/>
        </w:rPr>
        <w:t>The practical part of the research focuses on the strategies for rendering terminological units, syntactic models, and instructional formulations in Ukrainian. It has been established that the translation of technical and medico-technical documentation requires the systematic application of stylistic transformations, including elaboration, specification, reduction, neutralisation, compensation, structural rearrangement, and harmonisation of hybrid technical-medical terminology. Special attention is given to ensuring the compliance of Ukrainian translations with national regulatory requirements, such as DSTU standards, unified terminology, the correct rendering of warning markers, the adaptation of imperative structures, and adherence to structural and communicative norms of technical documentation.</w:t>
      </w:r>
    </w:p>
    <w:p w14:paraId="4BA260F4" w14:textId="77777777" w:rsidR="00875ADD" w:rsidRPr="00875ADD" w:rsidRDefault="00875ADD" w:rsidP="00875ADD">
      <w:pPr>
        <w:pStyle w:val="a3"/>
        <w:spacing w:before="0" w:beforeAutospacing="0" w:after="0" w:afterAutospacing="0" w:line="360" w:lineRule="auto"/>
        <w:ind w:firstLine="709"/>
        <w:jc w:val="both"/>
        <w:rPr>
          <w:sz w:val="28"/>
          <w:szCs w:val="28"/>
        </w:rPr>
      </w:pPr>
      <w:r w:rsidRPr="00875ADD">
        <w:rPr>
          <w:sz w:val="28"/>
          <w:szCs w:val="28"/>
        </w:rPr>
        <w:t xml:space="preserve">The study proposes a set of criteria and translation strategies essential for achieving accuracy, unambiguity, and functional adequacy in technical translations. It is argued that effective translation of scientific-technical and medico-technical texts is possible only when linguistic, professional, and regulatory competences are integrated. The findings may be applied in professional translation practice, in </w:t>
      </w:r>
      <w:r w:rsidRPr="00875ADD">
        <w:rPr>
          <w:sz w:val="28"/>
          <w:szCs w:val="28"/>
        </w:rPr>
        <w:lastRenderedPageBreak/>
        <w:t>training future technical translators, and as a methodological basis for further research in technical communication and translation studies.</w:t>
      </w:r>
    </w:p>
    <w:p w14:paraId="3FF611C7" w14:textId="7C719A97" w:rsidR="00875ADD" w:rsidRPr="00875ADD" w:rsidRDefault="00875ADD" w:rsidP="00875ADD">
      <w:pPr>
        <w:pStyle w:val="1"/>
        <w:spacing w:before="0" w:line="360" w:lineRule="auto"/>
        <w:ind w:firstLine="709"/>
        <w:jc w:val="both"/>
        <w:rPr>
          <w:rFonts w:ascii="Times New Roman" w:hAnsi="Times New Roman" w:cs="Times New Roman"/>
          <w:color w:val="auto"/>
          <w:sz w:val="28"/>
          <w:szCs w:val="28"/>
        </w:rPr>
      </w:pPr>
      <w:r w:rsidRPr="00875ADD">
        <w:rPr>
          <w:rStyle w:val="a4"/>
          <w:rFonts w:ascii="Times New Roman" w:hAnsi="Times New Roman" w:cs="Times New Roman"/>
          <w:b w:val="0"/>
          <w:bCs w:val="0"/>
          <w:color w:val="auto"/>
          <w:sz w:val="28"/>
          <w:szCs w:val="28"/>
        </w:rPr>
        <w:t>Keywords</w:t>
      </w:r>
      <w:r w:rsidRPr="00875ADD">
        <w:rPr>
          <w:rStyle w:val="a4"/>
          <w:rFonts w:ascii="Times New Roman" w:hAnsi="Times New Roman" w:cs="Times New Roman"/>
          <w:b w:val="0"/>
          <w:bCs w:val="0"/>
          <w:color w:val="auto"/>
          <w:sz w:val="28"/>
          <w:szCs w:val="28"/>
          <w:lang w:val="uk-UA"/>
        </w:rPr>
        <w:t xml:space="preserve">: </w:t>
      </w:r>
      <w:r w:rsidRPr="00875ADD">
        <w:rPr>
          <w:rFonts w:ascii="Times New Roman" w:hAnsi="Times New Roman" w:cs="Times New Roman"/>
          <w:color w:val="auto"/>
          <w:sz w:val="28"/>
          <w:szCs w:val="28"/>
        </w:rPr>
        <w:t>scientific-technical discourse, technical translation, medico-technical texts, terminology, stylistic transformations, syntactic adaptation, instructional structures, translation regulatory compliance, passive constructions, attributive complexes, warning markers, DSTU standards, technical documentation.</w:t>
      </w:r>
    </w:p>
    <w:p w14:paraId="3D6963F8" w14:textId="77777777" w:rsidR="00A1167A" w:rsidRPr="00D6691F" w:rsidRDefault="00A1167A"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A5EA31C" w14:textId="77777777" w:rsidR="00A1167A" w:rsidRPr="00D6691F" w:rsidRDefault="00A1167A"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866735B" w14:textId="77777777" w:rsidR="00A1167A" w:rsidRPr="00D6691F" w:rsidRDefault="00A1167A" w:rsidP="00875AD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A963FD7" w14:textId="77777777" w:rsidR="00A1167A" w:rsidRPr="00D6691F"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A80F93" w14:textId="77777777" w:rsidR="00A1167A" w:rsidRPr="00D6691F"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DDED1DC" w14:textId="77777777" w:rsidR="00A1167A" w:rsidRPr="00D6691F"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760BE7" w14:textId="77777777" w:rsidR="0036600B" w:rsidRPr="00D6691F" w:rsidRDefault="0036600B" w:rsidP="0036600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sectPr w:rsidR="0036600B" w:rsidRPr="00D6691F" w:rsidSect="008D0E4E">
      <w:headerReference w:type="default" r:id="rId23"/>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A96FED" w14:textId="77777777" w:rsidR="002E31FF" w:rsidRDefault="002E31FF" w:rsidP="008D0E4E">
      <w:pPr>
        <w:spacing w:after="0" w:line="240" w:lineRule="auto"/>
      </w:pPr>
      <w:r>
        <w:separator/>
      </w:r>
    </w:p>
  </w:endnote>
  <w:endnote w:type="continuationSeparator" w:id="0">
    <w:p w14:paraId="1C6C1A49" w14:textId="77777777" w:rsidR="002E31FF" w:rsidRDefault="002E31FF"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D4D6B2" w14:textId="77777777" w:rsidR="002E31FF" w:rsidRDefault="002E31FF" w:rsidP="008D0E4E">
      <w:pPr>
        <w:spacing w:after="0" w:line="240" w:lineRule="auto"/>
      </w:pPr>
      <w:r>
        <w:separator/>
      </w:r>
    </w:p>
  </w:footnote>
  <w:footnote w:type="continuationSeparator" w:id="0">
    <w:p w14:paraId="0840DFA8" w14:textId="77777777" w:rsidR="002E31FF" w:rsidRDefault="002E31FF"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a"/>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079A8"/>
    <w:multiLevelType w:val="multilevel"/>
    <w:tmpl w:val="EECA7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EA36F6"/>
    <w:multiLevelType w:val="multilevel"/>
    <w:tmpl w:val="642EC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0361904"/>
    <w:multiLevelType w:val="multilevel"/>
    <w:tmpl w:val="EE78F542"/>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4"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3C6F14"/>
    <w:multiLevelType w:val="multilevel"/>
    <w:tmpl w:val="6476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C6C60"/>
    <w:multiLevelType w:val="multilevel"/>
    <w:tmpl w:val="CE7C266E"/>
    <w:lvl w:ilvl="0">
      <w:start w:val="1"/>
      <w:numFmt w:val="decimal"/>
      <w:lvlText w:val="%1."/>
      <w:lvlJc w:val="left"/>
      <w:pPr>
        <w:ind w:left="740" w:hanging="740"/>
      </w:pPr>
      <w:rPr>
        <w:rFonts w:hint="default"/>
      </w:rPr>
    </w:lvl>
    <w:lvl w:ilvl="1">
      <w:start w:val="1"/>
      <w:numFmt w:val="decimal"/>
      <w:lvlText w:val="%1.%2."/>
      <w:lvlJc w:val="left"/>
      <w:pPr>
        <w:ind w:left="740" w:hanging="740"/>
      </w:pPr>
      <w:rPr>
        <w:rFonts w:hint="default"/>
      </w:rPr>
    </w:lvl>
    <w:lvl w:ilvl="2">
      <w:start w:val="1"/>
      <w:numFmt w:val="decimal"/>
      <w:lvlText w:val="%1.%2.%3."/>
      <w:lvlJc w:val="left"/>
      <w:pPr>
        <w:ind w:left="740" w:hanging="7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12"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14"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8C2FD6"/>
    <w:multiLevelType w:val="multilevel"/>
    <w:tmpl w:val="DFAC5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CA1398"/>
    <w:multiLevelType w:val="multilevel"/>
    <w:tmpl w:val="E1587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8"/>
  </w:num>
  <w:num w:numId="8">
    <w:abstractNumId w:val="22"/>
  </w:num>
  <w:num w:numId="9">
    <w:abstractNumId w:val="7"/>
  </w:num>
  <w:num w:numId="10">
    <w:abstractNumId w:val="24"/>
  </w:num>
  <w:num w:numId="11">
    <w:abstractNumId w:val="23"/>
  </w:num>
  <w:num w:numId="12">
    <w:abstractNumId w:val="14"/>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4"/>
  </w:num>
  <w:num w:numId="16">
    <w:abstractNumId w:val="20"/>
  </w:num>
  <w:num w:numId="17">
    <w:abstractNumId w:val="19"/>
  </w:num>
  <w:num w:numId="18">
    <w:abstractNumId w:val="21"/>
  </w:num>
  <w:num w:numId="19">
    <w:abstractNumId w:val="9"/>
  </w:num>
  <w:num w:numId="20">
    <w:abstractNumId w:val="3"/>
  </w:num>
  <w:num w:numId="21">
    <w:abstractNumId w:val="0"/>
  </w:num>
  <w:num w:numId="22">
    <w:abstractNumId w:val="1"/>
  </w:num>
  <w:num w:numId="23">
    <w:abstractNumId w:val="17"/>
  </w:num>
  <w:num w:numId="24">
    <w:abstractNumId w:val="15"/>
  </w:num>
  <w:num w:numId="25">
    <w:abstractNumId w:val="8"/>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22D14"/>
    <w:rsid w:val="00052AC8"/>
    <w:rsid w:val="000708A3"/>
    <w:rsid w:val="00091B15"/>
    <w:rsid w:val="000A018E"/>
    <w:rsid w:val="000B301B"/>
    <w:rsid w:val="000B54B9"/>
    <w:rsid w:val="000F445C"/>
    <w:rsid w:val="00105484"/>
    <w:rsid w:val="0011305E"/>
    <w:rsid w:val="00116FF2"/>
    <w:rsid w:val="00140B8D"/>
    <w:rsid w:val="001465C7"/>
    <w:rsid w:val="00154216"/>
    <w:rsid w:val="00154517"/>
    <w:rsid w:val="00180B15"/>
    <w:rsid w:val="00183951"/>
    <w:rsid w:val="001B75B0"/>
    <w:rsid w:val="001C360E"/>
    <w:rsid w:val="001C43CB"/>
    <w:rsid w:val="001C70D5"/>
    <w:rsid w:val="001D1794"/>
    <w:rsid w:val="001D70F8"/>
    <w:rsid w:val="001E2FE8"/>
    <w:rsid w:val="001F0F86"/>
    <w:rsid w:val="00203169"/>
    <w:rsid w:val="0020785B"/>
    <w:rsid w:val="00211FBF"/>
    <w:rsid w:val="002123F2"/>
    <w:rsid w:val="002149B0"/>
    <w:rsid w:val="0021647F"/>
    <w:rsid w:val="00222EFC"/>
    <w:rsid w:val="00227061"/>
    <w:rsid w:val="00234064"/>
    <w:rsid w:val="00246049"/>
    <w:rsid w:val="002574CB"/>
    <w:rsid w:val="0026718B"/>
    <w:rsid w:val="00286B54"/>
    <w:rsid w:val="00291CFC"/>
    <w:rsid w:val="00293966"/>
    <w:rsid w:val="002946EA"/>
    <w:rsid w:val="00296A54"/>
    <w:rsid w:val="002A0E16"/>
    <w:rsid w:val="002A3D37"/>
    <w:rsid w:val="002A439A"/>
    <w:rsid w:val="002B0EF2"/>
    <w:rsid w:val="002D012B"/>
    <w:rsid w:val="002E31FF"/>
    <w:rsid w:val="00304A4D"/>
    <w:rsid w:val="003339BA"/>
    <w:rsid w:val="00340076"/>
    <w:rsid w:val="0034108E"/>
    <w:rsid w:val="00351EDA"/>
    <w:rsid w:val="003546D0"/>
    <w:rsid w:val="00355021"/>
    <w:rsid w:val="003623D1"/>
    <w:rsid w:val="00363246"/>
    <w:rsid w:val="0036346A"/>
    <w:rsid w:val="0036600B"/>
    <w:rsid w:val="003701FC"/>
    <w:rsid w:val="00384DB9"/>
    <w:rsid w:val="003B1533"/>
    <w:rsid w:val="003D0CB1"/>
    <w:rsid w:val="003D74D3"/>
    <w:rsid w:val="003E1B78"/>
    <w:rsid w:val="003E2918"/>
    <w:rsid w:val="003E332A"/>
    <w:rsid w:val="003E6386"/>
    <w:rsid w:val="003F17C0"/>
    <w:rsid w:val="00402C25"/>
    <w:rsid w:val="00410AF3"/>
    <w:rsid w:val="00432097"/>
    <w:rsid w:val="00435947"/>
    <w:rsid w:val="004374A3"/>
    <w:rsid w:val="0044381B"/>
    <w:rsid w:val="00446A6E"/>
    <w:rsid w:val="00464EF9"/>
    <w:rsid w:val="004769D2"/>
    <w:rsid w:val="0048066C"/>
    <w:rsid w:val="0048178A"/>
    <w:rsid w:val="004821DF"/>
    <w:rsid w:val="00491218"/>
    <w:rsid w:val="00492DE6"/>
    <w:rsid w:val="00492EF2"/>
    <w:rsid w:val="004946C6"/>
    <w:rsid w:val="004A6599"/>
    <w:rsid w:val="004B517F"/>
    <w:rsid w:val="004B5317"/>
    <w:rsid w:val="004D17C4"/>
    <w:rsid w:val="004D5AAF"/>
    <w:rsid w:val="004E0A15"/>
    <w:rsid w:val="004E3163"/>
    <w:rsid w:val="004E7B58"/>
    <w:rsid w:val="004F2199"/>
    <w:rsid w:val="00504FB9"/>
    <w:rsid w:val="00532437"/>
    <w:rsid w:val="00541DB0"/>
    <w:rsid w:val="005823A7"/>
    <w:rsid w:val="00587718"/>
    <w:rsid w:val="00591689"/>
    <w:rsid w:val="00597343"/>
    <w:rsid w:val="005B3E5E"/>
    <w:rsid w:val="005B5E96"/>
    <w:rsid w:val="005B7F2A"/>
    <w:rsid w:val="005C1F18"/>
    <w:rsid w:val="005C5BA9"/>
    <w:rsid w:val="005E1B57"/>
    <w:rsid w:val="005E4732"/>
    <w:rsid w:val="005E58E3"/>
    <w:rsid w:val="005F07C4"/>
    <w:rsid w:val="005F3C14"/>
    <w:rsid w:val="005F5DA8"/>
    <w:rsid w:val="005F6E9D"/>
    <w:rsid w:val="0060067C"/>
    <w:rsid w:val="00625B17"/>
    <w:rsid w:val="00631562"/>
    <w:rsid w:val="00634DD5"/>
    <w:rsid w:val="006458DD"/>
    <w:rsid w:val="00647ABE"/>
    <w:rsid w:val="006714E8"/>
    <w:rsid w:val="00672C1C"/>
    <w:rsid w:val="00681DAC"/>
    <w:rsid w:val="00691512"/>
    <w:rsid w:val="0069294A"/>
    <w:rsid w:val="00694739"/>
    <w:rsid w:val="00694EF4"/>
    <w:rsid w:val="006958DC"/>
    <w:rsid w:val="006B0534"/>
    <w:rsid w:val="006B288B"/>
    <w:rsid w:val="006B4B55"/>
    <w:rsid w:val="006C2921"/>
    <w:rsid w:val="006C482B"/>
    <w:rsid w:val="006C72E7"/>
    <w:rsid w:val="006D28FC"/>
    <w:rsid w:val="006D73F1"/>
    <w:rsid w:val="006E1F24"/>
    <w:rsid w:val="006E39EE"/>
    <w:rsid w:val="006E3C15"/>
    <w:rsid w:val="006F4F6A"/>
    <w:rsid w:val="00703551"/>
    <w:rsid w:val="00716990"/>
    <w:rsid w:val="00720E7C"/>
    <w:rsid w:val="0074475C"/>
    <w:rsid w:val="00744CF1"/>
    <w:rsid w:val="0076031F"/>
    <w:rsid w:val="00766A3E"/>
    <w:rsid w:val="007817FB"/>
    <w:rsid w:val="00792870"/>
    <w:rsid w:val="007A1F46"/>
    <w:rsid w:val="007A462F"/>
    <w:rsid w:val="007C7C4A"/>
    <w:rsid w:val="007D1EFA"/>
    <w:rsid w:val="007E2C53"/>
    <w:rsid w:val="00803525"/>
    <w:rsid w:val="0081513D"/>
    <w:rsid w:val="008228ED"/>
    <w:rsid w:val="00830243"/>
    <w:rsid w:val="008359FA"/>
    <w:rsid w:val="008414BB"/>
    <w:rsid w:val="00866A98"/>
    <w:rsid w:val="008740C3"/>
    <w:rsid w:val="00875ADD"/>
    <w:rsid w:val="00884CEE"/>
    <w:rsid w:val="008901D2"/>
    <w:rsid w:val="00897C95"/>
    <w:rsid w:val="008A1B6F"/>
    <w:rsid w:val="008D0E4E"/>
    <w:rsid w:val="008E30B6"/>
    <w:rsid w:val="008E6E5B"/>
    <w:rsid w:val="008F7E47"/>
    <w:rsid w:val="00907AB4"/>
    <w:rsid w:val="00910904"/>
    <w:rsid w:val="00910C8A"/>
    <w:rsid w:val="00910D85"/>
    <w:rsid w:val="00930C0A"/>
    <w:rsid w:val="00932498"/>
    <w:rsid w:val="00947B44"/>
    <w:rsid w:val="009507BC"/>
    <w:rsid w:val="00954E58"/>
    <w:rsid w:val="00967D15"/>
    <w:rsid w:val="009742F5"/>
    <w:rsid w:val="00976BD1"/>
    <w:rsid w:val="00980FC0"/>
    <w:rsid w:val="009819DB"/>
    <w:rsid w:val="00993FC5"/>
    <w:rsid w:val="009941D8"/>
    <w:rsid w:val="00995528"/>
    <w:rsid w:val="00995A30"/>
    <w:rsid w:val="0099791C"/>
    <w:rsid w:val="009A0236"/>
    <w:rsid w:val="009A4899"/>
    <w:rsid w:val="009B058A"/>
    <w:rsid w:val="009B53B7"/>
    <w:rsid w:val="009B65E2"/>
    <w:rsid w:val="009B76C6"/>
    <w:rsid w:val="009C3796"/>
    <w:rsid w:val="009C3D2F"/>
    <w:rsid w:val="009D03FE"/>
    <w:rsid w:val="009E685D"/>
    <w:rsid w:val="009F6EBE"/>
    <w:rsid w:val="00A031A7"/>
    <w:rsid w:val="00A1167A"/>
    <w:rsid w:val="00A14582"/>
    <w:rsid w:val="00A17601"/>
    <w:rsid w:val="00A31105"/>
    <w:rsid w:val="00A5064A"/>
    <w:rsid w:val="00A5542A"/>
    <w:rsid w:val="00A71883"/>
    <w:rsid w:val="00A756A3"/>
    <w:rsid w:val="00A75C52"/>
    <w:rsid w:val="00A91DB9"/>
    <w:rsid w:val="00A929A9"/>
    <w:rsid w:val="00A94EEB"/>
    <w:rsid w:val="00AC1390"/>
    <w:rsid w:val="00AC49B9"/>
    <w:rsid w:val="00AC4A9B"/>
    <w:rsid w:val="00AC57D2"/>
    <w:rsid w:val="00AC65A9"/>
    <w:rsid w:val="00AD340E"/>
    <w:rsid w:val="00B00179"/>
    <w:rsid w:val="00B0262C"/>
    <w:rsid w:val="00B07715"/>
    <w:rsid w:val="00B1004D"/>
    <w:rsid w:val="00B113EB"/>
    <w:rsid w:val="00B23C38"/>
    <w:rsid w:val="00B31520"/>
    <w:rsid w:val="00B42A05"/>
    <w:rsid w:val="00B42E4D"/>
    <w:rsid w:val="00B43483"/>
    <w:rsid w:val="00B43B87"/>
    <w:rsid w:val="00B4453C"/>
    <w:rsid w:val="00B44D4A"/>
    <w:rsid w:val="00B557C5"/>
    <w:rsid w:val="00B56BDC"/>
    <w:rsid w:val="00B56E98"/>
    <w:rsid w:val="00B828EA"/>
    <w:rsid w:val="00B916BD"/>
    <w:rsid w:val="00B948F9"/>
    <w:rsid w:val="00BA16AF"/>
    <w:rsid w:val="00BB05B5"/>
    <w:rsid w:val="00BB420A"/>
    <w:rsid w:val="00BB7AAB"/>
    <w:rsid w:val="00BC6ECA"/>
    <w:rsid w:val="00C00C87"/>
    <w:rsid w:val="00C01807"/>
    <w:rsid w:val="00C13277"/>
    <w:rsid w:val="00C30EC1"/>
    <w:rsid w:val="00C31B1F"/>
    <w:rsid w:val="00C34FF5"/>
    <w:rsid w:val="00C52861"/>
    <w:rsid w:val="00C571A7"/>
    <w:rsid w:val="00C60978"/>
    <w:rsid w:val="00C61025"/>
    <w:rsid w:val="00C63629"/>
    <w:rsid w:val="00C80489"/>
    <w:rsid w:val="00C95BB7"/>
    <w:rsid w:val="00CB006B"/>
    <w:rsid w:val="00CC7ED0"/>
    <w:rsid w:val="00CD025A"/>
    <w:rsid w:val="00CD504D"/>
    <w:rsid w:val="00CD5B6B"/>
    <w:rsid w:val="00CE7A41"/>
    <w:rsid w:val="00CF12BA"/>
    <w:rsid w:val="00CF69F6"/>
    <w:rsid w:val="00D05EA2"/>
    <w:rsid w:val="00D13E01"/>
    <w:rsid w:val="00D278E4"/>
    <w:rsid w:val="00D31903"/>
    <w:rsid w:val="00D52C0A"/>
    <w:rsid w:val="00D56D90"/>
    <w:rsid w:val="00D64387"/>
    <w:rsid w:val="00D65349"/>
    <w:rsid w:val="00D6691F"/>
    <w:rsid w:val="00D67A73"/>
    <w:rsid w:val="00D67F91"/>
    <w:rsid w:val="00D72B95"/>
    <w:rsid w:val="00D755D5"/>
    <w:rsid w:val="00D93B74"/>
    <w:rsid w:val="00DA2F45"/>
    <w:rsid w:val="00DB26BE"/>
    <w:rsid w:val="00DB572E"/>
    <w:rsid w:val="00DE258F"/>
    <w:rsid w:val="00DF6984"/>
    <w:rsid w:val="00DF7F66"/>
    <w:rsid w:val="00E01E0B"/>
    <w:rsid w:val="00E0350F"/>
    <w:rsid w:val="00E14000"/>
    <w:rsid w:val="00E206F1"/>
    <w:rsid w:val="00E22FAF"/>
    <w:rsid w:val="00E30FC6"/>
    <w:rsid w:val="00E33456"/>
    <w:rsid w:val="00E36C96"/>
    <w:rsid w:val="00E403D3"/>
    <w:rsid w:val="00E44A45"/>
    <w:rsid w:val="00E5287E"/>
    <w:rsid w:val="00E5691C"/>
    <w:rsid w:val="00E857B1"/>
    <w:rsid w:val="00ED4B57"/>
    <w:rsid w:val="00ED6AE4"/>
    <w:rsid w:val="00EF1687"/>
    <w:rsid w:val="00EF7E52"/>
    <w:rsid w:val="00F050D6"/>
    <w:rsid w:val="00F051CF"/>
    <w:rsid w:val="00F20BE1"/>
    <w:rsid w:val="00F20EAF"/>
    <w:rsid w:val="00F2757F"/>
    <w:rsid w:val="00F31254"/>
    <w:rsid w:val="00F31CA5"/>
    <w:rsid w:val="00F35FF3"/>
    <w:rsid w:val="00F4358C"/>
    <w:rsid w:val="00F749B0"/>
    <w:rsid w:val="00F945D5"/>
    <w:rsid w:val="00FA44BC"/>
    <w:rsid w:val="00FB0AD3"/>
    <w:rsid w:val="00FC7A4F"/>
    <w:rsid w:val="00FD07D1"/>
    <w:rsid w:val="00FD5306"/>
    <w:rsid w:val="00FD71D7"/>
    <w:rsid w:val="00FF4A0E"/>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46C6"/>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4">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5">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6">
    <w:name w:val="Hyperlink"/>
    <w:basedOn w:val="a0"/>
    <w:uiPriority w:val="99"/>
    <w:unhideWhenUsed/>
    <w:rsid w:val="00B56E98"/>
    <w:rPr>
      <w:color w:val="0000FF"/>
      <w:u w:val="single"/>
    </w:rPr>
  </w:style>
  <w:style w:type="character" w:styleId="a7">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8">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Unresolved Mention"/>
    <w:basedOn w:val="a0"/>
    <w:uiPriority w:val="99"/>
    <w:semiHidden/>
    <w:unhideWhenUsed/>
    <w:rsid w:val="00AC4A9B"/>
    <w:rPr>
      <w:color w:val="605E5C"/>
      <w:shd w:val="clear" w:color="auto" w:fill="E1DFDD"/>
    </w:rPr>
  </w:style>
  <w:style w:type="paragraph" w:styleId="aa">
    <w:name w:val="header"/>
    <w:basedOn w:val="a"/>
    <w:link w:val="ab"/>
    <w:uiPriority w:val="99"/>
    <w:unhideWhenUsed/>
    <w:rsid w:val="008D0E4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8D0E4E"/>
    <w:rPr>
      <w:kern w:val="2"/>
      <w:lang w:val="pl-PL"/>
      <w14:ligatures w14:val="standardContextual"/>
    </w:rPr>
  </w:style>
  <w:style w:type="paragraph" w:styleId="ac">
    <w:name w:val="footer"/>
    <w:basedOn w:val="a"/>
    <w:link w:val="ad"/>
    <w:uiPriority w:val="99"/>
    <w:unhideWhenUsed/>
    <w:rsid w:val="008D0E4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e">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
    <w:name w:val="Body Text"/>
    <w:basedOn w:val="a"/>
    <w:link w:val="af0"/>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0">
    <w:name w:val="Основной текст Знак"/>
    <w:basedOn w:val="a0"/>
    <w:link w:val="af"/>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19792543">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39704">
      <w:bodyDiv w:val="1"/>
      <w:marLeft w:val="0"/>
      <w:marRight w:val="0"/>
      <w:marTop w:val="0"/>
      <w:marBottom w:val="0"/>
      <w:divBdr>
        <w:top w:val="none" w:sz="0" w:space="0" w:color="auto"/>
        <w:left w:val="none" w:sz="0" w:space="0" w:color="auto"/>
        <w:bottom w:val="none" w:sz="0" w:space="0" w:color="auto"/>
        <w:right w:val="none" w:sz="0" w:space="0" w:color="auto"/>
      </w:divBdr>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82460691">
      <w:bodyDiv w:val="1"/>
      <w:marLeft w:val="0"/>
      <w:marRight w:val="0"/>
      <w:marTop w:val="0"/>
      <w:marBottom w:val="0"/>
      <w:divBdr>
        <w:top w:val="none" w:sz="0" w:space="0" w:color="auto"/>
        <w:left w:val="none" w:sz="0" w:space="0" w:color="auto"/>
        <w:bottom w:val="none" w:sz="0" w:space="0" w:color="auto"/>
        <w:right w:val="none" w:sz="0" w:space="0" w:color="auto"/>
      </w:divBdr>
      <w:divsChild>
        <w:div w:id="1350985291">
          <w:marLeft w:val="0"/>
          <w:marRight w:val="0"/>
          <w:marTop w:val="0"/>
          <w:marBottom w:val="0"/>
          <w:divBdr>
            <w:top w:val="none" w:sz="0" w:space="0" w:color="auto"/>
            <w:left w:val="none" w:sz="0" w:space="0" w:color="auto"/>
            <w:bottom w:val="none" w:sz="0" w:space="0" w:color="auto"/>
            <w:right w:val="none" w:sz="0" w:space="0" w:color="auto"/>
          </w:divBdr>
          <w:divsChild>
            <w:div w:id="2031830333">
              <w:marLeft w:val="0"/>
              <w:marRight w:val="0"/>
              <w:marTop w:val="0"/>
              <w:marBottom w:val="0"/>
              <w:divBdr>
                <w:top w:val="none" w:sz="0" w:space="0" w:color="auto"/>
                <w:left w:val="none" w:sz="0" w:space="0" w:color="auto"/>
                <w:bottom w:val="none" w:sz="0" w:space="0" w:color="auto"/>
                <w:right w:val="none" w:sz="0" w:space="0" w:color="auto"/>
              </w:divBdr>
              <w:divsChild>
                <w:div w:id="1455438031">
                  <w:marLeft w:val="0"/>
                  <w:marRight w:val="0"/>
                  <w:marTop w:val="0"/>
                  <w:marBottom w:val="0"/>
                  <w:divBdr>
                    <w:top w:val="none" w:sz="0" w:space="0" w:color="auto"/>
                    <w:left w:val="none" w:sz="0" w:space="0" w:color="auto"/>
                    <w:bottom w:val="none" w:sz="0" w:space="0" w:color="auto"/>
                    <w:right w:val="none" w:sz="0" w:space="0" w:color="auto"/>
                  </w:divBdr>
                  <w:divsChild>
                    <w:div w:id="1483079759">
                      <w:marLeft w:val="0"/>
                      <w:marRight w:val="0"/>
                      <w:marTop w:val="0"/>
                      <w:marBottom w:val="0"/>
                      <w:divBdr>
                        <w:top w:val="none" w:sz="0" w:space="0" w:color="auto"/>
                        <w:left w:val="none" w:sz="0" w:space="0" w:color="auto"/>
                        <w:bottom w:val="none" w:sz="0" w:space="0" w:color="auto"/>
                        <w:right w:val="none" w:sz="0" w:space="0" w:color="auto"/>
                      </w:divBdr>
                      <w:divsChild>
                        <w:div w:id="24983178">
                          <w:marLeft w:val="0"/>
                          <w:marRight w:val="0"/>
                          <w:marTop w:val="0"/>
                          <w:marBottom w:val="0"/>
                          <w:divBdr>
                            <w:top w:val="none" w:sz="0" w:space="0" w:color="auto"/>
                            <w:left w:val="none" w:sz="0" w:space="0" w:color="auto"/>
                            <w:bottom w:val="none" w:sz="0" w:space="0" w:color="auto"/>
                            <w:right w:val="none" w:sz="0" w:space="0" w:color="auto"/>
                          </w:divBdr>
                          <w:divsChild>
                            <w:div w:id="14594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34295377">
      <w:bodyDiv w:val="1"/>
      <w:marLeft w:val="0"/>
      <w:marRight w:val="0"/>
      <w:marTop w:val="0"/>
      <w:marBottom w:val="0"/>
      <w:divBdr>
        <w:top w:val="none" w:sz="0" w:space="0" w:color="auto"/>
        <w:left w:val="none" w:sz="0" w:space="0" w:color="auto"/>
        <w:bottom w:val="none" w:sz="0" w:space="0" w:color="auto"/>
        <w:right w:val="none" w:sz="0" w:space="0" w:color="auto"/>
      </w:divBdr>
    </w:div>
    <w:div w:id="17461909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11217">
      <w:bodyDiv w:val="1"/>
      <w:marLeft w:val="0"/>
      <w:marRight w:val="0"/>
      <w:marTop w:val="0"/>
      <w:marBottom w:val="0"/>
      <w:divBdr>
        <w:top w:val="none" w:sz="0" w:space="0" w:color="auto"/>
        <w:left w:val="none" w:sz="0" w:space="0" w:color="auto"/>
        <w:bottom w:val="none" w:sz="0" w:space="0" w:color="auto"/>
        <w:right w:val="none" w:sz="0" w:space="0" w:color="auto"/>
      </w:divBdr>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28273283">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42228741">
      <w:bodyDiv w:val="1"/>
      <w:marLeft w:val="0"/>
      <w:marRight w:val="0"/>
      <w:marTop w:val="0"/>
      <w:marBottom w:val="0"/>
      <w:divBdr>
        <w:top w:val="none" w:sz="0" w:space="0" w:color="auto"/>
        <w:left w:val="none" w:sz="0" w:space="0" w:color="auto"/>
        <w:bottom w:val="none" w:sz="0" w:space="0" w:color="auto"/>
        <w:right w:val="none" w:sz="0" w:space="0" w:color="auto"/>
      </w:divBdr>
      <w:divsChild>
        <w:div w:id="1994025368">
          <w:marLeft w:val="0"/>
          <w:marRight w:val="0"/>
          <w:marTop w:val="0"/>
          <w:marBottom w:val="0"/>
          <w:divBdr>
            <w:top w:val="none" w:sz="0" w:space="0" w:color="auto"/>
            <w:left w:val="none" w:sz="0" w:space="0" w:color="auto"/>
            <w:bottom w:val="none" w:sz="0" w:space="0" w:color="auto"/>
            <w:right w:val="none" w:sz="0" w:space="0" w:color="auto"/>
          </w:divBdr>
          <w:divsChild>
            <w:div w:id="955139180">
              <w:marLeft w:val="0"/>
              <w:marRight w:val="0"/>
              <w:marTop w:val="0"/>
              <w:marBottom w:val="0"/>
              <w:divBdr>
                <w:top w:val="none" w:sz="0" w:space="0" w:color="auto"/>
                <w:left w:val="none" w:sz="0" w:space="0" w:color="auto"/>
                <w:bottom w:val="none" w:sz="0" w:space="0" w:color="auto"/>
                <w:right w:val="none" w:sz="0" w:space="0" w:color="auto"/>
              </w:divBdr>
              <w:divsChild>
                <w:div w:id="1553691674">
                  <w:marLeft w:val="0"/>
                  <w:marRight w:val="0"/>
                  <w:marTop w:val="0"/>
                  <w:marBottom w:val="0"/>
                  <w:divBdr>
                    <w:top w:val="none" w:sz="0" w:space="0" w:color="auto"/>
                    <w:left w:val="none" w:sz="0" w:space="0" w:color="auto"/>
                    <w:bottom w:val="none" w:sz="0" w:space="0" w:color="auto"/>
                    <w:right w:val="none" w:sz="0" w:space="0" w:color="auto"/>
                  </w:divBdr>
                  <w:divsChild>
                    <w:div w:id="142628585">
                      <w:marLeft w:val="0"/>
                      <w:marRight w:val="0"/>
                      <w:marTop w:val="0"/>
                      <w:marBottom w:val="0"/>
                      <w:divBdr>
                        <w:top w:val="none" w:sz="0" w:space="0" w:color="auto"/>
                        <w:left w:val="none" w:sz="0" w:space="0" w:color="auto"/>
                        <w:bottom w:val="none" w:sz="0" w:space="0" w:color="auto"/>
                        <w:right w:val="none" w:sz="0" w:space="0" w:color="auto"/>
                      </w:divBdr>
                      <w:divsChild>
                        <w:div w:id="605619224">
                          <w:marLeft w:val="0"/>
                          <w:marRight w:val="0"/>
                          <w:marTop w:val="0"/>
                          <w:marBottom w:val="0"/>
                          <w:divBdr>
                            <w:top w:val="none" w:sz="0" w:space="0" w:color="auto"/>
                            <w:left w:val="none" w:sz="0" w:space="0" w:color="auto"/>
                            <w:bottom w:val="none" w:sz="0" w:space="0" w:color="auto"/>
                            <w:right w:val="none" w:sz="0" w:space="0" w:color="auto"/>
                          </w:divBdr>
                          <w:divsChild>
                            <w:div w:id="103384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1304080">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331228787">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4349774">
      <w:bodyDiv w:val="1"/>
      <w:marLeft w:val="0"/>
      <w:marRight w:val="0"/>
      <w:marTop w:val="0"/>
      <w:marBottom w:val="0"/>
      <w:divBdr>
        <w:top w:val="none" w:sz="0" w:space="0" w:color="auto"/>
        <w:left w:val="none" w:sz="0" w:space="0" w:color="auto"/>
        <w:bottom w:val="none" w:sz="0" w:space="0" w:color="auto"/>
        <w:right w:val="none" w:sz="0" w:space="0" w:color="auto"/>
      </w:divBdr>
    </w:div>
    <w:div w:id="431434557">
      <w:bodyDiv w:val="1"/>
      <w:marLeft w:val="0"/>
      <w:marRight w:val="0"/>
      <w:marTop w:val="0"/>
      <w:marBottom w:val="0"/>
      <w:divBdr>
        <w:top w:val="none" w:sz="0" w:space="0" w:color="auto"/>
        <w:left w:val="none" w:sz="0" w:space="0" w:color="auto"/>
        <w:bottom w:val="none" w:sz="0" w:space="0" w:color="auto"/>
        <w:right w:val="none" w:sz="0" w:space="0" w:color="auto"/>
      </w:divBdr>
    </w:div>
    <w:div w:id="445008074">
      <w:bodyDiv w:val="1"/>
      <w:marLeft w:val="0"/>
      <w:marRight w:val="0"/>
      <w:marTop w:val="0"/>
      <w:marBottom w:val="0"/>
      <w:divBdr>
        <w:top w:val="none" w:sz="0" w:space="0" w:color="auto"/>
        <w:left w:val="none" w:sz="0" w:space="0" w:color="auto"/>
        <w:bottom w:val="none" w:sz="0" w:space="0" w:color="auto"/>
        <w:right w:val="none" w:sz="0" w:space="0" w:color="auto"/>
      </w:divBdr>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57325262">
      <w:bodyDiv w:val="1"/>
      <w:marLeft w:val="0"/>
      <w:marRight w:val="0"/>
      <w:marTop w:val="0"/>
      <w:marBottom w:val="0"/>
      <w:divBdr>
        <w:top w:val="none" w:sz="0" w:space="0" w:color="auto"/>
        <w:left w:val="none" w:sz="0" w:space="0" w:color="auto"/>
        <w:bottom w:val="none" w:sz="0" w:space="0" w:color="auto"/>
        <w:right w:val="none" w:sz="0" w:space="0" w:color="auto"/>
      </w:divBdr>
      <w:divsChild>
        <w:div w:id="723986896">
          <w:marLeft w:val="0"/>
          <w:marRight w:val="0"/>
          <w:marTop w:val="0"/>
          <w:marBottom w:val="0"/>
          <w:divBdr>
            <w:top w:val="none" w:sz="0" w:space="0" w:color="auto"/>
            <w:left w:val="none" w:sz="0" w:space="0" w:color="auto"/>
            <w:bottom w:val="none" w:sz="0" w:space="0" w:color="auto"/>
            <w:right w:val="none" w:sz="0" w:space="0" w:color="auto"/>
          </w:divBdr>
          <w:divsChild>
            <w:div w:id="150683877">
              <w:marLeft w:val="0"/>
              <w:marRight w:val="0"/>
              <w:marTop w:val="0"/>
              <w:marBottom w:val="0"/>
              <w:divBdr>
                <w:top w:val="none" w:sz="0" w:space="0" w:color="auto"/>
                <w:left w:val="none" w:sz="0" w:space="0" w:color="auto"/>
                <w:bottom w:val="none" w:sz="0" w:space="0" w:color="auto"/>
                <w:right w:val="none" w:sz="0" w:space="0" w:color="auto"/>
              </w:divBdr>
              <w:divsChild>
                <w:div w:id="500586372">
                  <w:marLeft w:val="0"/>
                  <w:marRight w:val="0"/>
                  <w:marTop w:val="0"/>
                  <w:marBottom w:val="0"/>
                  <w:divBdr>
                    <w:top w:val="none" w:sz="0" w:space="0" w:color="auto"/>
                    <w:left w:val="none" w:sz="0" w:space="0" w:color="auto"/>
                    <w:bottom w:val="none" w:sz="0" w:space="0" w:color="auto"/>
                    <w:right w:val="none" w:sz="0" w:space="0" w:color="auto"/>
                  </w:divBdr>
                  <w:divsChild>
                    <w:div w:id="1021512275">
                      <w:marLeft w:val="0"/>
                      <w:marRight w:val="0"/>
                      <w:marTop w:val="0"/>
                      <w:marBottom w:val="0"/>
                      <w:divBdr>
                        <w:top w:val="none" w:sz="0" w:space="0" w:color="auto"/>
                        <w:left w:val="none" w:sz="0" w:space="0" w:color="auto"/>
                        <w:bottom w:val="none" w:sz="0" w:space="0" w:color="auto"/>
                        <w:right w:val="none" w:sz="0" w:space="0" w:color="auto"/>
                      </w:divBdr>
                      <w:divsChild>
                        <w:div w:id="696583807">
                          <w:marLeft w:val="0"/>
                          <w:marRight w:val="0"/>
                          <w:marTop w:val="0"/>
                          <w:marBottom w:val="0"/>
                          <w:divBdr>
                            <w:top w:val="none" w:sz="0" w:space="0" w:color="auto"/>
                            <w:left w:val="none" w:sz="0" w:space="0" w:color="auto"/>
                            <w:bottom w:val="none" w:sz="0" w:space="0" w:color="auto"/>
                            <w:right w:val="none" w:sz="0" w:space="0" w:color="auto"/>
                          </w:divBdr>
                          <w:divsChild>
                            <w:div w:id="153958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062517">
      <w:bodyDiv w:val="1"/>
      <w:marLeft w:val="0"/>
      <w:marRight w:val="0"/>
      <w:marTop w:val="0"/>
      <w:marBottom w:val="0"/>
      <w:divBdr>
        <w:top w:val="none" w:sz="0" w:space="0" w:color="auto"/>
        <w:left w:val="none" w:sz="0" w:space="0" w:color="auto"/>
        <w:bottom w:val="none" w:sz="0" w:space="0" w:color="auto"/>
        <w:right w:val="none" w:sz="0" w:space="0" w:color="auto"/>
      </w:divBdr>
    </w:div>
    <w:div w:id="580062584">
      <w:bodyDiv w:val="1"/>
      <w:marLeft w:val="0"/>
      <w:marRight w:val="0"/>
      <w:marTop w:val="0"/>
      <w:marBottom w:val="0"/>
      <w:divBdr>
        <w:top w:val="none" w:sz="0" w:space="0" w:color="auto"/>
        <w:left w:val="none" w:sz="0" w:space="0" w:color="auto"/>
        <w:bottom w:val="none" w:sz="0" w:space="0" w:color="auto"/>
        <w:right w:val="none" w:sz="0" w:space="0" w:color="auto"/>
      </w:divBdr>
      <w:divsChild>
        <w:div w:id="2046128687">
          <w:marLeft w:val="0"/>
          <w:marRight w:val="0"/>
          <w:marTop w:val="0"/>
          <w:marBottom w:val="0"/>
          <w:divBdr>
            <w:top w:val="none" w:sz="0" w:space="0" w:color="auto"/>
            <w:left w:val="none" w:sz="0" w:space="0" w:color="auto"/>
            <w:bottom w:val="none" w:sz="0" w:space="0" w:color="auto"/>
            <w:right w:val="none" w:sz="0" w:space="0" w:color="auto"/>
          </w:divBdr>
          <w:divsChild>
            <w:div w:id="1195272262">
              <w:marLeft w:val="0"/>
              <w:marRight w:val="0"/>
              <w:marTop w:val="0"/>
              <w:marBottom w:val="0"/>
              <w:divBdr>
                <w:top w:val="none" w:sz="0" w:space="0" w:color="auto"/>
                <w:left w:val="none" w:sz="0" w:space="0" w:color="auto"/>
                <w:bottom w:val="none" w:sz="0" w:space="0" w:color="auto"/>
                <w:right w:val="none" w:sz="0" w:space="0" w:color="auto"/>
              </w:divBdr>
              <w:divsChild>
                <w:div w:id="1143886315">
                  <w:marLeft w:val="0"/>
                  <w:marRight w:val="0"/>
                  <w:marTop w:val="0"/>
                  <w:marBottom w:val="0"/>
                  <w:divBdr>
                    <w:top w:val="none" w:sz="0" w:space="0" w:color="auto"/>
                    <w:left w:val="none" w:sz="0" w:space="0" w:color="auto"/>
                    <w:bottom w:val="none" w:sz="0" w:space="0" w:color="auto"/>
                    <w:right w:val="none" w:sz="0" w:space="0" w:color="auto"/>
                  </w:divBdr>
                  <w:divsChild>
                    <w:div w:id="2102942538">
                      <w:marLeft w:val="0"/>
                      <w:marRight w:val="0"/>
                      <w:marTop w:val="0"/>
                      <w:marBottom w:val="0"/>
                      <w:divBdr>
                        <w:top w:val="none" w:sz="0" w:space="0" w:color="auto"/>
                        <w:left w:val="none" w:sz="0" w:space="0" w:color="auto"/>
                        <w:bottom w:val="none" w:sz="0" w:space="0" w:color="auto"/>
                        <w:right w:val="none" w:sz="0" w:space="0" w:color="auto"/>
                      </w:divBdr>
                      <w:divsChild>
                        <w:div w:id="1475372209">
                          <w:marLeft w:val="0"/>
                          <w:marRight w:val="0"/>
                          <w:marTop w:val="0"/>
                          <w:marBottom w:val="0"/>
                          <w:divBdr>
                            <w:top w:val="none" w:sz="0" w:space="0" w:color="auto"/>
                            <w:left w:val="none" w:sz="0" w:space="0" w:color="auto"/>
                            <w:bottom w:val="none" w:sz="0" w:space="0" w:color="auto"/>
                            <w:right w:val="none" w:sz="0" w:space="0" w:color="auto"/>
                          </w:divBdr>
                          <w:divsChild>
                            <w:div w:id="57967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7828994">
      <w:bodyDiv w:val="1"/>
      <w:marLeft w:val="0"/>
      <w:marRight w:val="0"/>
      <w:marTop w:val="0"/>
      <w:marBottom w:val="0"/>
      <w:divBdr>
        <w:top w:val="none" w:sz="0" w:space="0" w:color="auto"/>
        <w:left w:val="none" w:sz="0" w:space="0" w:color="auto"/>
        <w:bottom w:val="none" w:sz="0" w:space="0" w:color="auto"/>
        <w:right w:val="none" w:sz="0" w:space="0" w:color="auto"/>
      </w:divBdr>
    </w:div>
    <w:div w:id="698358862">
      <w:bodyDiv w:val="1"/>
      <w:marLeft w:val="0"/>
      <w:marRight w:val="0"/>
      <w:marTop w:val="0"/>
      <w:marBottom w:val="0"/>
      <w:divBdr>
        <w:top w:val="none" w:sz="0" w:space="0" w:color="auto"/>
        <w:left w:val="none" w:sz="0" w:space="0" w:color="auto"/>
        <w:bottom w:val="none" w:sz="0" w:space="0" w:color="auto"/>
        <w:right w:val="none" w:sz="0" w:space="0" w:color="auto"/>
      </w:divBdr>
    </w:div>
    <w:div w:id="700518475">
      <w:bodyDiv w:val="1"/>
      <w:marLeft w:val="0"/>
      <w:marRight w:val="0"/>
      <w:marTop w:val="0"/>
      <w:marBottom w:val="0"/>
      <w:divBdr>
        <w:top w:val="none" w:sz="0" w:space="0" w:color="auto"/>
        <w:left w:val="none" w:sz="0" w:space="0" w:color="auto"/>
        <w:bottom w:val="none" w:sz="0" w:space="0" w:color="auto"/>
        <w:right w:val="none" w:sz="0" w:space="0" w:color="auto"/>
      </w:divBdr>
      <w:divsChild>
        <w:div w:id="944196437">
          <w:marLeft w:val="0"/>
          <w:marRight w:val="0"/>
          <w:marTop w:val="0"/>
          <w:marBottom w:val="0"/>
          <w:divBdr>
            <w:top w:val="none" w:sz="0" w:space="0" w:color="auto"/>
            <w:left w:val="none" w:sz="0" w:space="0" w:color="auto"/>
            <w:bottom w:val="none" w:sz="0" w:space="0" w:color="auto"/>
            <w:right w:val="none" w:sz="0" w:space="0" w:color="auto"/>
          </w:divBdr>
          <w:divsChild>
            <w:div w:id="442263174">
              <w:marLeft w:val="0"/>
              <w:marRight w:val="0"/>
              <w:marTop w:val="0"/>
              <w:marBottom w:val="0"/>
              <w:divBdr>
                <w:top w:val="none" w:sz="0" w:space="0" w:color="auto"/>
                <w:left w:val="none" w:sz="0" w:space="0" w:color="auto"/>
                <w:bottom w:val="none" w:sz="0" w:space="0" w:color="auto"/>
                <w:right w:val="none" w:sz="0" w:space="0" w:color="auto"/>
              </w:divBdr>
              <w:divsChild>
                <w:div w:id="398287993">
                  <w:marLeft w:val="0"/>
                  <w:marRight w:val="0"/>
                  <w:marTop w:val="0"/>
                  <w:marBottom w:val="0"/>
                  <w:divBdr>
                    <w:top w:val="none" w:sz="0" w:space="0" w:color="auto"/>
                    <w:left w:val="none" w:sz="0" w:space="0" w:color="auto"/>
                    <w:bottom w:val="none" w:sz="0" w:space="0" w:color="auto"/>
                    <w:right w:val="none" w:sz="0" w:space="0" w:color="auto"/>
                  </w:divBdr>
                  <w:divsChild>
                    <w:div w:id="817571163">
                      <w:marLeft w:val="0"/>
                      <w:marRight w:val="0"/>
                      <w:marTop w:val="0"/>
                      <w:marBottom w:val="0"/>
                      <w:divBdr>
                        <w:top w:val="none" w:sz="0" w:space="0" w:color="auto"/>
                        <w:left w:val="none" w:sz="0" w:space="0" w:color="auto"/>
                        <w:bottom w:val="none" w:sz="0" w:space="0" w:color="auto"/>
                        <w:right w:val="none" w:sz="0" w:space="0" w:color="auto"/>
                      </w:divBdr>
                      <w:divsChild>
                        <w:div w:id="1823619841">
                          <w:marLeft w:val="0"/>
                          <w:marRight w:val="0"/>
                          <w:marTop w:val="0"/>
                          <w:marBottom w:val="0"/>
                          <w:divBdr>
                            <w:top w:val="none" w:sz="0" w:space="0" w:color="auto"/>
                            <w:left w:val="none" w:sz="0" w:space="0" w:color="auto"/>
                            <w:bottom w:val="none" w:sz="0" w:space="0" w:color="auto"/>
                            <w:right w:val="none" w:sz="0" w:space="0" w:color="auto"/>
                          </w:divBdr>
                          <w:divsChild>
                            <w:div w:id="130069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4617303">
      <w:bodyDiv w:val="1"/>
      <w:marLeft w:val="0"/>
      <w:marRight w:val="0"/>
      <w:marTop w:val="0"/>
      <w:marBottom w:val="0"/>
      <w:divBdr>
        <w:top w:val="none" w:sz="0" w:space="0" w:color="auto"/>
        <w:left w:val="none" w:sz="0" w:space="0" w:color="auto"/>
        <w:bottom w:val="none" w:sz="0" w:space="0" w:color="auto"/>
        <w:right w:val="none" w:sz="0" w:space="0" w:color="auto"/>
      </w:divBdr>
      <w:divsChild>
        <w:div w:id="1777942163">
          <w:marLeft w:val="0"/>
          <w:marRight w:val="0"/>
          <w:marTop w:val="0"/>
          <w:marBottom w:val="0"/>
          <w:divBdr>
            <w:top w:val="none" w:sz="0" w:space="0" w:color="auto"/>
            <w:left w:val="none" w:sz="0" w:space="0" w:color="auto"/>
            <w:bottom w:val="none" w:sz="0" w:space="0" w:color="auto"/>
            <w:right w:val="none" w:sz="0" w:space="0" w:color="auto"/>
          </w:divBdr>
          <w:divsChild>
            <w:div w:id="1011420043">
              <w:marLeft w:val="0"/>
              <w:marRight w:val="0"/>
              <w:marTop w:val="0"/>
              <w:marBottom w:val="0"/>
              <w:divBdr>
                <w:top w:val="none" w:sz="0" w:space="0" w:color="auto"/>
                <w:left w:val="none" w:sz="0" w:space="0" w:color="auto"/>
                <w:bottom w:val="none" w:sz="0" w:space="0" w:color="auto"/>
                <w:right w:val="none" w:sz="0" w:space="0" w:color="auto"/>
              </w:divBdr>
              <w:divsChild>
                <w:div w:id="1354377467">
                  <w:marLeft w:val="0"/>
                  <w:marRight w:val="0"/>
                  <w:marTop w:val="0"/>
                  <w:marBottom w:val="0"/>
                  <w:divBdr>
                    <w:top w:val="none" w:sz="0" w:space="0" w:color="auto"/>
                    <w:left w:val="none" w:sz="0" w:space="0" w:color="auto"/>
                    <w:bottom w:val="none" w:sz="0" w:space="0" w:color="auto"/>
                    <w:right w:val="none" w:sz="0" w:space="0" w:color="auto"/>
                  </w:divBdr>
                  <w:divsChild>
                    <w:div w:id="1693603218">
                      <w:marLeft w:val="0"/>
                      <w:marRight w:val="0"/>
                      <w:marTop w:val="0"/>
                      <w:marBottom w:val="0"/>
                      <w:divBdr>
                        <w:top w:val="none" w:sz="0" w:space="0" w:color="auto"/>
                        <w:left w:val="none" w:sz="0" w:space="0" w:color="auto"/>
                        <w:bottom w:val="none" w:sz="0" w:space="0" w:color="auto"/>
                        <w:right w:val="none" w:sz="0" w:space="0" w:color="auto"/>
                      </w:divBdr>
                      <w:divsChild>
                        <w:div w:id="1225065008">
                          <w:marLeft w:val="0"/>
                          <w:marRight w:val="0"/>
                          <w:marTop w:val="0"/>
                          <w:marBottom w:val="0"/>
                          <w:divBdr>
                            <w:top w:val="none" w:sz="0" w:space="0" w:color="auto"/>
                            <w:left w:val="none" w:sz="0" w:space="0" w:color="auto"/>
                            <w:bottom w:val="none" w:sz="0" w:space="0" w:color="auto"/>
                            <w:right w:val="none" w:sz="0" w:space="0" w:color="auto"/>
                          </w:divBdr>
                          <w:divsChild>
                            <w:div w:id="77032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514261">
      <w:bodyDiv w:val="1"/>
      <w:marLeft w:val="0"/>
      <w:marRight w:val="0"/>
      <w:marTop w:val="0"/>
      <w:marBottom w:val="0"/>
      <w:divBdr>
        <w:top w:val="none" w:sz="0" w:space="0" w:color="auto"/>
        <w:left w:val="none" w:sz="0" w:space="0" w:color="auto"/>
        <w:bottom w:val="none" w:sz="0" w:space="0" w:color="auto"/>
        <w:right w:val="none" w:sz="0" w:space="0" w:color="auto"/>
      </w:divBdr>
      <w:divsChild>
        <w:div w:id="378937838">
          <w:marLeft w:val="0"/>
          <w:marRight w:val="0"/>
          <w:marTop w:val="0"/>
          <w:marBottom w:val="0"/>
          <w:divBdr>
            <w:top w:val="none" w:sz="0" w:space="0" w:color="auto"/>
            <w:left w:val="none" w:sz="0" w:space="0" w:color="auto"/>
            <w:bottom w:val="none" w:sz="0" w:space="0" w:color="auto"/>
            <w:right w:val="none" w:sz="0" w:space="0" w:color="auto"/>
          </w:divBdr>
          <w:divsChild>
            <w:div w:id="631984725">
              <w:marLeft w:val="0"/>
              <w:marRight w:val="0"/>
              <w:marTop w:val="0"/>
              <w:marBottom w:val="0"/>
              <w:divBdr>
                <w:top w:val="none" w:sz="0" w:space="0" w:color="auto"/>
                <w:left w:val="none" w:sz="0" w:space="0" w:color="auto"/>
                <w:bottom w:val="none" w:sz="0" w:space="0" w:color="auto"/>
                <w:right w:val="none" w:sz="0" w:space="0" w:color="auto"/>
              </w:divBdr>
              <w:divsChild>
                <w:div w:id="747535123">
                  <w:marLeft w:val="0"/>
                  <w:marRight w:val="0"/>
                  <w:marTop w:val="0"/>
                  <w:marBottom w:val="0"/>
                  <w:divBdr>
                    <w:top w:val="none" w:sz="0" w:space="0" w:color="auto"/>
                    <w:left w:val="none" w:sz="0" w:space="0" w:color="auto"/>
                    <w:bottom w:val="none" w:sz="0" w:space="0" w:color="auto"/>
                    <w:right w:val="none" w:sz="0" w:space="0" w:color="auto"/>
                  </w:divBdr>
                  <w:divsChild>
                    <w:div w:id="1143616874">
                      <w:marLeft w:val="0"/>
                      <w:marRight w:val="0"/>
                      <w:marTop w:val="0"/>
                      <w:marBottom w:val="0"/>
                      <w:divBdr>
                        <w:top w:val="none" w:sz="0" w:space="0" w:color="auto"/>
                        <w:left w:val="none" w:sz="0" w:space="0" w:color="auto"/>
                        <w:bottom w:val="none" w:sz="0" w:space="0" w:color="auto"/>
                        <w:right w:val="none" w:sz="0" w:space="0" w:color="auto"/>
                      </w:divBdr>
                      <w:divsChild>
                        <w:div w:id="81951778">
                          <w:marLeft w:val="0"/>
                          <w:marRight w:val="0"/>
                          <w:marTop w:val="0"/>
                          <w:marBottom w:val="0"/>
                          <w:divBdr>
                            <w:top w:val="none" w:sz="0" w:space="0" w:color="auto"/>
                            <w:left w:val="none" w:sz="0" w:space="0" w:color="auto"/>
                            <w:bottom w:val="none" w:sz="0" w:space="0" w:color="auto"/>
                            <w:right w:val="none" w:sz="0" w:space="0" w:color="auto"/>
                          </w:divBdr>
                          <w:divsChild>
                            <w:div w:id="6018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3452823">
      <w:bodyDiv w:val="1"/>
      <w:marLeft w:val="0"/>
      <w:marRight w:val="0"/>
      <w:marTop w:val="0"/>
      <w:marBottom w:val="0"/>
      <w:divBdr>
        <w:top w:val="none" w:sz="0" w:space="0" w:color="auto"/>
        <w:left w:val="none" w:sz="0" w:space="0" w:color="auto"/>
        <w:bottom w:val="none" w:sz="0" w:space="0" w:color="auto"/>
        <w:right w:val="none" w:sz="0" w:space="0" w:color="auto"/>
      </w:divBdr>
      <w:divsChild>
        <w:div w:id="1663855911">
          <w:marLeft w:val="0"/>
          <w:marRight w:val="0"/>
          <w:marTop w:val="0"/>
          <w:marBottom w:val="0"/>
          <w:divBdr>
            <w:top w:val="none" w:sz="0" w:space="0" w:color="auto"/>
            <w:left w:val="none" w:sz="0" w:space="0" w:color="auto"/>
            <w:bottom w:val="none" w:sz="0" w:space="0" w:color="auto"/>
            <w:right w:val="none" w:sz="0" w:space="0" w:color="auto"/>
          </w:divBdr>
          <w:divsChild>
            <w:div w:id="2068605445">
              <w:marLeft w:val="0"/>
              <w:marRight w:val="0"/>
              <w:marTop w:val="0"/>
              <w:marBottom w:val="0"/>
              <w:divBdr>
                <w:top w:val="none" w:sz="0" w:space="0" w:color="auto"/>
                <w:left w:val="none" w:sz="0" w:space="0" w:color="auto"/>
                <w:bottom w:val="none" w:sz="0" w:space="0" w:color="auto"/>
                <w:right w:val="none" w:sz="0" w:space="0" w:color="auto"/>
              </w:divBdr>
              <w:divsChild>
                <w:div w:id="811365120">
                  <w:marLeft w:val="0"/>
                  <w:marRight w:val="0"/>
                  <w:marTop w:val="0"/>
                  <w:marBottom w:val="0"/>
                  <w:divBdr>
                    <w:top w:val="none" w:sz="0" w:space="0" w:color="auto"/>
                    <w:left w:val="none" w:sz="0" w:space="0" w:color="auto"/>
                    <w:bottom w:val="none" w:sz="0" w:space="0" w:color="auto"/>
                    <w:right w:val="none" w:sz="0" w:space="0" w:color="auto"/>
                  </w:divBdr>
                  <w:divsChild>
                    <w:div w:id="711541472">
                      <w:marLeft w:val="0"/>
                      <w:marRight w:val="0"/>
                      <w:marTop w:val="0"/>
                      <w:marBottom w:val="0"/>
                      <w:divBdr>
                        <w:top w:val="none" w:sz="0" w:space="0" w:color="auto"/>
                        <w:left w:val="none" w:sz="0" w:space="0" w:color="auto"/>
                        <w:bottom w:val="none" w:sz="0" w:space="0" w:color="auto"/>
                        <w:right w:val="none" w:sz="0" w:space="0" w:color="auto"/>
                      </w:divBdr>
                      <w:divsChild>
                        <w:div w:id="1113982110">
                          <w:marLeft w:val="0"/>
                          <w:marRight w:val="0"/>
                          <w:marTop w:val="0"/>
                          <w:marBottom w:val="0"/>
                          <w:divBdr>
                            <w:top w:val="none" w:sz="0" w:space="0" w:color="auto"/>
                            <w:left w:val="none" w:sz="0" w:space="0" w:color="auto"/>
                            <w:bottom w:val="none" w:sz="0" w:space="0" w:color="auto"/>
                            <w:right w:val="none" w:sz="0" w:space="0" w:color="auto"/>
                          </w:divBdr>
                          <w:divsChild>
                            <w:div w:id="11082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67241346">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14641133">
      <w:bodyDiv w:val="1"/>
      <w:marLeft w:val="0"/>
      <w:marRight w:val="0"/>
      <w:marTop w:val="0"/>
      <w:marBottom w:val="0"/>
      <w:divBdr>
        <w:top w:val="none" w:sz="0" w:space="0" w:color="auto"/>
        <w:left w:val="none" w:sz="0" w:space="0" w:color="auto"/>
        <w:bottom w:val="none" w:sz="0" w:space="0" w:color="auto"/>
        <w:right w:val="none" w:sz="0" w:space="0" w:color="auto"/>
      </w:divBdr>
    </w:div>
    <w:div w:id="842819865">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859123693">
      <w:bodyDiv w:val="1"/>
      <w:marLeft w:val="0"/>
      <w:marRight w:val="0"/>
      <w:marTop w:val="0"/>
      <w:marBottom w:val="0"/>
      <w:divBdr>
        <w:top w:val="none" w:sz="0" w:space="0" w:color="auto"/>
        <w:left w:val="none" w:sz="0" w:space="0" w:color="auto"/>
        <w:bottom w:val="none" w:sz="0" w:space="0" w:color="auto"/>
        <w:right w:val="none" w:sz="0" w:space="0" w:color="auto"/>
      </w:divBdr>
    </w:div>
    <w:div w:id="879123240">
      <w:bodyDiv w:val="1"/>
      <w:marLeft w:val="0"/>
      <w:marRight w:val="0"/>
      <w:marTop w:val="0"/>
      <w:marBottom w:val="0"/>
      <w:divBdr>
        <w:top w:val="none" w:sz="0" w:space="0" w:color="auto"/>
        <w:left w:val="none" w:sz="0" w:space="0" w:color="auto"/>
        <w:bottom w:val="none" w:sz="0" w:space="0" w:color="auto"/>
        <w:right w:val="none" w:sz="0" w:space="0" w:color="auto"/>
      </w:divBdr>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5672966">
      <w:bodyDiv w:val="1"/>
      <w:marLeft w:val="0"/>
      <w:marRight w:val="0"/>
      <w:marTop w:val="0"/>
      <w:marBottom w:val="0"/>
      <w:divBdr>
        <w:top w:val="none" w:sz="0" w:space="0" w:color="auto"/>
        <w:left w:val="none" w:sz="0" w:space="0" w:color="auto"/>
        <w:bottom w:val="none" w:sz="0" w:space="0" w:color="auto"/>
        <w:right w:val="none" w:sz="0" w:space="0" w:color="auto"/>
      </w:divBdr>
    </w:div>
    <w:div w:id="951089652">
      <w:bodyDiv w:val="1"/>
      <w:marLeft w:val="0"/>
      <w:marRight w:val="0"/>
      <w:marTop w:val="0"/>
      <w:marBottom w:val="0"/>
      <w:divBdr>
        <w:top w:val="none" w:sz="0" w:space="0" w:color="auto"/>
        <w:left w:val="none" w:sz="0" w:space="0" w:color="auto"/>
        <w:bottom w:val="none" w:sz="0" w:space="0" w:color="auto"/>
        <w:right w:val="none" w:sz="0" w:space="0" w:color="auto"/>
      </w:divBdr>
    </w:div>
    <w:div w:id="969168495">
      <w:bodyDiv w:val="1"/>
      <w:marLeft w:val="0"/>
      <w:marRight w:val="0"/>
      <w:marTop w:val="0"/>
      <w:marBottom w:val="0"/>
      <w:divBdr>
        <w:top w:val="none" w:sz="0" w:space="0" w:color="auto"/>
        <w:left w:val="none" w:sz="0" w:space="0" w:color="auto"/>
        <w:bottom w:val="none" w:sz="0" w:space="0" w:color="auto"/>
        <w:right w:val="none" w:sz="0" w:space="0" w:color="auto"/>
      </w:divBdr>
    </w:div>
    <w:div w:id="978458766">
      <w:bodyDiv w:val="1"/>
      <w:marLeft w:val="0"/>
      <w:marRight w:val="0"/>
      <w:marTop w:val="0"/>
      <w:marBottom w:val="0"/>
      <w:divBdr>
        <w:top w:val="none" w:sz="0" w:space="0" w:color="auto"/>
        <w:left w:val="none" w:sz="0" w:space="0" w:color="auto"/>
        <w:bottom w:val="none" w:sz="0" w:space="0" w:color="auto"/>
        <w:right w:val="none" w:sz="0" w:space="0" w:color="auto"/>
      </w:divBdr>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22707812">
      <w:bodyDiv w:val="1"/>
      <w:marLeft w:val="0"/>
      <w:marRight w:val="0"/>
      <w:marTop w:val="0"/>
      <w:marBottom w:val="0"/>
      <w:divBdr>
        <w:top w:val="none" w:sz="0" w:space="0" w:color="auto"/>
        <w:left w:val="none" w:sz="0" w:space="0" w:color="auto"/>
        <w:bottom w:val="none" w:sz="0" w:space="0" w:color="auto"/>
        <w:right w:val="none" w:sz="0" w:space="0" w:color="auto"/>
      </w:divBdr>
    </w:div>
    <w:div w:id="1023097082">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57817633">
      <w:bodyDiv w:val="1"/>
      <w:marLeft w:val="0"/>
      <w:marRight w:val="0"/>
      <w:marTop w:val="0"/>
      <w:marBottom w:val="0"/>
      <w:divBdr>
        <w:top w:val="none" w:sz="0" w:space="0" w:color="auto"/>
        <w:left w:val="none" w:sz="0" w:space="0" w:color="auto"/>
        <w:bottom w:val="none" w:sz="0" w:space="0" w:color="auto"/>
        <w:right w:val="none" w:sz="0" w:space="0" w:color="auto"/>
      </w:divBdr>
    </w:div>
    <w:div w:id="1063142671">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105925120">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7617795">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199053618">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77714166">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642700">
      <w:bodyDiv w:val="1"/>
      <w:marLeft w:val="0"/>
      <w:marRight w:val="0"/>
      <w:marTop w:val="0"/>
      <w:marBottom w:val="0"/>
      <w:divBdr>
        <w:top w:val="none" w:sz="0" w:space="0" w:color="auto"/>
        <w:left w:val="none" w:sz="0" w:space="0" w:color="auto"/>
        <w:bottom w:val="none" w:sz="0" w:space="0" w:color="auto"/>
        <w:right w:val="none" w:sz="0" w:space="0" w:color="auto"/>
      </w:divBdr>
    </w:div>
    <w:div w:id="1298222136">
      <w:bodyDiv w:val="1"/>
      <w:marLeft w:val="0"/>
      <w:marRight w:val="0"/>
      <w:marTop w:val="0"/>
      <w:marBottom w:val="0"/>
      <w:divBdr>
        <w:top w:val="none" w:sz="0" w:space="0" w:color="auto"/>
        <w:left w:val="none" w:sz="0" w:space="0" w:color="auto"/>
        <w:bottom w:val="none" w:sz="0" w:space="0" w:color="auto"/>
        <w:right w:val="none" w:sz="0" w:space="0" w:color="auto"/>
      </w:divBdr>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56231283">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62129246">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372143616">
      <w:bodyDiv w:val="1"/>
      <w:marLeft w:val="0"/>
      <w:marRight w:val="0"/>
      <w:marTop w:val="0"/>
      <w:marBottom w:val="0"/>
      <w:divBdr>
        <w:top w:val="none" w:sz="0" w:space="0" w:color="auto"/>
        <w:left w:val="none" w:sz="0" w:space="0" w:color="auto"/>
        <w:bottom w:val="none" w:sz="0" w:space="0" w:color="auto"/>
        <w:right w:val="none" w:sz="0" w:space="0" w:color="auto"/>
      </w:divBdr>
    </w:div>
    <w:div w:id="1376344453">
      <w:bodyDiv w:val="1"/>
      <w:marLeft w:val="0"/>
      <w:marRight w:val="0"/>
      <w:marTop w:val="0"/>
      <w:marBottom w:val="0"/>
      <w:divBdr>
        <w:top w:val="none" w:sz="0" w:space="0" w:color="auto"/>
        <w:left w:val="none" w:sz="0" w:space="0" w:color="auto"/>
        <w:bottom w:val="none" w:sz="0" w:space="0" w:color="auto"/>
        <w:right w:val="none" w:sz="0" w:space="0" w:color="auto"/>
      </w:divBdr>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36905409">
      <w:bodyDiv w:val="1"/>
      <w:marLeft w:val="0"/>
      <w:marRight w:val="0"/>
      <w:marTop w:val="0"/>
      <w:marBottom w:val="0"/>
      <w:divBdr>
        <w:top w:val="none" w:sz="0" w:space="0" w:color="auto"/>
        <w:left w:val="none" w:sz="0" w:space="0" w:color="auto"/>
        <w:bottom w:val="none" w:sz="0" w:space="0" w:color="auto"/>
        <w:right w:val="none" w:sz="0" w:space="0" w:color="auto"/>
      </w:divBdr>
      <w:divsChild>
        <w:div w:id="1606496769">
          <w:marLeft w:val="0"/>
          <w:marRight w:val="0"/>
          <w:marTop w:val="0"/>
          <w:marBottom w:val="0"/>
          <w:divBdr>
            <w:top w:val="none" w:sz="0" w:space="0" w:color="auto"/>
            <w:left w:val="none" w:sz="0" w:space="0" w:color="auto"/>
            <w:bottom w:val="none" w:sz="0" w:space="0" w:color="auto"/>
            <w:right w:val="none" w:sz="0" w:space="0" w:color="auto"/>
          </w:divBdr>
          <w:divsChild>
            <w:div w:id="1652097740">
              <w:marLeft w:val="0"/>
              <w:marRight w:val="0"/>
              <w:marTop w:val="0"/>
              <w:marBottom w:val="0"/>
              <w:divBdr>
                <w:top w:val="none" w:sz="0" w:space="0" w:color="auto"/>
                <w:left w:val="none" w:sz="0" w:space="0" w:color="auto"/>
                <w:bottom w:val="none" w:sz="0" w:space="0" w:color="auto"/>
                <w:right w:val="none" w:sz="0" w:space="0" w:color="auto"/>
              </w:divBdr>
              <w:divsChild>
                <w:div w:id="1646349370">
                  <w:marLeft w:val="0"/>
                  <w:marRight w:val="0"/>
                  <w:marTop w:val="0"/>
                  <w:marBottom w:val="0"/>
                  <w:divBdr>
                    <w:top w:val="none" w:sz="0" w:space="0" w:color="auto"/>
                    <w:left w:val="none" w:sz="0" w:space="0" w:color="auto"/>
                    <w:bottom w:val="none" w:sz="0" w:space="0" w:color="auto"/>
                    <w:right w:val="none" w:sz="0" w:space="0" w:color="auto"/>
                  </w:divBdr>
                  <w:divsChild>
                    <w:div w:id="1321156932">
                      <w:marLeft w:val="0"/>
                      <w:marRight w:val="0"/>
                      <w:marTop w:val="0"/>
                      <w:marBottom w:val="0"/>
                      <w:divBdr>
                        <w:top w:val="none" w:sz="0" w:space="0" w:color="auto"/>
                        <w:left w:val="none" w:sz="0" w:space="0" w:color="auto"/>
                        <w:bottom w:val="none" w:sz="0" w:space="0" w:color="auto"/>
                        <w:right w:val="none" w:sz="0" w:space="0" w:color="auto"/>
                      </w:divBdr>
                      <w:divsChild>
                        <w:div w:id="1772238540">
                          <w:marLeft w:val="0"/>
                          <w:marRight w:val="0"/>
                          <w:marTop w:val="0"/>
                          <w:marBottom w:val="0"/>
                          <w:divBdr>
                            <w:top w:val="none" w:sz="0" w:space="0" w:color="auto"/>
                            <w:left w:val="none" w:sz="0" w:space="0" w:color="auto"/>
                            <w:bottom w:val="none" w:sz="0" w:space="0" w:color="auto"/>
                            <w:right w:val="none" w:sz="0" w:space="0" w:color="auto"/>
                          </w:divBdr>
                          <w:divsChild>
                            <w:div w:id="108653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460605951">
      <w:bodyDiv w:val="1"/>
      <w:marLeft w:val="0"/>
      <w:marRight w:val="0"/>
      <w:marTop w:val="0"/>
      <w:marBottom w:val="0"/>
      <w:divBdr>
        <w:top w:val="none" w:sz="0" w:space="0" w:color="auto"/>
        <w:left w:val="none" w:sz="0" w:space="0" w:color="auto"/>
        <w:bottom w:val="none" w:sz="0" w:space="0" w:color="auto"/>
        <w:right w:val="none" w:sz="0" w:space="0" w:color="auto"/>
      </w:divBdr>
    </w:div>
    <w:div w:id="1467352984">
      <w:bodyDiv w:val="1"/>
      <w:marLeft w:val="0"/>
      <w:marRight w:val="0"/>
      <w:marTop w:val="0"/>
      <w:marBottom w:val="0"/>
      <w:divBdr>
        <w:top w:val="none" w:sz="0" w:space="0" w:color="auto"/>
        <w:left w:val="none" w:sz="0" w:space="0" w:color="auto"/>
        <w:bottom w:val="none" w:sz="0" w:space="0" w:color="auto"/>
        <w:right w:val="none" w:sz="0" w:space="0" w:color="auto"/>
      </w:divBdr>
    </w:div>
    <w:div w:id="1568606825">
      <w:bodyDiv w:val="1"/>
      <w:marLeft w:val="0"/>
      <w:marRight w:val="0"/>
      <w:marTop w:val="0"/>
      <w:marBottom w:val="0"/>
      <w:divBdr>
        <w:top w:val="none" w:sz="0" w:space="0" w:color="auto"/>
        <w:left w:val="none" w:sz="0" w:space="0" w:color="auto"/>
        <w:bottom w:val="none" w:sz="0" w:space="0" w:color="auto"/>
        <w:right w:val="none" w:sz="0" w:space="0" w:color="auto"/>
      </w:divBdr>
      <w:divsChild>
        <w:div w:id="1226065313">
          <w:marLeft w:val="0"/>
          <w:marRight w:val="0"/>
          <w:marTop w:val="0"/>
          <w:marBottom w:val="0"/>
          <w:divBdr>
            <w:top w:val="none" w:sz="0" w:space="0" w:color="auto"/>
            <w:left w:val="none" w:sz="0" w:space="0" w:color="auto"/>
            <w:bottom w:val="none" w:sz="0" w:space="0" w:color="auto"/>
            <w:right w:val="none" w:sz="0" w:space="0" w:color="auto"/>
          </w:divBdr>
          <w:divsChild>
            <w:div w:id="843476681">
              <w:marLeft w:val="0"/>
              <w:marRight w:val="0"/>
              <w:marTop w:val="0"/>
              <w:marBottom w:val="0"/>
              <w:divBdr>
                <w:top w:val="none" w:sz="0" w:space="0" w:color="auto"/>
                <w:left w:val="none" w:sz="0" w:space="0" w:color="auto"/>
                <w:bottom w:val="none" w:sz="0" w:space="0" w:color="auto"/>
                <w:right w:val="none" w:sz="0" w:space="0" w:color="auto"/>
              </w:divBdr>
              <w:divsChild>
                <w:div w:id="484392559">
                  <w:marLeft w:val="0"/>
                  <w:marRight w:val="0"/>
                  <w:marTop w:val="0"/>
                  <w:marBottom w:val="0"/>
                  <w:divBdr>
                    <w:top w:val="none" w:sz="0" w:space="0" w:color="auto"/>
                    <w:left w:val="none" w:sz="0" w:space="0" w:color="auto"/>
                    <w:bottom w:val="none" w:sz="0" w:space="0" w:color="auto"/>
                    <w:right w:val="none" w:sz="0" w:space="0" w:color="auto"/>
                  </w:divBdr>
                  <w:divsChild>
                    <w:div w:id="921987807">
                      <w:marLeft w:val="0"/>
                      <w:marRight w:val="0"/>
                      <w:marTop w:val="0"/>
                      <w:marBottom w:val="0"/>
                      <w:divBdr>
                        <w:top w:val="none" w:sz="0" w:space="0" w:color="auto"/>
                        <w:left w:val="none" w:sz="0" w:space="0" w:color="auto"/>
                        <w:bottom w:val="none" w:sz="0" w:space="0" w:color="auto"/>
                        <w:right w:val="none" w:sz="0" w:space="0" w:color="auto"/>
                      </w:divBdr>
                      <w:divsChild>
                        <w:div w:id="801770531">
                          <w:marLeft w:val="0"/>
                          <w:marRight w:val="0"/>
                          <w:marTop w:val="0"/>
                          <w:marBottom w:val="0"/>
                          <w:divBdr>
                            <w:top w:val="none" w:sz="0" w:space="0" w:color="auto"/>
                            <w:left w:val="none" w:sz="0" w:space="0" w:color="auto"/>
                            <w:bottom w:val="none" w:sz="0" w:space="0" w:color="auto"/>
                            <w:right w:val="none" w:sz="0" w:space="0" w:color="auto"/>
                          </w:divBdr>
                          <w:divsChild>
                            <w:div w:id="87950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3803312">
      <w:bodyDiv w:val="1"/>
      <w:marLeft w:val="0"/>
      <w:marRight w:val="0"/>
      <w:marTop w:val="0"/>
      <w:marBottom w:val="0"/>
      <w:divBdr>
        <w:top w:val="none" w:sz="0" w:space="0" w:color="auto"/>
        <w:left w:val="none" w:sz="0" w:space="0" w:color="auto"/>
        <w:bottom w:val="none" w:sz="0" w:space="0" w:color="auto"/>
        <w:right w:val="none" w:sz="0" w:space="0" w:color="auto"/>
      </w:divBdr>
    </w:div>
    <w:div w:id="1622876285">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195767">
      <w:bodyDiv w:val="1"/>
      <w:marLeft w:val="0"/>
      <w:marRight w:val="0"/>
      <w:marTop w:val="0"/>
      <w:marBottom w:val="0"/>
      <w:divBdr>
        <w:top w:val="none" w:sz="0" w:space="0" w:color="auto"/>
        <w:left w:val="none" w:sz="0" w:space="0" w:color="auto"/>
        <w:bottom w:val="none" w:sz="0" w:space="0" w:color="auto"/>
        <w:right w:val="none" w:sz="0" w:space="0" w:color="auto"/>
      </w:divBdr>
    </w:div>
    <w:div w:id="1712723530">
      <w:bodyDiv w:val="1"/>
      <w:marLeft w:val="0"/>
      <w:marRight w:val="0"/>
      <w:marTop w:val="0"/>
      <w:marBottom w:val="0"/>
      <w:divBdr>
        <w:top w:val="none" w:sz="0" w:space="0" w:color="auto"/>
        <w:left w:val="none" w:sz="0" w:space="0" w:color="auto"/>
        <w:bottom w:val="none" w:sz="0" w:space="0" w:color="auto"/>
        <w:right w:val="none" w:sz="0" w:space="0" w:color="auto"/>
      </w:divBdr>
      <w:divsChild>
        <w:div w:id="534083872">
          <w:marLeft w:val="0"/>
          <w:marRight w:val="0"/>
          <w:marTop w:val="0"/>
          <w:marBottom w:val="0"/>
          <w:divBdr>
            <w:top w:val="none" w:sz="0" w:space="0" w:color="auto"/>
            <w:left w:val="none" w:sz="0" w:space="0" w:color="auto"/>
            <w:bottom w:val="none" w:sz="0" w:space="0" w:color="auto"/>
            <w:right w:val="none" w:sz="0" w:space="0" w:color="auto"/>
          </w:divBdr>
          <w:divsChild>
            <w:div w:id="2126265536">
              <w:marLeft w:val="0"/>
              <w:marRight w:val="0"/>
              <w:marTop w:val="0"/>
              <w:marBottom w:val="0"/>
              <w:divBdr>
                <w:top w:val="none" w:sz="0" w:space="0" w:color="auto"/>
                <w:left w:val="none" w:sz="0" w:space="0" w:color="auto"/>
                <w:bottom w:val="none" w:sz="0" w:space="0" w:color="auto"/>
                <w:right w:val="none" w:sz="0" w:space="0" w:color="auto"/>
              </w:divBdr>
              <w:divsChild>
                <w:div w:id="1603535729">
                  <w:marLeft w:val="0"/>
                  <w:marRight w:val="0"/>
                  <w:marTop w:val="0"/>
                  <w:marBottom w:val="0"/>
                  <w:divBdr>
                    <w:top w:val="none" w:sz="0" w:space="0" w:color="auto"/>
                    <w:left w:val="none" w:sz="0" w:space="0" w:color="auto"/>
                    <w:bottom w:val="none" w:sz="0" w:space="0" w:color="auto"/>
                    <w:right w:val="none" w:sz="0" w:space="0" w:color="auto"/>
                  </w:divBdr>
                  <w:divsChild>
                    <w:div w:id="120386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38491">
      <w:bodyDiv w:val="1"/>
      <w:marLeft w:val="0"/>
      <w:marRight w:val="0"/>
      <w:marTop w:val="0"/>
      <w:marBottom w:val="0"/>
      <w:divBdr>
        <w:top w:val="none" w:sz="0" w:space="0" w:color="auto"/>
        <w:left w:val="none" w:sz="0" w:space="0" w:color="auto"/>
        <w:bottom w:val="none" w:sz="0" w:space="0" w:color="auto"/>
        <w:right w:val="none" w:sz="0" w:space="0" w:color="auto"/>
      </w:divBdr>
    </w:div>
    <w:div w:id="1727407778">
      <w:bodyDiv w:val="1"/>
      <w:marLeft w:val="0"/>
      <w:marRight w:val="0"/>
      <w:marTop w:val="0"/>
      <w:marBottom w:val="0"/>
      <w:divBdr>
        <w:top w:val="none" w:sz="0" w:space="0" w:color="auto"/>
        <w:left w:val="none" w:sz="0" w:space="0" w:color="auto"/>
        <w:bottom w:val="none" w:sz="0" w:space="0" w:color="auto"/>
        <w:right w:val="none" w:sz="0" w:space="0" w:color="auto"/>
      </w:divBdr>
      <w:divsChild>
        <w:div w:id="1015302859">
          <w:marLeft w:val="0"/>
          <w:marRight w:val="0"/>
          <w:marTop w:val="0"/>
          <w:marBottom w:val="0"/>
          <w:divBdr>
            <w:top w:val="none" w:sz="0" w:space="0" w:color="auto"/>
            <w:left w:val="none" w:sz="0" w:space="0" w:color="auto"/>
            <w:bottom w:val="none" w:sz="0" w:space="0" w:color="auto"/>
            <w:right w:val="none" w:sz="0" w:space="0" w:color="auto"/>
          </w:divBdr>
          <w:divsChild>
            <w:div w:id="1957717464">
              <w:marLeft w:val="0"/>
              <w:marRight w:val="0"/>
              <w:marTop w:val="0"/>
              <w:marBottom w:val="0"/>
              <w:divBdr>
                <w:top w:val="none" w:sz="0" w:space="0" w:color="auto"/>
                <w:left w:val="none" w:sz="0" w:space="0" w:color="auto"/>
                <w:bottom w:val="none" w:sz="0" w:space="0" w:color="auto"/>
                <w:right w:val="none" w:sz="0" w:space="0" w:color="auto"/>
              </w:divBdr>
              <w:divsChild>
                <w:div w:id="1752048105">
                  <w:marLeft w:val="0"/>
                  <w:marRight w:val="0"/>
                  <w:marTop w:val="0"/>
                  <w:marBottom w:val="0"/>
                  <w:divBdr>
                    <w:top w:val="none" w:sz="0" w:space="0" w:color="auto"/>
                    <w:left w:val="none" w:sz="0" w:space="0" w:color="auto"/>
                    <w:bottom w:val="none" w:sz="0" w:space="0" w:color="auto"/>
                    <w:right w:val="none" w:sz="0" w:space="0" w:color="auto"/>
                  </w:divBdr>
                  <w:divsChild>
                    <w:div w:id="174930063">
                      <w:marLeft w:val="0"/>
                      <w:marRight w:val="0"/>
                      <w:marTop w:val="0"/>
                      <w:marBottom w:val="0"/>
                      <w:divBdr>
                        <w:top w:val="none" w:sz="0" w:space="0" w:color="auto"/>
                        <w:left w:val="none" w:sz="0" w:space="0" w:color="auto"/>
                        <w:bottom w:val="none" w:sz="0" w:space="0" w:color="auto"/>
                        <w:right w:val="none" w:sz="0" w:space="0" w:color="auto"/>
                      </w:divBdr>
                      <w:divsChild>
                        <w:div w:id="902064819">
                          <w:marLeft w:val="0"/>
                          <w:marRight w:val="0"/>
                          <w:marTop w:val="0"/>
                          <w:marBottom w:val="0"/>
                          <w:divBdr>
                            <w:top w:val="none" w:sz="0" w:space="0" w:color="auto"/>
                            <w:left w:val="none" w:sz="0" w:space="0" w:color="auto"/>
                            <w:bottom w:val="none" w:sz="0" w:space="0" w:color="auto"/>
                            <w:right w:val="none" w:sz="0" w:space="0" w:color="auto"/>
                          </w:divBdr>
                          <w:divsChild>
                            <w:div w:id="125824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147174">
      <w:bodyDiv w:val="1"/>
      <w:marLeft w:val="0"/>
      <w:marRight w:val="0"/>
      <w:marTop w:val="0"/>
      <w:marBottom w:val="0"/>
      <w:divBdr>
        <w:top w:val="none" w:sz="0" w:space="0" w:color="auto"/>
        <w:left w:val="none" w:sz="0" w:space="0" w:color="auto"/>
        <w:bottom w:val="none" w:sz="0" w:space="0" w:color="auto"/>
        <w:right w:val="none" w:sz="0" w:space="0" w:color="auto"/>
      </w:divBdr>
      <w:divsChild>
        <w:div w:id="543903445">
          <w:marLeft w:val="0"/>
          <w:marRight w:val="0"/>
          <w:marTop w:val="0"/>
          <w:marBottom w:val="0"/>
          <w:divBdr>
            <w:top w:val="none" w:sz="0" w:space="0" w:color="auto"/>
            <w:left w:val="none" w:sz="0" w:space="0" w:color="auto"/>
            <w:bottom w:val="none" w:sz="0" w:space="0" w:color="auto"/>
            <w:right w:val="none" w:sz="0" w:space="0" w:color="auto"/>
          </w:divBdr>
          <w:divsChild>
            <w:div w:id="1227111592">
              <w:marLeft w:val="0"/>
              <w:marRight w:val="0"/>
              <w:marTop w:val="0"/>
              <w:marBottom w:val="0"/>
              <w:divBdr>
                <w:top w:val="none" w:sz="0" w:space="0" w:color="auto"/>
                <w:left w:val="none" w:sz="0" w:space="0" w:color="auto"/>
                <w:bottom w:val="none" w:sz="0" w:space="0" w:color="auto"/>
                <w:right w:val="none" w:sz="0" w:space="0" w:color="auto"/>
              </w:divBdr>
              <w:divsChild>
                <w:div w:id="1452750140">
                  <w:marLeft w:val="0"/>
                  <w:marRight w:val="0"/>
                  <w:marTop w:val="0"/>
                  <w:marBottom w:val="0"/>
                  <w:divBdr>
                    <w:top w:val="none" w:sz="0" w:space="0" w:color="auto"/>
                    <w:left w:val="none" w:sz="0" w:space="0" w:color="auto"/>
                    <w:bottom w:val="none" w:sz="0" w:space="0" w:color="auto"/>
                    <w:right w:val="none" w:sz="0" w:space="0" w:color="auto"/>
                  </w:divBdr>
                  <w:divsChild>
                    <w:div w:id="894198493">
                      <w:marLeft w:val="0"/>
                      <w:marRight w:val="0"/>
                      <w:marTop w:val="0"/>
                      <w:marBottom w:val="0"/>
                      <w:divBdr>
                        <w:top w:val="none" w:sz="0" w:space="0" w:color="auto"/>
                        <w:left w:val="none" w:sz="0" w:space="0" w:color="auto"/>
                        <w:bottom w:val="none" w:sz="0" w:space="0" w:color="auto"/>
                        <w:right w:val="none" w:sz="0" w:space="0" w:color="auto"/>
                      </w:divBdr>
                      <w:divsChild>
                        <w:div w:id="842207505">
                          <w:marLeft w:val="0"/>
                          <w:marRight w:val="0"/>
                          <w:marTop w:val="0"/>
                          <w:marBottom w:val="0"/>
                          <w:divBdr>
                            <w:top w:val="none" w:sz="0" w:space="0" w:color="auto"/>
                            <w:left w:val="none" w:sz="0" w:space="0" w:color="auto"/>
                            <w:bottom w:val="none" w:sz="0" w:space="0" w:color="auto"/>
                            <w:right w:val="none" w:sz="0" w:space="0" w:color="auto"/>
                          </w:divBdr>
                          <w:divsChild>
                            <w:div w:id="152374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9425633">
      <w:bodyDiv w:val="1"/>
      <w:marLeft w:val="0"/>
      <w:marRight w:val="0"/>
      <w:marTop w:val="0"/>
      <w:marBottom w:val="0"/>
      <w:divBdr>
        <w:top w:val="none" w:sz="0" w:space="0" w:color="auto"/>
        <w:left w:val="none" w:sz="0" w:space="0" w:color="auto"/>
        <w:bottom w:val="none" w:sz="0" w:space="0" w:color="auto"/>
        <w:right w:val="none" w:sz="0" w:space="0" w:color="auto"/>
      </w:divBdr>
      <w:divsChild>
        <w:div w:id="805856813">
          <w:marLeft w:val="0"/>
          <w:marRight w:val="0"/>
          <w:marTop w:val="0"/>
          <w:marBottom w:val="0"/>
          <w:divBdr>
            <w:top w:val="none" w:sz="0" w:space="0" w:color="auto"/>
            <w:left w:val="none" w:sz="0" w:space="0" w:color="auto"/>
            <w:bottom w:val="none" w:sz="0" w:space="0" w:color="auto"/>
            <w:right w:val="none" w:sz="0" w:space="0" w:color="auto"/>
          </w:divBdr>
          <w:divsChild>
            <w:div w:id="1796095221">
              <w:marLeft w:val="0"/>
              <w:marRight w:val="0"/>
              <w:marTop w:val="0"/>
              <w:marBottom w:val="0"/>
              <w:divBdr>
                <w:top w:val="none" w:sz="0" w:space="0" w:color="auto"/>
                <w:left w:val="none" w:sz="0" w:space="0" w:color="auto"/>
                <w:bottom w:val="none" w:sz="0" w:space="0" w:color="auto"/>
                <w:right w:val="none" w:sz="0" w:space="0" w:color="auto"/>
              </w:divBdr>
              <w:divsChild>
                <w:div w:id="166987242">
                  <w:marLeft w:val="0"/>
                  <w:marRight w:val="0"/>
                  <w:marTop w:val="0"/>
                  <w:marBottom w:val="0"/>
                  <w:divBdr>
                    <w:top w:val="none" w:sz="0" w:space="0" w:color="auto"/>
                    <w:left w:val="none" w:sz="0" w:space="0" w:color="auto"/>
                    <w:bottom w:val="none" w:sz="0" w:space="0" w:color="auto"/>
                    <w:right w:val="none" w:sz="0" w:space="0" w:color="auto"/>
                  </w:divBdr>
                  <w:divsChild>
                    <w:div w:id="150101632">
                      <w:marLeft w:val="0"/>
                      <w:marRight w:val="0"/>
                      <w:marTop w:val="0"/>
                      <w:marBottom w:val="0"/>
                      <w:divBdr>
                        <w:top w:val="none" w:sz="0" w:space="0" w:color="auto"/>
                        <w:left w:val="none" w:sz="0" w:space="0" w:color="auto"/>
                        <w:bottom w:val="none" w:sz="0" w:space="0" w:color="auto"/>
                        <w:right w:val="none" w:sz="0" w:space="0" w:color="auto"/>
                      </w:divBdr>
                      <w:divsChild>
                        <w:div w:id="1119183819">
                          <w:marLeft w:val="0"/>
                          <w:marRight w:val="0"/>
                          <w:marTop w:val="0"/>
                          <w:marBottom w:val="0"/>
                          <w:divBdr>
                            <w:top w:val="none" w:sz="0" w:space="0" w:color="auto"/>
                            <w:left w:val="none" w:sz="0" w:space="0" w:color="auto"/>
                            <w:bottom w:val="none" w:sz="0" w:space="0" w:color="auto"/>
                            <w:right w:val="none" w:sz="0" w:space="0" w:color="auto"/>
                          </w:divBdr>
                          <w:divsChild>
                            <w:div w:id="152682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6249121">
      <w:bodyDiv w:val="1"/>
      <w:marLeft w:val="0"/>
      <w:marRight w:val="0"/>
      <w:marTop w:val="0"/>
      <w:marBottom w:val="0"/>
      <w:divBdr>
        <w:top w:val="none" w:sz="0" w:space="0" w:color="auto"/>
        <w:left w:val="none" w:sz="0" w:space="0" w:color="auto"/>
        <w:bottom w:val="none" w:sz="0" w:space="0" w:color="auto"/>
        <w:right w:val="none" w:sz="0" w:space="0" w:color="auto"/>
      </w:divBdr>
      <w:divsChild>
        <w:div w:id="571701406">
          <w:marLeft w:val="0"/>
          <w:marRight w:val="0"/>
          <w:marTop w:val="0"/>
          <w:marBottom w:val="0"/>
          <w:divBdr>
            <w:top w:val="none" w:sz="0" w:space="0" w:color="auto"/>
            <w:left w:val="none" w:sz="0" w:space="0" w:color="auto"/>
            <w:bottom w:val="none" w:sz="0" w:space="0" w:color="auto"/>
            <w:right w:val="none" w:sz="0" w:space="0" w:color="auto"/>
          </w:divBdr>
          <w:divsChild>
            <w:div w:id="1224483847">
              <w:marLeft w:val="0"/>
              <w:marRight w:val="0"/>
              <w:marTop w:val="0"/>
              <w:marBottom w:val="0"/>
              <w:divBdr>
                <w:top w:val="none" w:sz="0" w:space="0" w:color="auto"/>
                <w:left w:val="none" w:sz="0" w:space="0" w:color="auto"/>
                <w:bottom w:val="none" w:sz="0" w:space="0" w:color="auto"/>
                <w:right w:val="none" w:sz="0" w:space="0" w:color="auto"/>
              </w:divBdr>
              <w:divsChild>
                <w:div w:id="477308766">
                  <w:marLeft w:val="0"/>
                  <w:marRight w:val="0"/>
                  <w:marTop w:val="0"/>
                  <w:marBottom w:val="0"/>
                  <w:divBdr>
                    <w:top w:val="none" w:sz="0" w:space="0" w:color="auto"/>
                    <w:left w:val="none" w:sz="0" w:space="0" w:color="auto"/>
                    <w:bottom w:val="none" w:sz="0" w:space="0" w:color="auto"/>
                    <w:right w:val="none" w:sz="0" w:space="0" w:color="auto"/>
                  </w:divBdr>
                  <w:divsChild>
                    <w:div w:id="1598322694">
                      <w:marLeft w:val="0"/>
                      <w:marRight w:val="0"/>
                      <w:marTop w:val="0"/>
                      <w:marBottom w:val="0"/>
                      <w:divBdr>
                        <w:top w:val="none" w:sz="0" w:space="0" w:color="auto"/>
                        <w:left w:val="none" w:sz="0" w:space="0" w:color="auto"/>
                        <w:bottom w:val="none" w:sz="0" w:space="0" w:color="auto"/>
                        <w:right w:val="none" w:sz="0" w:space="0" w:color="auto"/>
                      </w:divBdr>
                      <w:divsChild>
                        <w:div w:id="1798376047">
                          <w:marLeft w:val="0"/>
                          <w:marRight w:val="0"/>
                          <w:marTop w:val="0"/>
                          <w:marBottom w:val="0"/>
                          <w:divBdr>
                            <w:top w:val="none" w:sz="0" w:space="0" w:color="auto"/>
                            <w:left w:val="none" w:sz="0" w:space="0" w:color="auto"/>
                            <w:bottom w:val="none" w:sz="0" w:space="0" w:color="auto"/>
                            <w:right w:val="none" w:sz="0" w:space="0" w:color="auto"/>
                          </w:divBdr>
                          <w:divsChild>
                            <w:div w:id="147903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62664405">
      <w:bodyDiv w:val="1"/>
      <w:marLeft w:val="0"/>
      <w:marRight w:val="0"/>
      <w:marTop w:val="0"/>
      <w:marBottom w:val="0"/>
      <w:divBdr>
        <w:top w:val="none" w:sz="0" w:space="0" w:color="auto"/>
        <w:left w:val="none" w:sz="0" w:space="0" w:color="auto"/>
        <w:bottom w:val="none" w:sz="0" w:space="0" w:color="auto"/>
        <w:right w:val="none" w:sz="0" w:space="0" w:color="auto"/>
      </w:divBdr>
    </w:div>
    <w:div w:id="1871214247">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891841958">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 w:id="2104718142">
      <w:bodyDiv w:val="1"/>
      <w:marLeft w:val="0"/>
      <w:marRight w:val="0"/>
      <w:marTop w:val="0"/>
      <w:marBottom w:val="0"/>
      <w:divBdr>
        <w:top w:val="none" w:sz="0" w:space="0" w:color="auto"/>
        <w:left w:val="none" w:sz="0" w:space="0" w:color="auto"/>
        <w:bottom w:val="none" w:sz="0" w:space="0" w:color="auto"/>
        <w:right w:val="none" w:sz="0" w:space="0" w:color="auto"/>
      </w:divBdr>
    </w:div>
    <w:div w:id="2124033956">
      <w:bodyDiv w:val="1"/>
      <w:marLeft w:val="0"/>
      <w:marRight w:val="0"/>
      <w:marTop w:val="0"/>
      <w:marBottom w:val="0"/>
      <w:divBdr>
        <w:top w:val="none" w:sz="0" w:space="0" w:color="auto"/>
        <w:left w:val="none" w:sz="0" w:space="0" w:color="auto"/>
        <w:bottom w:val="none" w:sz="0" w:space="0" w:color="auto"/>
        <w:right w:val="none" w:sz="0" w:space="0" w:color="auto"/>
      </w:divBdr>
    </w:div>
    <w:div w:id="212665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32782/2410-0927-2022-16-1" TargetMode="External"/><Relationship Id="rId13" Type="http://schemas.openxmlformats.org/officeDocument/2006/relationships/hyperlink" Target="https://doi.org/10.32782/tps2663-4880/2021.19.2.23" TargetMode="External"/><Relationship Id="rId18" Type="http://schemas.openxmlformats.org/officeDocument/2006/relationships/hyperlink" Target="https://doi.org/10.5281/zenodo.4763152" TargetMode="External"/><Relationship Id="rId3" Type="http://schemas.openxmlformats.org/officeDocument/2006/relationships/settings" Target="settings.xml"/><Relationship Id="rId21" Type="http://schemas.openxmlformats.org/officeDocument/2006/relationships/hyperlink" Target="http://dx.doi.org/10.31174/send-ph2018-167vi50-14" TargetMode="External"/><Relationship Id="rId7" Type="http://schemas.openxmlformats.org/officeDocument/2006/relationships/hyperlink" Target="https://doi.org/10.31861/gph2023.846.23-34" TargetMode="External"/><Relationship Id="rId12" Type="http://schemas.openxmlformats.org/officeDocument/2006/relationships/hyperlink" Target="https://doi.org/10.31861/gph2024.850-851.99-105" TargetMode="External"/><Relationship Id="rId17" Type="http://schemas.openxmlformats.org/officeDocument/2006/relationships/hyperlink" Target="http://dx.doi.org/10.26661/2414-1135-2023-89-33"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dx.doi.org/10.32839/2304-5809/2021-10-98-22" TargetMode="External"/><Relationship Id="rId20" Type="http://schemas.openxmlformats.org/officeDocument/2006/relationships/hyperlink" Target="https://doi.org/10.52058/2786-6165-2025-10(40)-140-15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x.doi.org/10.55056/e-learn.v2i1.256"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org/10.32838/2663-6069/2020.4-2/27" TargetMode="External"/><Relationship Id="rId23" Type="http://schemas.openxmlformats.org/officeDocument/2006/relationships/header" Target="header1.xml"/><Relationship Id="rId10" Type="http://schemas.openxmlformats.org/officeDocument/2006/relationships/hyperlink" Target="http://dx.doi.org/10.31812/filstd.v17i0.191" TargetMode="External"/><Relationship Id="rId19" Type="http://schemas.openxmlformats.org/officeDocument/2006/relationships/hyperlink" Target="http://dx.doi.org/10.25264/2519-2558-2021-12(80)-126-130" TargetMode="External"/><Relationship Id="rId4" Type="http://schemas.openxmlformats.org/officeDocument/2006/relationships/webSettings" Target="webSettings.xml"/><Relationship Id="rId9" Type="http://schemas.openxmlformats.org/officeDocument/2006/relationships/hyperlink" Target="https://doi.org/10.31498/2522-9990232020240732" TargetMode="External"/><Relationship Id="rId14" Type="http://schemas.openxmlformats.org/officeDocument/2006/relationships/hyperlink" Target="http://dx.doi.org/10.52726/as.pedagogy/2024.1.5" TargetMode="External"/><Relationship Id="rId22" Type="http://schemas.openxmlformats.org/officeDocument/2006/relationships/hyperlink" Target="https://live.european-language-grid.e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1341</TotalTime>
  <Pages>60</Pages>
  <Words>69615</Words>
  <Characters>39681</Characters>
  <Application>Microsoft Office Word</Application>
  <DocSecurity>0</DocSecurity>
  <Lines>330</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277</cp:revision>
  <dcterms:created xsi:type="dcterms:W3CDTF">2025-10-18T17:49:00Z</dcterms:created>
  <dcterms:modified xsi:type="dcterms:W3CDTF">2025-11-27T07:32:00Z</dcterms:modified>
</cp:coreProperties>
</file>